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w:t>
        </w:r>
      </w:hyperlink>
      <w:hyperlink w:anchor="ia61f5f549cc04155b1c59bb766cccfa1_7">
        <w:r>
          <w:rPr>
            <w:rStyle w:val="InternetLink"/>
            <w:rFonts w:ascii="Times New Roman;serif" w:hAnsi="Times New Roman;serif"/>
            <w:b w:val="false"/>
            <w:color w:val="000080"/>
            <w:sz w:val="18"/>
            <w:u w:val="single"/>
          </w:rPr>
          <w:t>of</w:t>
        </w:r>
      </w:hyperlink>
      <w:hyperlink w:anchor="ia61f5f549cc04155b1c59bb766cccfa1_7">
        <w:r>
          <w:rPr>
            <w:rStyle w:val="InternetLink"/>
            <w:rFonts w:ascii="Times New Roman;serif" w:hAnsi="Times New Roman;serif"/>
            <w:b w:val="false"/>
            <w:color w:val="000080"/>
            <w:sz w:val="18"/>
            <w:u w:val="single"/>
          </w:rPr>
          <w:t xml:space="preserve"> </w:t>
        </w:r>
      </w:hyperlink>
      <w:hyperlink w:anchor="ia61f5f549cc04155b1c59bb766cccfa1_7">
        <w:r>
          <w:rPr>
            <w:rStyle w:val="InternetLink"/>
            <w:rFonts w:ascii="Times New Roman;serif" w:hAnsi="Times New Roman;serif"/>
            <w:b w:val="false"/>
            <w:color w:val="000080"/>
            <w:sz w:val="18"/>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UNITED STATES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SECURITIES AND EXCHANGE COMMISSION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0" w:after="180"/>
        <w:jc w:val="left"/>
        <w:rPr>
          <w:color w:val="000000"/>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0" w:after="180"/>
        <w:jc w:val="left"/>
        <w:rPr>
          <w:color w:val="000000"/>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Commission file number: 001-40822</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Remitly Global, Inc.</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33"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722"/>
        <w:gridCol w:w="722"/>
        <w:gridCol w:w="730"/>
        <w:gridCol w:w="109"/>
        <w:gridCol w:w="109"/>
        <w:gridCol w:w="109"/>
        <w:gridCol w:w="516"/>
        <w:gridCol w:w="516"/>
        <w:gridCol w:w="738"/>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7372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83-2301143</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(Primary Standard Industrial</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75" w:type="dxa"/>
        <w:jc w:val="center"/>
        <w:tblInd w:w="0" w:type="dxa"/>
        <w:tblLayout w:type="fixed"/>
        <w:tblCellMar>
          <w:top w:w="28" w:type="dxa"/>
          <w:left w:w="28" w:type="dxa"/>
          <w:bottom w:w="28" w:type="dxa"/>
          <w:right w:w="28" w:type="dxa"/>
        </w:tblCellMar>
      </w:tblPr>
      <w:tblGrid>
        <w:gridCol w:w="525"/>
        <w:gridCol w:w="462"/>
        <w:gridCol w:w="467"/>
        <w:gridCol w:w="299"/>
        <w:gridCol w:w="299"/>
        <w:gridCol w:w="301"/>
        <w:gridCol w:w="219"/>
        <w:gridCol w:w="219"/>
        <w:gridCol w:w="221"/>
        <w:gridCol w:w="140"/>
        <w:gridCol w:w="140"/>
        <w:gridCol w:w="141"/>
        <w:gridCol w:w="109"/>
        <w:gridCol w:w="109"/>
        <w:gridCol w:w="109"/>
        <w:gridCol w:w="268"/>
        <w:gridCol w:w="268"/>
        <w:gridCol w:w="379"/>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401 Union Street,</w:t>
            </w:r>
          </w:p>
        </w:tc>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Suite 1000</w:t>
            </w:r>
          </w:p>
        </w:tc>
        <w:tc>
          <w:tcPr>
            <w:tcW w:w="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Seattle,</w:t>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98101</w:t>
            </w:r>
          </w:p>
        </w:tc>
      </w:tr>
      <w:tr>
        <w:trPr/>
        <w:tc>
          <w:tcPr>
            <w:tcW w:w="343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6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(888) 736-4859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9077" w:type="dxa"/>
        <w:jc w:val="center"/>
        <w:tblInd w:w="0" w:type="dxa"/>
        <w:tblLayout w:type="fixed"/>
        <w:tblCellMar>
          <w:top w:w="28" w:type="dxa"/>
          <w:left w:w="28" w:type="dxa"/>
          <w:bottom w:w="28" w:type="dxa"/>
          <w:right w:w="28" w:type="dxa"/>
        </w:tblCellMar>
      </w:tblPr>
      <w:tblGrid>
        <w:gridCol w:w="940"/>
        <w:gridCol w:w="827"/>
        <w:gridCol w:w="827"/>
        <w:gridCol w:w="293"/>
        <w:gridCol w:w="293"/>
        <w:gridCol w:w="293"/>
        <w:gridCol w:w="485"/>
        <w:gridCol w:w="485"/>
        <w:gridCol w:w="485"/>
        <w:gridCol w:w="293"/>
        <w:gridCol w:w="293"/>
        <w:gridCol w:w="293"/>
        <w:gridCol w:w="958"/>
        <w:gridCol w:w="958"/>
        <w:gridCol w:w="1354"/>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9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RELY</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August 3, 2026, the registrant had 211,684,054 shares of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w:t>
        </w:r>
      </w:hyperlink>
      <w:hyperlink w:anchor="ia61f5f549cc04155b1c59bb766cccfa1_7">
        <w:r>
          <w:rPr>
            <w:rStyle w:val="InternetLink"/>
            <w:rFonts w:ascii="Times New Roman;serif" w:hAnsi="Times New Roman;serif"/>
            <w:b w:val="false"/>
            <w:color w:val="000080"/>
            <w:sz w:val="18"/>
            <w:u w:val="single"/>
          </w:rPr>
          <w:t>of</w:t>
        </w:r>
      </w:hyperlink>
      <w:hyperlink w:anchor="ia61f5f549cc04155b1c59bb766cccfa1_7">
        <w:r>
          <w:rPr>
            <w:rStyle w:val="InternetLink"/>
            <w:rFonts w:ascii="Times New Roman;serif" w:hAnsi="Times New Roman;serif"/>
            <w:b w:val="false"/>
            <w:color w:val="000080"/>
            <w:sz w:val="18"/>
            <w:u w:val="single"/>
          </w:rPr>
          <w:t xml:space="preserve"> </w:t>
        </w:r>
      </w:hyperlink>
      <w:hyperlink w:anchor="ia61f5f549cc04155b1c59bb766cccfa1_7">
        <w:r>
          <w:rPr>
            <w:rStyle w:val="InternetLink"/>
            <w:rFonts w:ascii="Times New Roman;serif" w:hAnsi="Times New Roman;serif"/>
            <w:b w:val="false"/>
            <w:color w:val="000080"/>
            <w:sz w:val="18"/>
            <w:u w:val="single"/>
          </w:rPr>
          <w:t>Contents</w:t>
        </w:r>
      </w:hyperlink>
    </w:p>
    <w:tbl>
      <w:tblPr>
        <w:tblW w:w="10205" w:type="dxa"/>
        <w:jc w:val="center"/>
        <w:tblInd w:w="0" w:type="dxa"/>
        <w:tblLayout w:type="fixed"/>
        <w:tblCellMar>
          <w:top w:w="28" w:type="dxa"/>
          <w:left w:w="28" w:type="dxa"/>
          <w:bottom w:w="28" w:type="dxa"/>
          <w:right w:w="28" w:type="dxa"/>
        </w:tblCellMar>
      </w:tblPr>
      <w:tblGrid>
        <w:gridCol w:w="716"/>
        <w:gridCol w:w="630"/>
        <w:gridCol w:w="612"/>
        <w:gridCol w:w="2583"/>
        <w:gridCol w:w="2472"/>
        <w:gridCol w:w="2519"/>
        <w:gridCol w:w="196"/>
        <w:gridCol w:w="196"/>
        <w:gridCol w:w="281"/>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953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TABLE OF CONTENTS</w:t>
            </w:r>
          </w:p>
        </w:tc>
        <w:tc>
          <w:tcPr>
            <w:tcW w:w="6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Page(s)</w:t>
            </w:r>
          </w:p>
        </w:tc>
      </w:tr>
      <w:tr>
        <w:trPr/>
        <w:tc>
          <w:tcPr>
            <w:tcW w:w="95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
              <w:r>
                <w:rPr>
                  <w:rStyle w:val="InternetLink"/>
                  <w:rFonts w:ascii="Times New Roman;serif" w:hAnsi="Times New Roman;serif"/>
                  <w:b/>
                  <w:strike w:val="false"/>
                  <w:dstrike w:val="false"/>
                  <w:color w:val="000000"/>
                  <w:sz w:val="18"/>
                  <w:u w:val="none"/>
                  <w:effect w:val="none"/>
                </w:rPr>
                <w:t>Special Note Regarding Forward-Looking Statements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
              <w:r>
                <w:rPr>
                  <w:rStyle w:val="InternetLink"/>
                  <w:rFonts w:ascii="Times New Roman;serif" w:hAnsi="Times New Roman;serif"/>
                  <w:b w:val="false"/>
                  <w:strike w:val="false"/>
                  <w:dstrike w:val="false"/>
                  <w:color w:val="000000"/>
                  <w:sz w:val="18"/>
                  <w:u w:val="none"/>
                  <w:effect w:val="none"/>
                </w:rPr>
                <w:t>ii</w:t>
              </w:r>
            </w:hyperlink>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Part I</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Information</w:t>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3">
              <w:r>
                <w:rPr>
                  <w:rStyle w:val="InternetLink"/>
                  <w:rFonts w:ascii="Times New Roman;serif" w:hAnsi="Times New Roman;serif"/>
                  <w:b w:val="false"/>
                  <w:color w:val="3051F2"/>
                  <w:sz w:val="18"/>
                  <w:u w:val="single"/>
                </w:rPr>
                <w:t>Financial Statements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3">
              <w:r>
                <w:rPr>
                  <w:rStyle w:val="InternetLink"/>
                  <w:rFonts w:ascii="Times New Roman;serif" w:hAnsi="Times New Roman;serif"/>
                  <w:b w:val="false"/>
                  <w:strike w:val="false"/>
                  <w:dstrike w:val="false"/>
                  <w:color w:val="000000"/>
                  <w:sz w:val="18"/>
                  <w:u w:val="none"/>
                  <w:effect w:val="none"/>
                </w:rPr>
                <w:t>1</w:t>
              </w:r>
            </w:hyperlink>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6">
              <w:r>
                <w:rPr>
                  <w:rStyle w:val="InternetLink"/>
                  <w:rFonts w:ascii="Times New Roman;serif" w:hAnsi="Times New Roman;serif"/>
                  <w:b w:val="false"/>
                  <w:color w:val="000080"/>
                  <w:sz w:val="18"/>
                  <w:u w:val="single"/>
                </w:rPr>
                <w:t>Condensed Consolidated Balance Sheets as o</w:t>
              </w:r>
            </w:hyperlink>
            <w:hyperlink w:anchor="ia61f5f549cc04155b1c59bb766cccfa1_16">
              <w:r>
                <w:rPr>
                  <w:rStyle w:val="InternetLink"/>
                  <w:rFonts w:ascii="Times New Roman;serif" w:hAnsi="Times New Roman;serif"/>
                  <w:b w:val="false"/>
                  <w:color w:val="000080"/>
                  <w:sz w:val="18"/>
                  <w:u w:val="single"/>
                </w:rPr>
                <w:t>f</w:t>
              </w:r>
            </w:hyperlink>
            <w:hyperlink w:anchor="ia61f5f549cc04155b1c59bb766cccfa1_16">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June 30, 2026</w:t>
            </w:r>
            <w:hyperlink w:anchor="ia61f5f549cc04155b1c59bb766cccfa1_16">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December 31, 2025</w:t>
            </w:r>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6">
              <w:r>
                <w:rPr>
                  <w:rStyle w:val="InternetLink"/>
                  <w:rFonts w:ascii="Times New Roman;serif" w:hAnsi="Times New Roman;serif"/>
                  <w:b w:val="false"/>
                  <w:strike w:val="false"/>
                  <w:dstrike w:val="false"/>
                  <w:color w:val="000000"/>
                  <w:sz w:val="18"/>
                  <w:u w:val="none"/>
                  <w:effect w:val="none"/>
                </w:rPr>
                <w:t>1</w:t>
              </w:r>
            </w:hyperlink>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9">
              <w:r>
                <w:rPr>
                  <w:rStyle w:val="InternetLink"/>
                  <w:rFonts w:ascii="Times New Roman;serif" w:hAnsi="Times New Roman;serif"/>
                  <w:b w:val="false"/>
                  <w:color w:val="000080"/>
                  <w:sz w:val="18"/>
                  <w:u w:val="single"/>
                </w:rPr>
                <w:t xml:space="preserve">Condensed Consolidated Statements of Operations for the </w:t>
              </w:r>
            </w:hyperlink>
            <w:r>
              <w:rPr>
                <w:rFonts w:ascii="Times New Roman;serif" w:hAnsi="Times New Roman;serif"/>
                <w:b w:val="false"/>
                <w:color w:val="3051F2"/>
                <w:sz w:val="18"/>
                <w:u w:val="single"/>
              </w:rPr>
              <w:t>three and six months ended</w:t>
            </w:r>
            <w:hyperlink w:anchor="ia61f5f549cc04155b1c59bb766cccfa1_19">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June 30, 2026</w:t>
            </w:r>
            <w:hyperlink w:anchor="ia61f5f549cc04155b1c59bb766cccfa1_19">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9">
              <w:r>
                <w:rPr>
                  <w:rStyle w:val="InternetLink"/>
                  <w:rFonts w:ascii="Times New Roman;serif" w:hAnsi="Times New Roman;serif"/>
                  <w:b w:val="false"/>
                  <w:strike w:val="false"/>
                  <w:dstrike w:val="false"/>
                  <w:color w:val="000000"/>
                  <w:sz w:val="18"/>
                  <w:u w:val="none"/>
                  <w:effect w:val="none"/>
                </w:rPr>
                <w:t>2</w:t>
              </w:r>
            </w:hyperlink>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2">
              <w:r>
                <w:rPr>
                  <w:rStyle w:val="InternetLink"/>
                  <w:rFonts w:ascii="Times New Roman;serif" w:hAnsi="Times New Roman;serif"/>
                  <w:b w:val="false"/>
                  <w:color w:val="000080"/>
                  <w:sz w:val="18"/>
                  <w:u w:val="single"/>
                </w:rPr>
                <w:t>Condensed Consolidated Statements of Comprehensive Income</w:t>
              </w:r>
            </w:hyperlink>
            <w:hyperlink w:anchor="ia61f5f549cc04155b1c59bb766cccfa1_22">
              <w:r>
                <w:rPr>
                  <w:rStyle w:val="InternetLink"/>
                  <w:rFonts w:ascii="Times New Roman;serif" w:hAnsi="Times New Roman;serif"/>
                  <w:b w:val="false"/>
                  <w:color w:val="000080"/>
                  <w:sz w:val="18"/>
                  <w:u w:val="single"/>
                </w:rPr>
                <w:t xml:space="preserve"> for the </w:t>
              </w:r>
            </w:hyperlink>
            <w:r>
              <w:rPr>
                <w:rFonts w:ascii="Times New Roman;serif" w:hAnsi="Times New Roman;serif"/>
                <w:b w:val="false"/>
                <w:color w:val="3051F2"/>
                <w:sz w:val="18"/>
                <w:u w:val="single"/>
              </w:rPr>
              <w:t>three and six months ended</w:t>
            </w:r>
            <w:hyperlink w:anchor="ia61f5f549cc04155b1c59bb766cccfa1_22">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June 30, 2026</w:t>
            </w:r>
            <w:hyperlink w:anchor="ia61f5f549cc04155b1c59bb766cccfa1_22">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2">
              <w:r>
                <w:rPr>
                  <w:rStyle w:val="InternetLink"/>
                  <w:rFonts w:ascii="Times New Roman;serif" w:hAnsi="Times New Roman;serif"/>
                  <w:b w:val="false"/>
                  <w:strike w:val="false"/>
                  <w:dstrike w:val="false"/>
                  <w:color w:val="000000"/>
                  <w:sz w:val="18"/>
                  <w:u w:val="none"/>
                  <w:effect w:val="none"/>
                </w:rPr>
                <w:t>3</w:t>
              </w:r>
            </w:hyperlink>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611">
              <w:r>
                <w:rPr>
                  <w:rStyle w:val="InternetLink"/>
                  <w:rFonts w:ascii="Times New Roman;serif" w:hAnsi="Times New Roman;serif"/>
                  <w:b w:val="false"/>
                  <w:color w:val="000080"/>
                  <w:sz w:val="18"/>
                  <w:u w:val="single"/>
                </w:rPr>
                <w:t xml:space="preserve">Condensed Consolidated Statements of </w:t>
              </w:r>
            </w:hyperlink>
            <w:hyperlink w:anchor="ia61f5f549cc04155b1c59bb766cccfa1_611">
              <w:r>
                <w:rPr>
                  <w:rStyle w:val="InternetLink"/>
                  <w:rFonts w:ascii="Times New Roman;serif" w:hAnsi="Times New Roman;serif"/>
                  <w:b w:val="false"/>
                  <w:color w:val="000080"/>
                  <w:sz w:val="18"/>
                  <w:u w:val="single"/>
                </w:rPr>
                <w:t xml:space="preserve">Stockholders’ Equity </w:t>
              </w:r>
            </w:hyperlink>
            <w:hyperlink w:anchor="ia61f5f549cc04155b1c59bb766cccfa1_611">
              <w:r>
                <w:rPr>
                  <w:rStyle w:val="InternetLink"/>
                  <w:rFonts w:ascii="Times New Roman;serif" w:hAnsi="Times New Roman;serif"/>
                  <w:b w:val="false"/>
                  <w:color w:val="000080"/>
                  <w:sz w:val="18"/>
                  <w:u w:val="single"/>
                </w:rPr>
                <w:t xml:space="preserve">for the </w:t>
              </w:r>
            </w:hyperlink>
            <w:r>
              <w:rPr>
                <w:rFonts w:ascii="Times New Roman;serif" w:hAnsi="Times New Roman;serif"/>
                <w:b w:val="false"/>
                <w:color w:val="3051F2"/>
                <w:sz w:val="18"/>
                <w:u w:val="single"/>
              </w:rPr>
              <w:t>three and six months ended</w:t>
            </w:r>
            <w:hyperlink w:anchor="ia61f5f549cc04155b1c59bb766cccfa1_25">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June 30, 2026</w:t>
            </w:r>
            <w:hyperlink w:anchor="ia61f5f549cc04155b1c59bb766cccfa1_25">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611">
              <w:r>
                <w:rPr>
                  <w:rStyle w:val="InternetLink"/>
                  <w:rFonts w:ascii="Times New Roman;serif" w:hAnsi="Times New Roman;serif"/>
                  <w:b w:val="false"/>
                  <w:strike w:val="false"/>
                  <w:dstrike w:val="false"/>
                  <w:color w:val="000000"/>
                  <w:sz w:val="18"/>
                  <w:u w:val="none"/>
                  <w:effect w:val="none"/>
                </w:rPr>
                <w:t>4</w:t>
              </w:r>
            </w:hyperlink>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8">
              <w:r>
                <w:rPr>
                  <w:rStyle w:val="InternetLink"/>
                  <w:rFonts w:ascii="Times New Roman;serif" w:hAnsi="Times New Roman;serif"/>
                  <w:b w:val="false"/>
                  <w:color w:val="000080"/>
                  <w:sz w:val="18"/>
                  <w:u w:val="single"/>
                </w:rPr>
                <w:t xml:space="preserve">Condensed Consolidated Statements of Cash Flows for the </w:t>
              </w:r>
            </w:hyperlink>
            <w:r>
              <w:rPr>
                <w:rFonts w:ascii="Times New Roman;serif" w:hAnsi="Times New Roman;serif"/>
                <w:b w:val="false"/>
                <w:color w:val="3051F2"/>
                <w:sz w:val="18"/>
                <w:u w:val="single"/>
              </w:rPr>
              <w:t>six months ended</w:t>
            </w:r>
            <w:hyperlink w:anchor="ia61f5f549cc04155b1c59bb766cccfa1_28">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June 30, 2026</w:t>
            </w:r>
            <w:hyperlink w:anchor="ia61f5f549cc04155b1c59bb766cccfa1_28">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8">
              <w:r>
                <w:rPr>
                  <w:rStyle w:val="InternetLink"/>
                  <w:rFonts w:ascii="Times New Roman;serif" w:hAnsi="Times New Roman;serif"/>
                  <w:b w:val="false"/>
                  <w:strike w:val="false"/>
                  <w:dstrike w:val="false"/>
                  <w:color w:val="000000"/>
                  <w:sz w:val="18"/>
                  <w:u w:val="none"/>
                  <w:effect w:val="none"/>
                </w:rPr>
                <w:t>6</w:t>
              </w:r>
            </w:hyperlink>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31">
              <w:r>
                <w:rPr>
                  <w:rStyle w:val="InternetLink"/>
                  <w:rFonts w:ascii="Times New Roman;serif" w:hAnsi="Times New Roman;serif"/>
                  <w:b w:val="false"/>
                  <w:color w:val="000080"/>
                  <w:sz w:val="18"/>
                  <w:u w:val="single"/>
                </w:rPr>
                <w:t xml:space="preserve">Notes to </w:t>
              </w:r>
            </w:hyperlink>
            <w:r>
              <w:rPr>
                <w:rFonts w:ascii="Times New Roman;serif" w:hAnsi="Times New Roman;serif"/>
                <w:b w:val="false"/>
                <w:color w:val="3051F2"/>
                <w:sz w:val="18"/>
                <w:u w:val="single"/>
              </w:rPr>
              <w:t>C</w:t>
            </w:r>
            <w:hyperlink w:anchor="ia61f5f549cc04155b1c59bb766cccfa1_31">
              <w:r>
                <w:rPr>
                  <w:rStyle w:val="InternetLink"/>
                  <w:rFonts w:ascii="Times New Roman;serif" w:hAnsi="Times New Roman;serif"/>
                  <w:b w:val="false"/>
                  <w:color w:val="000080"/>
                  <w:sz w:val="18"/>
                  <w:u w:val="single"/>
                </w:rPr>
                <w:t xml:space="preserve">ondensed </w:t>
              </w:r>
            </w:hyperlink>
            <w:r>
              <w:rPr>
                <w:rFonts w:ascii="Times New Roman;serif" w:hAnsi="Times New Roman;serif"/>
                <w:b w:val="false"/>
                <w:color w:val="3051F2"/>
                <w:sz w:val="18"/>
                <w:u w:val="single"/>
              </w:rPr>
              <w:t>C</w:t>
            </w:r>
            <w:hyperlink w:anchor="ia61f5f549cc04155b1c59bb766cccfa1_31">
              <w:r>
                <w:rPr>
                  <w:rStyle w:val="InternetLink"/>
                  <w:rFonts w:ascii="Times New Roman;serif" w:hAnsi="Times New Roman;serif"/>
                  <w:b w:val="false"/>
                  <w:color w:val="000080"/>
                  <w:sz w:val="18"/>
                  <w:u w:val="single"/>
                </w:rPr>
                <w:t xml:space="preserve">onsolidated </w:t>
              </w:r>
            </w:hyperlink>
            <w:r>
              <w:rPr>
                <w:rFonts w:ascii="Times New Roman;serif" w:hAnsi="Times New Roman;serif"/>
                <w:b w:val="false"/>
                <w:color w:val="3051F2"/>
                <w:sz w:val="18"/>
                <w:u w:val="single"/>
              </w:rPr>
              <w:t>F</w:t>
            </w:r>
            <w:hyperlink w:anchor="ia61f5f549cc04155b1c59bb766cccfa1_31">
              <w:r>
                <w:rPr>
                  <w:rStyle w:val="InternetLink"/>
                  <w:rFonts w:ascii="Times New Roman;serif" w:hAnsi="Times New Roman;serif"/>
                  <w:b w:val="false"/>
                  <w:color w:val="000080"/>
                  <w:sz w:val="18"/>
                  <w:u w:val="single"/>
                </w:rPr>
                <w:t xml:space="preserve">inancial </w:t>
              </w:r>
            </w:hyperlink>
            <w:r>
              <w:rPr>
                <w:rFonts w:ascii="Times New Roman;serif" w:hAnsi="Times New Roman;serif"/>
                <w:b w:val="false"/>
                <w:color w:val="3051F2"/>
                <w:sz w:val="18"/>
                <w:u w:val="single"/>
              </w:rPr>
              <w:t>S</w:t>
            </w:r>
            <w:hyperlink w:anchor="ia61f5f549cc04155b1c59bb766cccfa1_31">
              <w:r>
                <w:rPr>
                  <w:rStyle w:val="InternetLink"/>
                  <w:rFonts w:ascii="Times New Roman;serif" w:hAnsi="Times New Roman;serif"/>
                  <w:b w:val="false"/>
                  <w:color w:val="000080"/>
                  <w:sz w:val="18"/>
                  <w:u w:val="single"/>
                </w:rPr>
                <w:t>tatements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31">
              <w:r>
                <w:rPr>
                  <w:rStyle w:val="InternetLink"/>
                  <w:rFonts w:ascii="Times New Roman;serif" w:hAnsi="Times New Roman;serif"/>
                  <w:b w:val="false"/>
                  <w:strike w:val="false"/>
                  <w:dstrike w:val="false"/>
                  <w:color w:val="000000"/>
                  <w:sz w:val="18"/>
                  <w:u w:val="none"/>
                  <w:effect w:val="none"/>
                </w:rPr>
                <w:t>7</w:t>
              </w:r>
            </w:hyperlink>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1">
              <w:r>
                <w:rPr>
                  <w:rStyle w:val="InternetLink"/>
                  <w:rFonts w:ascii="Times New Roman;serif" w:hAnsi="Times New Roman;serif"/>
                  <w:b w:val="false"/>
                  <w:color w:val="3051F2"/>
                  <w:sz w:val="18"/>
                  <w:u w:val="single"/>
                </w:rPr>
                <w:t>Management’s Discussion and Analysis of Financial Condition and Results of Operations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1">
              <w:r>
                <w:rPr>
                  <w:rStyle w:val="InternetLink"/>
                  <w:rFonts w:ascii="Times New Roman;serif" w:hAnsi="Times New Roman;serif"/>
                  <w:b w:val="false"/>
                  <w:strike w:val="false"/>
                  <w:dstrike w:val="false"/>
                  <w:color w:val="000000"/>
                  <w:sz w:val="18"/>
                  <w:u w:val="none"/>
                  <w:effect w:val="none"/>
                </w:rPr>
                <w:t>21</w:t>
              </w:r>
            </w:hyperlink>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4">
              <w:r>
                <w:rPr>
                  <w:rStyle w:val="InternetLink"/>
                  <w:rFonts w:ascii="Times New Roman;serif" w:hAnsi="Times New Roman;serif"/>
                  <w:b w:val="false"/>
                  <w:color w:val="000080"/>
                  <w:sz w:val="18"/>
                  <w:u w:val="single"/>
                </w:rPr>
                <w:t>Quantitative and Qualitative Disclosure</w:t>
              </w:r>
            </w:hyperlink>
            <w:hyperlink w:anchor="ia61f5f549cc04155b1c59bb766cccfa1_94">
              <w:r>
                <w:rPr>
                  <w:rStyle w:val="InternetLink"/>
                  <w:rFonts w:ascii="Times New Roman;serif" w:hAnsi="Times New Roman;serif"/>
                  <w:b w:val="false"/>
                  <w:color w:val="000080"/>
                  <w:sz w:val="18"/>
                  <w:u w:val="single"/>
                </w:rPr>
                <w:t>s</w:t>
              </w:r>
            </w:hyperlink>
            <w:hyperlink w:anchor="ia61f5f549cc04155b1c59bb766cccfa1_94">
              <w:r>
                <w:rPr>
                  <w:rStyle w:val="InternetLink"/>
                  <w:rFonts w:ascii="Times New Roman;serif" w:hAnsi="Times New Roman;serif"/>
                  <w:b w:val="false"/>
                  <w:color w:val="000080"/>
                  <w:sz w:val="18"/>
                  <w:u w:val="single"/>
                </w:rPr>
                <w:t xml:space="preserve"> About Market Risk</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4">
              <w:r>
                <w:rPr>
                  <w:rStyle w:val="InternetLink"/>
                  <w:rFonts w:ascii="Times New Roman;serif" w:hAnsi="Times New Roman;serif"/>
                  <w:b w:val="false"/>
                  <w:strike w:val="false"/>
                  <w:dstrike w:val="false"/>
                  <w:color w:val="000000"/>
                  <w:sz w:val="18"/>
                  <w:u w:val="none"/>
                  <w:effect w:val="none"/>
                </w:rPr>
                <w:t>33</w:t>
              </w:r>
            </w:hyperlink>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7">
              <w:r>
                <w:rPr>
                  <w:rStyle w:val="InternetLink"/>
                  <w:rFonts w:ascii="Times New Roman;serif" w:hAnsi="Times New Roman;serif"/>
                  <w:b w:val="false"/>
                  <w:color w:val="3051F2"/>
                  <w:sz w:val="18"/>
                  <w:u w:val="single"/>
                </w:rPr>
                <w:t>Controls and Procedures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7">
              <w:r>
                <w:rPr>
                  <w:rStyle w:val="InternetLink"/>
                  <w:rFonts w:ascii="Times New Roman;serif" w:hAnsi="Times New Roman;serif"/>
                  <w:b w:val="false"/>
                  <w:strike w:val="false"/>
                  <w:dstrike w:val="false"/>
                  <w:color w:val="000000"/>
                  <w:sz w:val="18"/>
                  <w:u w:val="none"/>
                  <w:effect w:val="none"/>
                </w:rPr>
                <w:t>34</w:t>
              </w:r>
            </w:hyperlink>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Part II</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Information</w:t>
            </w:r>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0">
              <w:r>
                <w:rPr>
                  <w:rStyle w:val="InternetLink"/>
                  <w:rFonts w:ascii="Times New Roman;serif" w:hAnsi="Times New Roman;serif"/>
                  <w:b w:val="false"/>
                  <w:strike w:val="false"/>
                  <w:dstrike w:val="false"/>
                  <w:color w:val="000000"/>
                  <w:sz w:val="18"/>
                  <w:u w:val="none"/>
                  <w:effect w:val="none"/>
                </w:rPr>
                <w:t>35</w:t>
              </w:r>
            </w:hyperlink>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3">
              <w:r>
                <w:rPr>
                  <w:rStyle w:val="InternetLink"/>
                  <w:rFonts w:ascii="Times New Roman;serif" w:hAnsi="Times New Roman;serif"/>
                  <w:b w:val="false"/>
                  <w:color w:val="3051F2"/>
                  <w:sz w:val="18"/>
                  <w:u w:val="single"/>
                </w:rPr>
                <w:t>Legal Proceedings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3">
              <w:r>
                <w:rPr>
                  <w:rStyle w:val="InternetLink"/>
                  <w:rFonts w:ascii="Times New Roman;serif" w:hAnsi="Times New Roman;serif"/>
                  <w:b w:val="false"/>
                  <w:strike w:val="false"/>
                  <w:dstrike w:val="false"/>
                  <w:color w:val="000000"/>
                  <w:sz w:val="18"/>
                  <w:u w:val="none"/>
                  <w:effect w:val="none"/>
                </w:rPr>
                <w:t>35</w:t>
              </w:r>
            </w:hyperlink>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6">
              <w:r>
                <w:rPr>
                  <w:rStyle w:val="InternetLink"/>
                  <w:rFonts w:ascii="Times New Roman;serif" w:hAnsi="Times New Roman;serif"/>
                  <w:b w:val="false"/>
                  <w:color w:val="3051F2"/>
                  <w:sz w:val="18"/>
                  <w:u w:val="single"/>
                </w:rPr>
                <w:t>Risk Factors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6">
              <w:r>
                <w:rPr>
                  <w:rStyle w:val="InternetLink"/>
                  <w:rFonts w:ascii="Times New Roman;serif" w:hAnsi="Times New Roman;serif"/>
                  <w:b w:val="false"/>
                  <w:strike w:val="false"/>
                  <w:dstrike w:val="false"/>
                  <w:color w:val="000000"/>
                  <w:sz w:val="18"/>
                  <w:u w:val="none"/>
                  <w:effect w:val="none"/>
                </w:rPr>
                <w:t>35</w:t>
              </w:r>
            </w:hyperlink>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9">
              <w:r>
                <w:rPr>
                  <w:rStyle w:val="InternetLink"/>
                  <w:rFonts w:ascii="Times New Roman;serif" w:hAnsi="Times New Roman;serif"/>
                  <w:b w:val="false"/>
                  <w:color w:val="3051F2"/>
                  <w:sz w:val="18"/>
                  <w:u w:val="single"/>
                </w:rPr>
                <w:t>Unregistered Sales of Equity Securities and Use of Proceeds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9">
              <w:r>
                <w:rPr>
                  <w:rStyle w:val="InternetLink"/>
                  <w:rFonts w:ascii="Times New Roman;serif" w:hAnsi="Times New Roman;serif"/>
                  <w:b w:val="false"/>
                  <w:strike w:val="false"/>
                  <w:dstrike w:val="false"/>
                  <w:color w:val="000000"/>
                  <w:sz w:val="18"/>
                  <w:u w:val="none"/>
                  <w:effect w:val="none"/>
                </w:rPr>
                <w:t>35</w:t>
              </w:r>
            </w:hyperlink>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2">
              <w:r>
                <w:rPr>
                  <w:rStyle w:val="InternetLink"/>
                  <w:rFonts w:ascii="Times New Roman;serif" w:hAnsi="Times New Roman;serif"/>
                  <w:b w:val="false"/>
                  <w:color w:val="3051F2"/>
                  <w:sz w:val="18"/>
                  <w:u w:val="single"/>
                </w:rPr>
                <w:t>Defaults Upon Senior Securities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2">
              <w:r>
                <w:rPr>
                  <w:rStyle w:val="InternetLink"/>
                  <w:rFonts w:ascii="Times New Roman;serif" w:hAnsi="Times New Roman;serif"/>
                  <w:b w:val="false"/>
                  <w:strike w:val="false"/>
                  <w:dstrike w:val="false"/>
                  <w:color w:val="000000"/>
                  <w:sz w:val="18"/>
                  <w:u w:val="none"/>
                  <w:effect w:val="none"/>
                </w:rPr>
                <w:t>35</w:t>
              </w:r>
            </w:hyperlink>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5">
              <w:r>
                <w:rPr>
                  <w:rStyle w:val="InternetLink"/>
                  <w:rFonts w:ascii="Times New Roman;serif" w:hAnsi="Times New Roman;serif"/>
                  <w:b w:val="false"/>
                  <w:color w:val="3051F2"/>
                  <w:sz w:val="18"/>
                  <w:u w:val="single"/>
                </w:rPr>
                <w:t>Mine Safety Disclosures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5">
              <w:r>
                <w:rPr>
                  <w:rStyle w:val="InternetLink"/>
                  <w:rFonts w:ascii="Times New Roman;serif" w:hAnsi="Times New Roman;serif"/>
                  <w:b w:val="false"/>
                  <w:strike w:val="false"/>
                  <w:dstrike w:val="false"/>
                  <w:color w:val="000000"/>
                  <w:sz w:val="18"/>
                  <w:u w:val="none"/>
                  <w:effect w:val="none"/>
                </w:rPr>
                <w:t>35</w:t>
              </w:r>
            </w:hyperlink>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8">
              <w:r>
                <w:rPr>
                  <w:rStyle w:val="InternetLink"/>
                  <w:rFonts w:ascii="Times New Roman;serif" w:hAnsi="Times New Roman;serif"/>
                  <w:b w:val="false"/>
                  <w:color w:val="3051F2"/>
                  <w:sz w:val="18"/>
                  <w:u w:val="single"/>
                </w:rPr>
                <w:t>Other Information</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8">
              <w:r>
                <w:rPr>
                  <w:rStyle w:val="InternetLink"/>
                  <w:rFonts w:ascii="Times New Roman;serif" w:hAnsi="Times New Roman;serif"/>
                  <w:b w:val="false"/>
                  <w:strike w:val="false"/>
                  <w:dstrike w:val="false"/>
                  <w:color w:val="000000"/>
                  <w:sz w:val="18"/>
                  <w:u w:val="none"/>
                  <w:effect w:val="none"/>
                </w:rPr>
                <w:t>35</w:t>
              </w:r>
            </w:hyperlink>
          </w:p>
        </w:tc>
      </w:tr>
      <w:tr>
        <w:trPr/>
        <w:tc>
          <w:tcPr>
            <w:tcW w:w="1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1">
              <w:r>
                <w:rPr>
                  <w:rStyle w:val="InternetLink"/>
                  <w:rFonts w:ascii="Times New Roman;serif" w:hAnsi="Times New Roman;serif"/>
                  <w:b w:val="false"/>
                  <w:color w:val="000080"/>
                  <w:sz w:val="18"/>
                  <w:u w:val="single"/>
                </w:rPr>
                <w:t>Exhibit</w:t>
              </w:r>
            </w:hyperlink>
            <w:hyperlink w:anchor="ia61f5f549cc04155b1c59bb766cccfa1_121">
              <w:r>
                <w:rPr>
                  <w:rStyle w:val="InternetLink"/>
                  <w:rFonts w:ascii="Times New Roman;serif" w:hAnsi="Times New Roman;serif"/>
                  <w:b w:val="false"/>
                  <w:color w:val="000080"/>
                  <w:sz w:val="18"/>
                  <w:u w:val="single"/>
                </w:rPr>
                <w:t>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21">
              <w:r>
                <w:rPr>
                  <w:rStyle w:val="InternetLink"/>
                  <w:rFonts w:ascii="Times New Roman;serif" w:hAnsi="Times New Roman;serif"/>
                  <w:b w:val="false"/>
                  <w:strike w:val="false"/>
                  <w:dstrike w:val="false"/>
                  <w:color w:val="000000"/>
                  <w:sz w:val="18"/>
                  <w:u w:val="none"/>
                  <w:effect w:val="none"/>
                </w:rPr>
                <w:t>36</w:t>
              </w:r>
            </w:hyperlink>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4">
              <w:r>
                <w:rPr>
                  <w:rStyle w:val="InternetLink"/>
                  <w:rFonts w:ascii="Times New Roman;serif" w:hAnsi="Times New Roman;serif"/>
                  <w:b/>
                  <w:strike w:val="false"/>
                  <w:dstrike w:val="false"/>
                  <w:color w:val="000000"/>
                  <w:sz w:val="18"/>
                  <w:u w:val="none"/>
                  <w:effect w:val="none"/>
                </w:rPr>
                <w:t>Signatures</w:t>
              </w:r>
            </w:hyperlink>
          </w:p>
        </w:tc>
        <w:tc>
          <w:tcPr>
            <w:tcW w:w="67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24">
              <w:r>
                <w:rPr>
                  <w:rStyle w:val="InternetLink"/>
                  <w:rFonts w:ascii="Times New Roman;serif" w:hAnsi="Times New Roman;serif"/>
                  <w:b w:val="false"/>
                  <w:strike w:val="false"/>
                  <w:dstrike w:val="false"/>
                  <w:color w:val="000000"/>
                  <w:sz w:val="18"/>
                  <w:u w:val="none"/>
                  <w:effect w:val="none"/>
                </w:rPr>
                <w:t>37</w:t>
              </w:r>
            </w:hyperlink>
          </w:p>
        </w:tc>
      </w:tr>
    </w:tbl>
    <w:p>
      <w:pPr>
        <w:pStyle w:val="TextBody"/>
        <w:bidi w:val="0"/>
        <w:spacing w:before="0" w:after="24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Table of Con</w:t>
        </w:r>
      </w:hyperlink>
      <w:hyperlink w:anchor="ia61f5f549cc04155b1c59bb766cccfa1_7">
        <w:r>
          <w:rPr>
            <w:rStyle w:val="InternetLink"/>
            <w:rFonts w:ascii="Times New Roman;serif" w:hAnsi="Times New Roman;serif"/>
            <w:b w:val="false"/>
            <w:color w:val="000080"/>
            <w:sz w:val="18"/>
            <w:u w:val="single"/>
          </w:rPr>
          <w:t>t</w:t>
        </w:r>
      </w:hyperlink>
      <w:hyperlink w:anchor="ia61f5f549cc04155b1c59bb766cccfa1_7">
        <w:r>
          <w:rPr>
            <w:rStyle w:val="InternetLink"/>
            <w:rFonts w:ascii="Times New Roman;serif" w:hAnsi="Times New Roman;serif"/>
            <w:b w:val="false"/>
            <w:color w:val="000080"/>
            <w:sz w:val="18"/>
            <w:u w:val="single"/>
          </w:rPr>
          <w:t>ents</w:t>
        </w:r>
      </w:hyperlink>
    </w:p>
    <w:p>
      <w:pPr>
        <w:pStyle w:val="TextBody"/>
        <w:bidi w:val="0"/>
        <w:spacing w:lineRule="auto" w:line="288" w:before="180" w:after="180"/>
        <w:jc w:val="center"/>
        <w:rPr>
          <w:rFonts w:ascii="Times New Roman;serif" w:hAnsi="Times New Roman;serif"/>
          <w:b/>
          <w:color w:val="000000"/>
          <w:sz w:val="18"/>
        </w:rPr>
      </w:pPr>
      <w:r>
        <w:rPr>
          <w:rFonts w:ascii="Times New Roman;serif" w:hAnsi="Times New Roman;serif"/>
          <w:b/>
          <w:color w:val="000000"/>
          <w:sz w:val="18"/>
        </w:rPr>
        <w:t>SPECIAL NOTE REGARDING FORWARD-LOOKING STATEMENTS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expectations regarding our revenue, expenses, and other operating results;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ability to acquire new customers and successfully retain existing customers;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ability to continue to develop new products and services in a timely manner;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ability to sustain our profitability;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ability to maintain and expand our strategic relationships with third parties;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business plan and our ability to effectively manage our growth;</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anticipated trends, growth rates, and challenges in our business and in the market segments in which we operate;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ability to effectively integrate and leverage artificial intelligence (“AI”) and machine learning technologies;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ability to attract, integrate, and retain qualified employees, including key members of our management team;</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uncertainties regarding the impact of geopolitical and macroeconomic conditions, including currency fluctuations, inflation, regulatory changes (including as may be related to immigration, fiscal and tax policy, foreign trade, or foreign investment), regional and global conflicts or related government sanctions, or legislative or regulatory developments;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ability to maintain the security and availability of our solutions;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ability to maintain our money transmission licenses and other regulatory clearances or obtain new licenses and regulatory clearances;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ability to maintain and expand international operations;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our expectations regarding anticipated technology needs and developments and our ability to address those needs and developments with our solutions;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8"/>
        </w:rPr>
        <w:t>our stock repurchase program, the timing and number of shares of our common stock to be repurchased, and the potential benefits thereof.</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Unless the context otherwise requires, the terms “Remitly Global,” “Remitly,” “the Company,” “we,” “us,” and “our” in this Quarterly Report on Form 10-Q refer to Remitly Global, Inc. and our consolidated subsidiaries, taken as a whole.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 Financial Information</w:t>
      </w:r>
    </w:p>
    <w:p>
      <w:pPr>
        <w:pStyle w:val="TextBody"/>
        <w:bidi w:val="0"/>
        <w:spacing w:lineRule="auto" w:line="288" w:before="0" w:after="40"/>
        <w:jc w:val="left"/>
        <w:rPr>
          <w:rFonts w:ascii="Times New Roman;serif" w:hAnsi="Times New Roman;serif"/>
          <w:b/>
          <w:color w:val="000000"/>
          <w:sz w:val="18"/>
        </w:rPr>
      </w:pPr>
      <w:r>
        <w:rPr>
          <w:rFonts w:ascii="Times New Roman;serif" w:hAnsi="Times New Roman;serif"/>
          <w:b/>
          <w:color w:val="000000"/>
          <w:sz w:val="18"/>
        </w:rPr>
        <w:t xml:space="preserve">Item 1.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 except per share data</w:t>
      </w:r>
      <w:r>
        <w:rPr>
          <w:rFonts w:ascii="Times New Roman;serif" w:hAnsi="Times New Roman;serif"/>
          <w:b w:val="false"/>
          <w:color w:val="000000"/>
          <w:sz w:val="16"/>
        </w:rPr>
        <w: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849"/>
        <w:gridCol w:w="2329"/>
        <w:gridCol w:w="2302"/>
        <w:gridCol w:w="196"/>
        <w:gridCol w:w="871"/>
        <w:gridCol w:w="109"/>
        <w:gridCol w:w="109"/>
        <w:gridCol w:w="109"/>
        <w:gridCol w:w="109"/>
        <w:gridCol w:w="196"/>
        <w:gridCol w:w="871"/>
        <w:gridCol w:w="155"/>
      </w:tblGrid>
      <w:tr>
        <w:trPr/>
        <w:tc>
          <w:tcPr>
            <w:tcW w:w="284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542,426 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Disbursement prefunding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441,335 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funds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286,455 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45,735 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1,285,947 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1,315,951 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54,940 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1,458,713 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219,667 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141,948 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399,052 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589,924 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725,000 shares authorized as of both June 30, 2026 and December 31, 2025; 211,671 and 210,626 shares issued and outstanding as of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1,325,520 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(460,348)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868,789 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1,458,713 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 except per share data</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961"/>
        <w:gridCol w:w="1505"/>
        <w:gridCol w:w="1528"/>
        <w:gridCol w:w="197"/>
        <w:gridCol w:w="742"/>
        <w:gridCol w:w="109"/>
        <w:gridCol w:w="109"/>
        <w:gridCol w:w="109"/>
        <w:gridCol w:w="109"/>
        <w:gridCol w:w="197"/>
        <w:gridCol w:w="742"/>
        <w:gridCol w:w="109"/>
        <w:gridCol w:w="109"/>
        <w:gridCol w:w="109"/>
        <w:gridCol w:w="109"/>
        <w:gridCol w:w="196"/>
        <w:gridCol w:w="736"/>
        <w:gridCol w:w="109"/>
        <w:gridCol w:w="109"/>
        <w:gridCol w:w="109"/>
        <w:gridCol w:w="109"/>
        <w:gridCol w:w="196"/>
        <w:gridCol w:w="736"/>
        <w:gridCol w:w="161"/>
      </w:tblGrid>
      <w:tr>
        <w:trPr/>
        <w:tc>
          <w:tcPr>
            <w:tcW w:w="196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Transaction expenses</w:t>
            </w:r>
            <w:r>
              <w:rPr>
                <w:rFonts w:ascii="Times New Roman;serif" w:hAnsi="Times New Roman;serif"/>
                <w:b w:val="false"/>
                <w:color w:val="000000"/>
                <w:sz w:val="12"/>
              </w:rPr>
              <w:t>(1)</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265,149 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Customer support and operations</w:t>
            </w:r>
            <w:r>
              <w:rPr>
                <w:rFonts w:ascii="Times New Roman;serif" w:hAnsi="Times New Roman;serif"/>
                <w:b w:val="false"/>
                <w:color w:val="000000"/>
                <w:sz w:val="12"/>
              </w:rPr>
              <w:t>(1)</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Marketing</w:t>
            </w:r>
            <w:r>
              <w:rPr>
                <w:rFonts w:ascii="Times New Roman;serif" w:hAnsi="Times New Roman;serif"/>
                <w:b w:val="false"/>
                <w:color w:val="000000"/>
                <w:sz w:val="12"/>
              </w:rPr>
              <w:t>(1)</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Technology and development</w:t>
            </w:r>
            <w:r>
              <w:rPr>
                <w:rFonts w:ascii="Times New Roman;serif" w:hAnsi="Times New Roman;serif"/>
                <w:b w:val="false"/>
                <w:color w:val="000000"/>
                <w:sz w:val="12"/>
              </w:rPr>
              <w:t>(1)</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w:t>
            </w:r>
            <w:r>
              <w:rPr>
                <w:rFonts w:ascii="Times New Roman;serif" w:hAnsi="Times New Roman;serif"/>
                <w:b w:val="false"/>
                <w:color w:val="000000"/>
                <w:sz w:val="12"/>
              </w:rPr>
              <w:t>(1)</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112,410 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746,600 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from) provision for income taxes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attributable to common stockholders:</w:t>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per share attributable to common stockholders:</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203,227 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Exclusive of depreciation and amortization, shown separately.</w: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10565"/>
                <wp:effectExtent l="0" t="0" r="0" b="0"/>
                <wp:wrapNone/>
                <wp:docPr id="5" name="Frame5"/>
                <a:graphic xmlns:a="http://schemas.openxmlformats.org/drawingml/2006/main">
                  <a:graphicData uri="http://schemas.microsoft.com/office/word/2010/wordprocessingShape">
                    <wps:wsp>
                      <wps:cNvSpPr txBox="1"/>
                      <wps:spPr>
                        <a:xfrm>
                          <a:off x="0" y="0"/>
                          <a:ext cx="6480175" cy="71056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8129" w:type="dxa"/>
        <w:jc w:val="left"/>
        <w:tblInd w:w="0" w:type="dxa"/>
        <w:tblLayout w:type="fixed"/>
        <w:tblCellMar>
          <w:top w:w="28" w:type="dxa"/>
          <w:left w:w="28" w:type="dxa"/>
          <w:bottom w:w="28" w:type="dxa"/>
          <w:right w:w="28" w:type="dxa"/>
        </w:tblCellMar>
      </w:tblPr>
      <w:tblGrid>
        <w:gridCol w:w="1083"/>
        <w:gridCol w:w="953"/>
        <w:gridCol w:w="963"/>
        <w:gridCol w:w="206"/>
        <w:gridCol w:w="776"/>
        <w:gridCol w:w="114"/>
        <w:gridCol w:w="114"/>
        <w:gridCol w:w="114"/>
        <w:gridCol w:w="114"/>
        <w:gridCol w:w="206"/>
        <w:gridCol w:w="681"/>
        <w:gridCol w:w="114"/>
        <w:gridCol w:w="109"/>
        <w:gridCol w:w="109"/>
        <w:gridCol w:w="109"/>
        <w:gridCol w:w="196"/>
        <w:gridCol w:w="736"/>
        <w:gridCol w:w="109"/>
        <w:gridCol w:w="109"/>
        <w:gridCol w:w="109"/>
        <w:gridCol w:w="109"/>
        <w:gridCol w:w="196"/>
        <w:gridCol w:w="646"/>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205,713 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June 30, 2026 </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937"/>
        <w:gridCol w:w="326"/>
        <w:gridCol w:w="326"/>
        <w:gridCol w:w="109"/>
        <w:gridCol w:w="109"/>
        <w:gridCol w:w="109"/>
        <w:gridCol w:w="368"/>
        <w:gridCol w:w="368"/>
        <w:gridCol w:w="211"/>
        <w:gridCol w:w="109"/>
        <w:gridCol w:w="109"/>
        <w:gridCol w:w="109"/>
        <w:gridCol w:w="231"/>
        <w:gridCol w:w="390"/>
        <w:gridCol w:w="130"/>
        <w:gridCol w:w="109"/>
        <w:gridCol w:w="109"/>
        <w:gridCol w:w="109"/>
        <w:gridCol w:w="196"/>
        <w:gridCol w:w="871"/>
        <w:gridCol w:w="109"/>
        <w:gridCol w:w="109"/>
        <w:gridCol w:w="109"/>
        <w:gridCol w:w="109"/>
        <w:gridCol w:w="311"/>
        <w:gridCol w:w="884"/>
        <w:gridCol w:w="174"/>
        <w:gridCol w:w="109"/>
        <w:gridCol w:w="109"/>
        <w:gridCol w:w="109"/>
        <w:gridCol w:w="208"/>
        <w:gridCol w:w="801"/>
        <w:gridCol w:w="118"/>
        <w:gridCol w:w="109"/>
        <w:gridCol w:w="109"/>
        <w:gridCol w:w="109"/>
        <w:gridCol w:w="205"/>
        <w:gridCol w:w="913"/>
        <w:gridCol w:w="166"/>
      </w:tblGrid>
      <w:tr>
        <w:trPr/>
        <w:tc>
          <w:tcPr>
            <w:tcW w:w="9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36"/>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8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210,626 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(460,348)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868,789 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6,340 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(44,249)</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210,333 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(411,295)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907,440 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(21,315)</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205,908 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211,671 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(205,387)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1,126,848 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June 30, 2025 </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823"/>
        <w:gridCol w:w="348"/>
        <w:gridCol w:w="348"/>
        <w:gridCol w:w="109"/>
        <w:gridCol w:w="109"/>
        <w:gridCol w:w="109"/>
        <w:gridCol w:w="368"/>
        <w:gridCol w:w="368"/>
        <w:gridCol w:w="211"/>
        <w:gridCol w:w="109"/>
        <w:gridCol w:w="109"/>
        <w:gridCol w:w="109"/>
        <w:gridCol w:w="231"/>
        <w:gridCol w:w="390"/>
        <w:gridCol w:w="130"/>
        <w:gridCol w:w="109"/>
        <w:gridCol w:w="109"/>
        <w:gridCol w:w="109"/>
        <w:gridCol w:w="196"/>
        <w:gridCol w:w="871"/>
        <w:gridCol w:w="109"/>
        <w:gridCol w:w="109"/>
        <w:gridCol w:w="109"/>
        <w:gridCol w:w="109"/>
        <w:gridCol w:w="321"/>
        <w:gridCol w:w="937"/>
        <w:gridCol w:w="179"/>
        <w:gridCol w:w="109"/>
        <w:gridCol w:w="109"/>
        <w:gridCol w:w="109"/>
        <w:gridCol w:w="208"/>
        <w:gridCol w:w="801"/>
        <w:gridCol w:w="118"/>
        <w:gridCol w:w="109"/>
        <w:gridCol w:w="109"/>
        <w:gridCol w:w="109"/>
        <w:gridCol w:w="230"/>
        <w:gridCol w:w="869"/>
        <w:gridCol w:w="187"/>
      </w:tblGrid>
      <w:tr>
        <w:trPr/>
        <w:tc>
          <w:tcPr>
            <w:tcW w:w="82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8359" w:type="dxa"/>
            <w:gridSpan w:val="33"/>
            <w:tcBorders/>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(528,281)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665,471 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36,890 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203,826 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(516,929)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723,476 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(11,589)</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39,296 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206,091 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(510,393)</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764,922 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8615" w:type="dxa"/>
        <w:jc w:val="center"/>
        <w:tblInd w:w="0" w:type="dxa"/>
        <w:tblLayout w:type="fixed"/>
        <w:tblCellMar>
          <w:top w:w="28" w:type="dxa"/>
          <w:left w:w="28" w:type="dxa"/>
          <w:bottom w:w="28" w:type="dxa"/>
          <w:right w:w="28" w:type="dxa"/>
        </w:tblCellMar>
      </w:tblPr>
      <w:tblGrid>
        <w:gridCol w:w="2222"/>
        <w:gridCol w:w="1949"/>
        <w:gridCol w:w="1964"/>
        <w:gridCol w:w="198"/>
        <w:gridCol w:w="747"/>
        <w:gridCol w:w="109"/>
        <w:gridCol w:w="109"/>
        <w:gridCol w:w="109"/>
        <w:gridCol w:w="109"/>
        <w:gridCol w:w="198"/>
        <w:gridCol w:w="747"/>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other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135,472 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(originations) collections from consumer receivables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in connection with ESPP</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repurchase of common stock</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 borrowings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2,493,000 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 borrowings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(2,493,000)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customer funds assets and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cash equivalents, and restricted cash</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515,896 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noncurrent assets,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517,629 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before="0" w:after="12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    Organization and Description of Business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Description of Business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which is now a wholly-owned subsidiary of Remitly Global, Inc.</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is a trusted provider of financial services that transcend borders. With a footprint spanning more than 175 countries, Remitly has built one of the world’s leading global money movement platforms, trusted by millions of customers. Remitly continues to evolve beyond a remittance company into a diversified, cross-border financial services provider, serving both consumers and businesses across a growing set of use cases.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Unless otherwise expressly stated or the context otherwise requires, the terms “Remitly” and the “Company” within these notes to the condensed consolidated financial statements refer to Remitly Global, Inc. and its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2.    Basis of Presentation and Summary of Significant Accounting Policies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Basis of Presentation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data within the Condensed Consolidated Balance Sheets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income, and cash flows for the interim periods. The interim results for the three and six months ended June 30, 2026, are not necessarily indicative of the results that may be expected for the year ending December 31, 2026, or for any other future annual or interim period.</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Principles of Consolidation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include the accounts of Remitly Global, Inc. and its wholly-owned subsidiaries. All intercompany transactions and balances have been eliminated in consolidation.</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Reclassification </w:t>
      </w:r>
    </w:p>
    <w:p>
      <w:pPr>
        <w:pStyle w:val="TextBody"/>
        <w:bidi w:val="0"/>
        <w:spacing w:lineRule="auto" w:line="288" w:before="0" w:after="180"/>
        <w:jc w:val="left"/>
        <w:rPr/>
      </w:pPr>
      <w:r>
        <w:rPr>
          <w:rFonts w:ascii="Times New Roman;serif" w:hAnsi="Times New Roman;serif"/>
          <w:b w:val="false"/>
          <w:color w:val="000000"/>
          <w:sz w:val="18"/>
        </w:rPr>
        <w:t>The condensed consolidated financial statements and notes have been prepared consistently, with the exception of the reclassification of certain prior year amounts within the Company’s Condensed Consolidated Statements of Cash Flows. Reclassifications include a change in presentation of certain cash activity related to customer funds assets and liabilities, which is comprised of disbursement prefunding, customer funds receivable, customer liabilities, and trade settlement liability included within the line item ‘</w:t>
      </w:r>
      <w:r>
        <w:rPr>
          <w:rFonts w:ascii="Times New Roman;serif" w:hAnsi="Times New Roman;serif"/>
          <w:b w:val="false"/>
          <w:i/>
          <w:color w:val="000000"/>
          <w:sz w:val="18"/>
        </w:rPr>
        <w:t>Accrued expenses and other current liabilities</w:t>
      </w:r>
      <w:r>
        <w:rPr>
          <w:color w:val="000000"/>
        </w:rPr>
        <w:t xml:space="preserve">’ </w:t>
      </w:r>
      <w:r>
        <w:rPr>
          <w:rFonts w:ascii="Times New Roman;serif" w:hAnsi="Times New Roman;serif"/>
          <w:b w:val="false"/>
          <w:color w:val="000000"/>
          <w:sz w:val="18"/>
        </w:rPr>
        <w:t>on the Condensed Consolidated Balance Sheets. Certain components of this activity were reclassified from cash flows from operating activities to cash flows from financing activities, reflected within the line item ‘</w:t>
      </w:r>
      <w:r>
        <w:rPr>
          <w:rFonts w:ascii="Times New Roman;serif" w:hAnsi="Times New Roman;serif"/>
          <w:b w:val="false"/>
          <w:i/>
          <w:color w:val="000000"/>
          <w:sz w:val="18"/>
        </w:rPr>
        <w:t>Net change in customer funds assets and liabilities</w:t>
      </w:r>
      <w:r>
        <w:rPr>
          <w:color w:val="000000"/>
        </w:rPr>
        <w:t xml:space="preserve">’ </w:t>
      </w:r>
      <w:r>
        <w:rPr>
          <w:rFonts w:ascii="Times New Roman;serif" w:hAnsi="Times New Roman;serif"/>
          <w:b w:val="false"/>
          <w:color w:val="000000"/>
          <w:sz w:val="18"/>
        </w:rPr>
        <w:t>on the Condensed Consolidated Statements of Cash Flows. This change resulted in a decrease in cash flows from operating activities of $38.6 million for the six months ended June 30, 2025, offset by a corresponding change in cash flows from financing activities. In addition, certain other immaterial amounts in the prior period Condensed Consolidated Statements of Cash Flows were reclassified. The Company has conformed the prior period Condensed Consolidated Statements of Cash Flows to the current period presentation to enhance transparency and provide comparability. These reclassifications did not affect the Company’s Condensed Consolidated Statements of Operations, Condensed Consolidated Statements of Comprehensive Income, Condensed Consolidated Balance Sheets, or Condensed Consolidated Statements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1005"/>
                <wp:effectExtent l="0" t="0" r="0" b="0"/>
                <wp:wrapNone/>
                <wp:docPr id="10" name="Frame1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Use of Estimates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preparation of the accompanying condensed consolidated financial statements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allowance for credit losses, stock-based compensation expense, the carrying value of operating lease right-of-use assets and operating lease liabilities, the realizability of deferred tax assets, capitalization of software development costs, goodwill, and intangible assets. The key assumptions applied for the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Concentration of Credit Risk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three and six months ended June 30, 2026 and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the three and six months ended June 30, 2026 and 2025, no individual customer represented 10% or more of total revenues or customer funds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Summary of Significant Accounting Policies</w:t>
      </w:r>
    </w:p>
    <w:p>
      <w:pPr>
        <w:pStyle w:val="TextBody"/>
        <w:bidi w:val="0"/>
        <w:spacing w:lineRule="auto" w:line="288" w:before="0" w:after="180"/>
        <w:jc w:val="left"/>
        <w:rPr/>
      </w:pPr>
      <w:r>
        <w:rPr>
          <w:rFonts w:ascii="Times New Roman;serif" w:hAnsi="Times New Roman;serif"/>
          <w:b w:val="false"/>
          <w:color w:val="000000"/>
          <w:sz w:val="18"/>
        </w:rPr>
        <w:t xml:space="preserve">The Company’s significant accounting policies are discussed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within the notes to the consolidated financial statements included in the Company’s Annual Report on Form 10-K for the year ended December 31, 2025. There have been no significant changes to these policies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Advertising</w:t>
      </w:r>
    </w:p>
    <w:p>
      <w:pPr>
        <w:pStyle w:val="TextBody"/>
        <w:bidi w:val="0"/>
        <w:spacing w:lineRule="auto" w:line="288" w:before="0" w:after="180"/>
        <w:jc w:val="left"/>
        <w:rPr/>
      </w:pPr>
      <w:r>
        <w:rPr>
          <w:rFonts w:ascii="Times New Roman;serif" w:hAnsi="Times New Roman;serif"/>
          <w:b w:val="false"/>
          <w:color w:val="000000"/>
          <w:sz w:val="18"/>
        </w:rPr>
        <w:t>Advertising expenses are charged to operations as incurred and are included as a component of ‘</w:t>
      </w:r>
      <w:r>
        <w:rPr>
          <w:rFonts w:ascii="Times New Roman;serif" w:hAnsi="Times New Roman;serif"/>
          <w:b w:val="false"/>
          <w:i/>
          <w:color w:val="000000"/>
          <w:sz w:val="18"/>
        </w:rPr>
        <w:t>Marketing expenses</w:t>
      </w:r>
      <w:r>
        <w:rPr>
          <w:color w:val="000000"/>
        </w:rPr>
        <w:t xml:space="preserve">’ </w:t>
      </w:r>
      <w:r>
        <w:rPr>
          <w:rFonts w:ascii="Times New Roman;serif" w:hAnsi="Times New Roman;serif"/>
          <w:b w:val="false"/>
          <w:color w:val="000000"/>
          <w:sz w:val="18"/>
        </w:rPr>
        <w:t>within the Condensed Consolidated Statements of Operations. Advertising expenses are used primarily to attract new customers. Advertising expenses totaled $83.6 million and $64.5 million during the three months ended June 30, 2026 and 2025, respectively. Advertising expenses totaled $152.8 million and $118.1 million during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Recent Accounting Pronouncements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Recently Adopted Accounting Pronouncements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Accounting Pronouncements Not Yet Adopted</w:t>
      </w:r>
    </w:p>
    <w:p>
      <w:pPr>
        <w:pStyle w:val="TextBody"/>
        <w:bidi w:val="0"/>
        <w:spacing w:lineRule="auto" w:line="288" w:before="0" w:after="0"/>
        <w:jc w:val="left"/>
        <w:rPr/>
      </w:pPr>
      <w:r>
        <w:rPr>
          <w:rFonts w:ascii="Times New Roman;serif" w:hAnsi="Times New Roman;serif"/>
          <w:b w:val="false"/>
          <w:color w:val="000000"/>
          <w:sz w:val="18"/>
        </w:rPr>
        <w:t xml:space="preserve">There have been no changes to the Company’s new accounting pronouncements not yet adopted as discussed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 xml:space="preserve">within the notes to the consolidated financial statements included in the Company’s Annual Report on Form 10-K for the year ended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are other new accounting pronouncements issued by the Financial Accounting Standards Board (“FASB”) that the Company has adopted or will adopt, as applicable. The Company does not believe any of these accounting pronouncements have had, or will have, a material impact on the condensed consolidated financial statements or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1005"/>
                <wp:effectExtent l="0" t="0" r="0" b="0"/>
                <wp:wrapNone/>
                <wp:docPr id="11" name="Frame1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3.    Revenue</w:t>
      </w:r>
    </w:p>
    <w:p>
      <w:pPr>
        <w:pStyle w:val="TextBody"/>
        <w:bidi w:val="0"/>
        <w:spacing w:lineRule="auto" w:line="288" w:before="0" w:after="180"/>
        <w:jc w:val="left"/>
        <w:rPr/>
      </w:pPr>
      <w:r>
        <w:rPr>
          <w:rFonts w:ascii="Times New Roman;serif" w:hAnsi="Times New Roman;serif"/>
          <w:b w:val="false"/>
          <w:color w:val="000000"/>
          <w:sz w:val="18"/>
        </w:rPr>
        <w:t xml:space="preserve">The Company’s primary source of revenue is generated from its global money movement product. Revenue is earned from transaction fees charged to customers and the foreign exchange spreads earned between the foreign exchange rate offered to customers and the foreign exchange rate on the Company’s currency purchases. Revenue is recognized, in an amount that reflects the consideration the Company expects to be entitled to in exchange for services provided, when control of these services is transferred to the Company’s customers, which is the time the funds have been delivered to the intended recipient. The Company accounts for revenue in accordance with Accounting Standards Codification (“ASC”) 606, </w:t>
      </w:r>
      <w:r>
        <w:rPr>
          <w:rFonts w:ascii="Times New Roman;serif" w:hAnsi="Times New Roman;serif"/>
          <w:b w:val="false"/>
          <w:i/>
          <w:color w:val="000000"/>
          <w:sz w:val="18"/>
        </w:rPr>
        <w:t>Revenue from Contracts with Customers</w:t>
      </w:r>
      <w:r>
        <w:rPr>
          <w:rFonts w:ascii="Times New Roman;serif" w:hAnsi="Times New Roman;serif"/>
          <w:b w:val="false"/>
          <w:color w:val="000000"/>
          <w:sz w:val="18"/>
        </w:rPr>
        <w:t>, which includes the following steps:</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(1)identification of the contract with a customer;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(2)identification of the performance obligations in the contract;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(3)determination of the transaction price;</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(4)allocation of the transaction price to the performance obligations in the contract; and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(5)recognition of revenue when, or as, the Company satisfies a performance obligation.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the Company’s global money movement product, customers engage the Company to perform one integrated service—collect the customer’s money and deliver funds to the intended recipient in the currency requested. Payment is generally due from the customer upfront upon initiation of a transaction, when the customer simultaneously agrees to the Company’s terms and conditions.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Revenue is derived from each transaction and varies based on the funding method chosen by the customer, the size of the transaction, the currency to be ultimately disbursed, the rate at which the currency was purchased, the disbursement method chosen by the customer, and the country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global money movement product comprises of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pStyle w:val="TextBody"/>
        <w:bidi w:val="0"/>
        <w:spacing w:lineRule="auto" w:line="288" w:before="0" w:after="180"/>
        <w:jc w:val="left"/>
        <w:rPr/>
      </w:pPr>
      <w:r>
        <w:rPr>
          <w:rFonts w:ascii="Times New Roman;serif" w:hAnsi="Times New Roman;serif"/>
          <w:b w:val="false"/>
          <w:color w:val="000000"/>
          <w:sz w:val="18"/>
        </w:rPr>
        <w:t>The Company recognizes transaction revenue on a gross basis as it is the principal for fulfilling payment transactions. As the principal to the transaction, the Company controls the service of completing payments for its customers.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serif" w:hAnsi="Times New Roman;serif"/>
          <w:b w:val="false"/>
          <w:i/>
          <w:color w:val="000000"/>
          <w:sz w:val="18"/>
        </w:rPr>
        <w:t>Transaction expenses</w:t>
      </w:r>
      <w:r>
        <w:rPr>
          <w:color w:val="000000"/>
        </w:rPr>
        <w:t xml:space="preserve">’ </w:t>
      </w:r>
      <w:r>
        <w:rPr>
          <w:rFonts w:ascii="Times New Roman;serif" w:hAnsi="Times New Roman;serif"/>
          <w:b w:val="false"/>
          <w:color w:val="000000"/>
          <w:sz w:val="18"/>
        </w:rPr>
        <w:t>within the Condensed Consolidated Statements of Operations. The Company does not have any capitalized contract acquisition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Sales Incentives </w:t>
      </w:r>
    </w:p>
    <w:p>
      <w:pPr>
        <w:pStyle w:val="TextBody"/>
        <w:bidi w:val="0"/>
        <w:spacing w:lineRule="auto" w:line="288" w:before="0" w:after="180"/>
        <w:jc w:val="left"/>
        <w:rPr/>
      </w:pPr>
      <w:r>
        <w:rPr>
          <w:rFonts w:ascii="Times New Roman;serif" w:hAnsi="Times New Roman;serif"/>
          <w:b w:val="false"/>
          <w:color w:val="000000"/>
          <w:sz w:val="18"/>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serif" w:hAnsi="Times New Roman;serif"/>
          <w:b w:val="false"/>
          <w:i/>
          <w:color w:val="000000"/>
          <w:sz w:val="18"/>
        </w:rPr>
        <w:t>Marketing expenses</w:t>
      </w:r>
      <w:r>
        <w:rPr>
          <w:color w:val="000000"/>
        </w:rPr>
        <w:t xml:space="preserve">’ </w:t>
      </w:r>
      <w:r>
        <w:rPr>
          <w:rFonts w:ascii="Times New Roman;serif" w:hAnsi="Times New Roman;serif"/>
          <w:b w:val="false"/>
          <w:color w:val="000000"/>
          <w:sz w:val="18"/>
        </w:rPr>
        <w:t>within the Condensed Consolidated Statements of Operations. In addition, referral credits given to a referrer are classified as ‘</w:t>
      </w:r>
      <w:r>
        <w:rPr>
          <w:rFonts w:ascii="Times New Roman;serif" w:hAnsi="Times New Roman;serif"/>
          <w:b w:val="false"/>
          <w:i/>
          <w:color w:val="000000"/>
          <w:sz w:val="18"/>
        </w:rPr>
        <w:t>Marketing expenses</w:t>
      </w:r>
      <w:r>
        <w:rPr>
          <w:rFonts w:ascii="Times New Roman;serif" w:hAnsi="Times New Roman;serif"/>
          <w:b w:val="false"/>
          <w:color w:val="000000"/>
          <w:sz w:val="18"/>
        </w:rPr>
        <w:t>,’ as these incentives are paid in exchange for a distinct service.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sales incentives for the three and six months ended June 30, 2026 and 2025:</w:t>
      </w:r>
    </w:p>
    <w:tbl>
      <w:tblPr>
        <w:tblW w:w="6738" w:type="dxa"/>
        <w:jc w:val="left"/>
        <w:tblInd w:w="0" w:type="dxa"/>
        <w:tblLayout w:type="fixed"/>
        <w:tblCellMar>
          <w:top w:w="28" w:type="dxa"/>
          <w:left w:w="28" w:type="dxa"/>
          <w:bottom w:w="28" w:type="dxa"/>
          <w:right w:w="28" w:type="dxa"/>
        </w:tblCellMar>
      </w:tblPr>
      <w:tblGrid>
        <w:gridCol w:w="613"/>
        <w:gridCol w:w="540"/>
        <w:gridCol w:w="541"/>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to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Times New Roman;serif" w:hAnsi="Times New Roman;serif"/>
                <w:b w:val="false"/>
                <w:color w:val="000000"/>
                <w:sz w:val="18"/>
              </w:rPr>
              <w:t>Marketing expenses</w:t>
            </w:r>
            <w:r>
              <w:rPr>
                <w:rFonts w:ascii="Times New Roman;serif" w:hAnsi="Times New Roman;serif"/>
                <w:b w:val="false"/>
                <w:color w:val="000000"/>
                <w:sz w:val="12"/>
              </w:rPr>
              <w:t>(1)</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sales incentives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23,712 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17,629 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Sales incentives that are charged to </w:t>
      </w:r>
      <w:r>
        <w:rPr>
          <w:color w:val="000000"/>
        </w:rPr>
        <w:t>‘</w:t>
      </w:r>
      <w:r>
        <w:rPr>
          <w:rFonts w:ascii="Times New Roman;serif" w:hAnsi="Times New Roman;serif"/>
          <w:b w:val="false"/>
          <w:i/>
          <w:color w:val="000000"/>
          <w:sz w:val="16"/>
        </w:rPr>
        <w:t>Marketing expenses’</w:t>
      </w:r>
      <w:r>
        <w:rPr>
          <w:color w:val="000000"/>
        </w:rPr>
        <w:t xml:space="preserve"> </w:t>
      </w:r>
      <w:r>
        <w:rPr>
          <w:rFonts w:ascii="Times New Roman;serif" w:hAnsi="Times New Roman;serif"/>
          <w:b w:val="false"/>
          <w:color w:val="000000"/>
          <w:sz w:val="16"/>
        </w:rPr>
        <w:t>are included in advertising expenses</w:t>
      </w:r>
      <w:r>
        <w:rPr>
          <w:color w:val="000000"/>
        </w:rPr>
        <w:t xml:space="preserve"> </w:t>
      </w:r>
      <w:r>
        <w:rPr>
          <w:rFonts w:ascii="Times New Roman;serif" w:hAnsi="Times New Roman;serif"/>
          <w:b w:val="false"/>
          <w:color w:val="000000"/>
          <w:sz w:val="16"/>
        </w:rPr>
        <w:t xml:space="preserve">as disclosed in Note 2. </w:t>
      </w:r>
      <w:r>
        <w:rPr>
          <w:rFonts w:ascii="Times New Roman;serif" w:hAnsi="Times New Roman;serif"/>
          <w:b w:val="false"/>
          <w:i/>
          <w:color w:val="000000"/>
          <w:sz w:val="16"/>
        </w:rPr>
        <w:t>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1005"/>
                <wp:effectExtent l="0" t="0" r="0" b="0"/>
                <wp:wrapNone/>
                <wp:docPr id="12" name="Frame1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Revenue by Geography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revenue disaggregated by primary geographical location for the three and six months ended June 30, 2026 and 2025, attributed to the country in which the sending customer is located:</w:t>
      </w:r>
    </w:p>
    <w:tbl>
      <w:tblPr>
        <w:tblW w:w="6347" w:type="dxa"/>
        <w:jc w:val="left"/>
        <w:tblInd w:w="0" w:type="dxa"/>
        <w:tblLayout w:type="fixed"/>
        <w:tblCellMar>
          <w:top w:w="28" w:type="dxa"/>
          <w:left w:w="28" w:type="dxa"/>
          <w:bottom w:w="28" w:type="dxa"/>
          <w:right w:w="28" w:type="dxa"/>
        </w:tblCellMar>
      </w:tblPr>
      <w:tblGrid>
        <w:gridCol w:w="407"/>
        <w:gridCol w:w="358"/>
        <w:gridCol w:w="359"/>
        <w:gridCol w:w="199"/>
        <w:gridCol w:w="747"/>
        <w:gridCol w:w="110"/>
        <w:gridCol w:w="110"/>
        <w:gridCol w:w="110"/>
        <w:gridCol w:w="110"/>
        <w:gridCol w:w="199"/>
        <w:gridCol w:w="747"/>
        <w:gridCol w:w="110"/>
        <w:gridCol w:w="109"/>
        <w:gridCol w:w="109"/>
        <w:gridCol w:w="109"/>
        <w:gridCol w:w="196"/>
        <w:gridCol w:w="736"/>
        <w:gridCol w:w="109"/>
        <w:gridCol w:w="109"/>
        <w:gridCol w:w="109"/>
        <w:gridCol w:w="109"/>
        <w:gridCol w:w="196"/>
        <w:gridCol w:w="73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336,824 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272,427 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97,567 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495,156 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411,852 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4.    Consumer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Consumer receivables represent outstanding amounts advanced to customers for cross-border payments processed through Remitly Flex. These receivables are interest free and are generally due in full within 30 days of the transaction in order to retain eligibility for future advances, or up to 90 days if customers enroll in a monthly subscription fee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an aging analysis of the amortized cost of consumer receivables by delinquency status as of June 30, 2026 and December 31, 2025:</w:t>
      </w:r>
    </w:p>
    <w:tbl>
      <w:tblPr>
        <w:tblW w:w="4098" w:type="dxa"/>
        <w:jc w:val="left"/>
        <w:tblInd w:w="0" w:type="dxa"/>
        <w:tblLayout w:type="fixed"/>
        <w:tblCellMar>
          <w:top w:w="28" w:type="dxa"/>
          <w:left w:w="28" w:type="dxa"/>
          <w:bottom w:w="28" w:type="dxa"/>
          <w:right w:w="28" w:type="dxa"/>
        </w:tblCellMar>
      </w:tblPr>
      <w:tblGrid>
        <w:gridCol w:w="592"/>
        <w:gridCol w:w="521"/>
        <w:gridCol w:w="522"/>
        <w:gridCol w:w="196"/>
        <w:gridCol w:w="646"/>
        <w:gridCol w:w="109"/>
        <w:gridCol w:w="109"/>
        <w:gridCol w:w="109"/>
        <w:gridCol w:w="109"/>
        <w:gridCol w:w="233"/>
        <w:gridCol w:w="769"/>
        <w:gridCol w:w="183"/>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25,288 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1 - 30 days past due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31 - 60 days past due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61 - 90 days past due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91+ days past due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amortized cost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29,606 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18"/>
        </w:rPr>
        <w:t>Consumer receivables are charged off when they are over 120 days past due and the Company has no reasonable expectation of recovery. When consumer receivables are charged off, the Company reduces the related allowance for credit losses. While the Company expects collections at that point to be unlikely, the Company may recover amounts from the respective consumers. Any subsequent recoveries following charge-off are credited to ‘</w:t>
      </w:r>
      <w:r>
        <w:rPr>
          <w:rFonts w:ascii="Times New Roman;serif" w:hAnsi="Times New Roman;serif"/>
          <w:b w:val="false"/>
          <w:i/>
          <w:color w:val="000000"/>
          <w:sz w:val="18"/>
        </w:rPr>
        <w:t>General and administrative expenses</w:t>
      </w:r>
      <w:r>
        <w:rPr>
          <w:color w:val="000000"/>
        </w:rPr>
        <w:t xml:space="preserve">’ </w:t>
      </w:r>
      <w:r>
        <w:rPr>
          <w:rFonts w:ascii="Times New Roman;serif" w:hAnsi="Times New Roman;serif"/>
          <w:b w:val="false"/>
          <w:color w:val="000000"/>
          <w:sz w:val="18"/>
        </w:rPr>
        <w:t>on the Condensed Consolidated Statements of Operations in the period they were recovered.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allowance for credit losses, charge-offs, and recoveries related to consumer receivables, as well as for other components of customer funds assets, were each not material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5.    Prepaid Expenses &amp; Other Current Assets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 consisted of the following as of June 30, 2026 and December 31, 2025:</w:t>
      </w:r>
    </w:p>
    <w:tbl>
      <w:tblPr>
        <w:tblW w:w="5522" w:type="dxa"/>
        <w:jc w:val="left"/>
        <w:tblInd w:w="0" w:type="dxa"/>
        <w:tblLayout w:type="fixed"/>
        <w:tblCellMar>
          <w:top w:w="28" w:type="dxa"/>
          <w:left w:w="28" w:type="dxa"/>
          <w:bottom w:w="28" w:type="dxa"/>
          <w:right w:w="28" w:type="dxa"/>
        </w:tblCellMar>
      </w:tblPr>
      <w:tblGrid>
        <w:gridCol w:w="1108"/>
        <w:gridCol w:w="975"/>
        <w:gridCol w:w="976"/>
        <w:gridCol w:w="196"/>
        <w:gridCol w:w="646"/>
        <w:gridCol w:w="109"/>
        <w:gridCol w:w="109"/>
        <w:gridCol w:w="109"/>
        <w:gridCol w:w="109"/>
        <w:gridCol w:w="233"/>
        <w:gridCol w:w="769"/>
        <w:gridCol w:w="183"/>
      </w:tblGrid>
      <w:tr>
        <w:trPr/>
        <w:tc>
          <w:tcPr>
            <w:tcW w:w="110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17,229 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 card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45,735 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1005"/>
                <wp:effectExtent l="0" t="0" r="0" b="0"/>
                <wp:wrapNone/>
                <wp:docPr id="13" name="Frame1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6.    Property and Equipment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consisted of the following as of June 30, 2026 and December 31, 2025:</w:t>
      </w:r>
    </w:p>
    <w:tbl>
      <w:tblPr>
        <w:tblW w:w="6048" w:type="dxa"/>
        <w:jc w:val="center"/>
        <w:tblInd w:w="0" w:type="dxa"/>
        <w:tblLayout w:type="fixed"/>
        <w:tblCellMar>
          <w:top w:w="28" w:type="dxa"/>
          <w:left w:w="28" w:type="dxa"/>
          <w:bottom w:w="28" w:type="dxa"/>
          <w:right w:w="28" w:type="dxa"/>
        </w:tblCellMar>
      </w:tblPr>
      <w:tblGrid>
        <w:gridCol w:w="1298"/>
        <w:gridCol w:w="1142"/>
        <w:gridCol w:w="1145"/>
        <w:gridCol w:w="196"/>
        <w:gridCol w:w="646"/>
        <w:gridCol w:w="109"/>
        <w:gridCol w:w="109"/>
        <w:gridCol w:w="109"/>
        <w:gridCol w:w="109"/>
        <w:gridCol w:w="233"/>
        <w:gridCol w:w="769"/>
        <w:gridCol w:w="183"/>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56,690 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and office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29,597 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Projects in process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property and equipment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106,457 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(44,936)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61,521 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amortization expense related to property and equipment was $5.8 million and $4.2 million for the three months ended June 30, 2026 and 2025, respectively. Depreciation and amortization expense related to property and equipment was $11.4 million and $7.6 million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Capitalized Internal-Use Software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capitalized internal-use software, including amortization expense recognized, for the three and six months ended June 30, 2026 and 2025:</w:t>
      </w:r>
    </w:p>
    <w:tbl>
      <w:tblPr>
        <w:tblW w:w="9948" w:type="dxa"/>
        <w:jc w:val="left"/>
        <w:tblInd w:w="0" w:type="dxa"/>
        <w:tblLayout w:type="fixed"/>
        <w:tblCellMar>
          <w:top w:w="28" w:type="dxa"/>
          <w:left w:w="28" w:type="dxa"/>
          <w:bottom w:w="28" w:type="dxa"/>
          <w:right w:w="28" w:type="dxa"/>
        </w:tblCellMar>
      </w:tblPr>
      <w:tblGrid>
        <w:gridCol w:w="1776"/>
        <w:gridCol w:w="1562"/>
        <w:gridCol w:w="1566"/>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77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Total capitalized internal-use software costs</w:t>
            </w:r>
            <w:r>
              <w:rPr>
                <w:rFonts w:ascii="Times New Roman;serif" w:hAnsi="Times New Roman;serif"/>
                <w:b w:val="false"/>
                <w:color w:val="000000"/>
                <w:sz w:val="12"/>
              </w:rPr>
              <w:t>(1)</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costs capitalized to internal-use software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Amortization expense</w:t>
            </w:r>
            <w:r>
              <w:rPr>
                <w:rFonts w:ascii="Times New Roman;serif" w:hAnsi="Times New Roman;serif"/>
                <w:b w:val="false"/>
                <w:color w:val="000000"/>
                <w:sz w:val="12"/>
              </w:rPr>
              <w:t>(2)</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Amounts are inclusive of stock-based compensation costs capitalized to internal-use software as denoted within the table.</w:t>
      </w:r>
    </w:p>
    <w:p>
      <w:pPr>
        <w:pStyle w:val="TextBody"/>
        <w:bidi w:val="0"/>
        <w:spacing w:lineRule="auto" w:line="288" w:before="0" w:after="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Amounts are included within ‘</w:t>
      </w:r>
      <w:r>
        <w:rPr>
          <w:rFonts w:ascii="Times New Roman;serif" w:hAnsi="Times New Roman;serif"/>
          <w:b w:val="false"/>
          <w:i/>
          <w:color w:val="000000"/>
          <w:sz w:val="16"/>
        </w:rPr>
        <w:t>Depreciation and amortization</w:t>
      </w:r>
      <w:r>
        <w:rPr>
          <w:color w:val="000000"/>
        </w:rPr>
        <w:t xml:space="preserve">’ </w:t>
      </w:r>
      <w:r>
        <w:rPr>
          <w:rFonts w:ascii="Times New Roman;serif" w:hAnsi="Times New Roman;serif"/>
          <w:b w:val="false"/>
          <w:color w:val="000000"/>
          <w:sz w:val="16"/>
        </w:rPr>
        <w:t>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Geographical Information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long-lived assets based on geography, which consist of Property and equipment, net and Operating lease right-of-use assets as of June 30, 2026 and December 31, 2025:</w:t>
      </w:r>
    </w:p>
    <w:tbl>
      <w:tblPr>
        <w:tblW w:w="4172" w:type="dxa"/>
        <w:jc w:val="center"/>
        <w:tblInd w:w="0" w:type="dxa"/>
        <w:tblLayout w:type="fixed"/>
        <w:tblCellMar>
          <w:top w:w="28" w:type="dxa"/>
          <w:left w:w="28" w:type="dxa"/>
          <w:bottom w:w="28" w:type="dxa"/>
          <w:right w:w="28" w:type="dxa"/>
        </w:tblCellMar>
      </w:tblPr>
      <w:tblGrid>
        <w:gridCol w:w="619"/>
        <w:gridCol w:w="544"/>
        <w:gridCol w:w="546"/>
        <w:gridCol w:w="196"/>
        <w:gridCol w:w="646"/>
        <w:gridCol w:w="109"/>
        <w:gridCol w:w="109"/>
        <w:gridCol w:w="109"/>
        <w:gridCol w:w="109"/>
        <w:gridCol w:w="233"/>
        <w:gridCol w:w="769"/>
        <w:gridCol w:w="183"/>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53,816 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73,973 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1005"/>
                <wp:effectExtent l="0" t="0" r="0" b="0"/>
                <wp:wrapNone/>
                <wp:docPr id="14" name="Frame1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7.    Intangible Assets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components of identifiable intangible assets as of June 30, 2026 and December 31, 2025 were as follows:</w:t>
      </w:r>
    </w:p>
    <w:tbl>
      <w:tblPr>
        <w:tblW w:w="12519" w:type="dxa"/>
        <w:jc w:val="left"/>
        <w:tblInd w:w="0" w:type="dxa"/>
        <w:tblLayout w:type="fixed"/>
        <w:tblCellMar>
          <w:top w:w="28" w:type="dxa"/>
          <w:left w:w="28" w:type="dxa"/>
          <w:bottom w:w="28" w:type="dxa"/>
          <w:right w:w="28" w:type="dxa"/>
        </w:tblCellMar>
      </w:tblPr>
      <w:tblGrid>
        <w:gridCol w:w="407"/>
        <w:gridCol w:w="350"/>
        <w:gridCol w:w="264"/>
        <w:gridCol w:w="196"/>
        <w:gridCol w:w="646"/>
        <w:gridCol w:w="109"/>
        <w:gridCol w:w="109"/>
        <w:gridCol w:w="109"/>
        <w:gridCol w:w="109"/>
        <w:gridCol w:w="109"/>
        <w:gridCol w:w="109"/>
        <w:gridCol w:w="219"/>
        <w:gridCol w:w="739"/>
        <w:gridCol w:w="123"/>
        <w:gridCol w:w="109"/>
        <w:gridCol w:w="109"/>
        <w:gridCol w:w="109"/>
        <w:gridCol w:w="196"/>
        <w:gridCol w:w="556"/>
        <w:gridCol w:w="109"/>
        <w:gridCol w:w="109"/>
        <w:gridCol w:w="109"/>
        <w:gridCol w:w="109"/>
        <w:gridCol w:w="490"/>
        <w:gridCol w:w="490"/>
        <w:gridCol w:w="491"/>
        <w:gridCol w:w="109"/>
        <w:gridCol w:w="109"/>
        <w:gridCol w:w="109"/>
        <w:gridCol w:w="196"/>
        <w:gridCol w:w="646"/>
        <w:gridCol w:w="109"/>
        <w:gridCol w:w="109"/>
        <w:gridCol w:w="109"/>
        <w:gridCol w:w="109"/>
        <w:gridCol w:w="219"/>
        <w:gridCol w:w="739"/>
        <w:gridCol w:w="123"/>
        <w:gridCol w:w="109"/>
        <w:gridCol w:w="109"/>
        <w:gridCol w:w="109"/>
        <w:gridCol w:w="196"/>
        <w:gridCol w:w="556"/>
        <w:gridCol w:w="109"/>
        <w:gridCol w:w="109"/>
        <w:gridCol w:w="109"/>
        <w:gridCol w:w="109"/>
        <w:gridCol w:w="490"/>
        <w:gridCol w:w="490"/>
        <w:gridCol w:w="491"/>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1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Estimated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Estimated Remaining Useful Life (in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(20,437)</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(19,375)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acquired identified intangible assets have estimated useful lives ranging from three to four years. Amortization expense for intangible assets was $0.5 million and $2.1 million for the three months ended June 30, 2026 and 2025, respectively. Amortization expense for intangible assets was $1.1 million and $4.2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Expected future intangible asset amortization as of June 30, 2026 was as follows:</w:t>
      </w:r>
    </w:p>
    <w:tbl>
      <w:tblPr>
        <w:tblW w:w="2391" w:type="dxa"/>
        <w:jc w:val="left"/>
        <w:tblInd w:w="0" w:type="dxa"/>
        <w:tblLayout w:type="fixed"/>
        <w:tblCellMar>
          <w:top w:w="28" w:type="dxa"/>
          <w:left w:w="28" w:type="dxa"/>
          <w:bottom w:w="28" w:type="dxa"/>
          <w:right w:w="28" w:type="dxa"/>
        </w:tblCellMar>
      </w:tblPr>
      <w:tblGrid>
        <w:gridCol w:w="538"/>
        <w:gridCol w:w="473"/>
        <w:gridCol w:w="474"/>
        <w:gridCol w:w="196"/>
        <w:gridCol w:w="55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8.    Fair Value Measurements</w:t>
      </w:r>
    </w:p>
    <w:p>
      <w:pPr>
        <w:pStyle w:val="TextBody"/>
        <w:bidi w:val="0"/>
        <w:spacing w:lineRule="auto" w:line="288" w:before="0" w:after="180"/>
        <w:jc w:val="left"/>
        <w:rPr/>
      </w:pPr>
      <w:r>
        <w:rPr>
          <w:rFonts w:ascii="Times New Roman;serif" w:hAnsi="Times New Roman;serif"/>
          <w:b w:val="false"/>
          <w:color w:val="000000"/>
          <w:sz w:val="18"/>
        </w:rPr>
        <w:t xml:space="preserve">As of June 30, 2026, the Company held $39.8 million of money market funds presented within </w:t>
      </w:r>
      <w:r>
        <w:rPr>
          <w:color w:val="000000"/>
        </w:rPr>
        <w:t>‘</w:t>
      </w:r>
      <w:r>
        <w:rPr>
          <w:rFonts w:ascii="Times New Roman;serif" w:hAnsi="Times New Roman;serif"/>
          <w:b w:val="false"/>
          <w:i/>
          <w:color w:val="000000"/>
          <w:sz w:val="18"/>
        </w:rPr>
        <w:t>Cash and cash equivalents’</w:t>
      </w:r>
      <w:r>
        <w:rPr>
          <w:color w:val="000000"/>
        </w:rPr>
        <w:t xml:space="preserve"> </w:t>
      </w:r>
      <w:r>
        <w:rPr>
          <w:rFonts w:ascii="Times New Roman;serif" w:hAnsi="Times New Roman;serif"/>
          <w:b w:val="false"/>
          <w:color w:val="000000"/>
          <w:sz w:val="18"/>
        </w:rPr>
        <w:t xml:space="preserve">on the Condensed Consolidated Balance Sheets. They are classified as Level 1 in the fair value hierarchy as the Company values these amounts using quoted market prices. </w:t>
      </w:r>
    </w:p>
    <w:p>
      <w:pPr>
        <w:pStyle w:val="TextBody"/>
        <w:bidi w:val="0"/>
        <w:spacing w:lineRule="auto" w:line="288" w:before="0" w:after="180"/>
        <w:jc w:val="left"/>
        <w:rPr/>
      </w:pPr>
      <w:r>
        <w:rPr>
          <w:rFonts w:ascii="Times New Roman;serif" w:hAnsi="Times New Roman;serif"/>
          <w:b w:val="false"/>
          <w:color w:val="000000"/>
          <w:sz w:val="18"/>
        </w:rPr>
        <w:t xml:space="preserve">The Company’s derivative instruments are classified as Level 2 because it uses quoted forward spot rates at the end of the applicable periods, which are corroborated by market-based pricing. As of June 30, 2026 and December 31, 2025, the notional value of the Company’s outstanding foreign exchange contracts classified as derivative instruments was $163.5 million and $25.0 million, respectively. The fair values of the related derivative assets and liabilities were not material. No material gains or losses on derivative instruments were recorded during the three and six months ended June 30, 2026 and 2025. Refer to Note 2. </w:t>
      </w:r>
      <w:r>
        <w:rPr>
          <w:rFonts w:ascii="Times New Roman;serif" w:hAnsi="Times New Roman;serif"/>
          <w:b w:val="false"/>
          <w:i/>
          <w:color w:val="000000"/>
          <w:sz w:val="18"/>
        </w:rPr>
        <w:t xml:space="preserve">Basis of Presentation and Summary of Significant Accounting Policies </w:t>
      </w:r>
      <w:r>
        <w:rPr>
          <w:rFonts w:ascii="Times New Roman;serif" w:hAnsi="Times New Roman;serif"/>
          <w:b w:val="false"/>
          <w:color w:val="000000"/>
          <w:sz w:val="18"/>
        </w:rPr>
        <w:t>within the notes to the consolidated financial statements included in the Company’s Annual Report on Form 10-K for the year ended December 31, 2025,</w:t>
      </w:r>
      <w:r>
        <w:rPr>
          <w:color w:val="000000"/>
        </w:rPr>
        <w:t xml:space="preserve"> </w:t>
      </w:r>
      <w:r>
        <w:rPr>
          <w:rFonts w:ascii="Times New Roman;serif" w:hAnsi="Times New Roman;serif"/>
          <w:b w:val="false"/>
          <w:color w:val="000000"/>
          <w:sz w:val="18"/>
        </w:rPr>
        <w:t>for additional information. Ther</w:t>
      </w:r>
      <w:r>
        <w:rPr>
          <w:rFonts w:ascii="Times New Roman;serif" w:hAnsi="Times New Roman;serif"/>
          <w:b w:val="false"/>
          <w:color w:val="000000"/>
          <w:sz w:val="18"/>
          <w:shd w:fill="FFFFFF" w:val="clear"/>
        </w:rPr>
        <w:t>e were no other financial assets and liabilities that were measured at f</w:t>
      </w:r>
      <w:r>
        <w:rPr>
          <w:rFonts w:ascii="Times New Roman;serif" w:hAnsi="Times New Roman;serif"/>
          <w:b w:val="false"/>
          <w:color w:val="000000"/>
          <w:sz w:val="18"/>
        </w:rPr>
        <w:t>air value on a recurring basis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carrying values of certain financial instruments, including cash equivalents, disbursement prefunding, customer funds receivable including consumer receivables, accounts payable, accrued expenses and other current liabilities, customer liabilities, short-term debt, and long-term debt, approximate their respective fair values due to their short-term nature. If consumer receivables were measured at fair value in the financial statements, they would be classified as Level 3. All other financial instruments would be classified as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9.    Debt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Secured Revolving Credit Facility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lineRule="auto" w:line="288" w:before="0" w:after="180"/>
        <w:jc w:val="left"/>
        <w:rPr/>
      </w:pPr>
      <w:r>
        <w:rPr>
          <w:rFonts w:ascii="Times New Roman;serif" w:hAnsi="Times New Roman;serif"/>
          <w:b w:val="false"/>
          <w:color w:val="000000"/>
          <w:sz w:val="18"/>
        </w:rPr>
        <w:t>In June 2025, Remitly Global, Inc. and Remitly, Inc., a wholly-owned subsidiary of Remitly Global, Inc., as co-borrowers, entered into a credit agreement (as amended, the “2025 Revolving Credit Facility”) with certain lenders and JPMorgan Chase Bank, N.A. acting as administrative agent and collateral agent. The 2025 Revolving Credit Facility has a revolving commitment of $550.0 million (including a $200.0 million letter of credit sub-facility). Proceeds under the 2025 Revolving Credit Facility are primarily used to support prefunding of customer flows within the Company’s global money movement product and also for general corporate purposes. As part of the 2025 Revolving Credit Facility, the Company capitalized $3.1 million of new debt issuance costs within ‘</w:t>
      </w:r>
      <w:r>
        <w:rPr>
          <w:rFonts w:ascii="Times New Roman;serif" w:hAnsi="Times New Roman;serif"/>
          <w:b w:val="false"/>
          <w:i/>
          <w:color w:val="000000"/>
          <w:sz w:val="18"/>
        </w:rPr>
        <w:t>Other noncurrent assets, net</w:t>
      </w:r>
      <w:r>
        <w:rPr>
          <w:color w:val="000000"/>
        </w:rPr>
        <w:t xml:space="preserve">’ </w:t>
      </w:r>
      <w:r>
        <w:rPr>
          <w:rFonts w:ascii="Times New Roman;serif" w:hAnsi="Times New Roman;serif"/>
          <w:b w:val="false"/>
          <w:color w:val="000000"/>
          <w:sz w:val="18"/>
        </w:rPr>
        <w:t>on the Condensed Consolidated Balance Sheets, which are amortized to interest expense over the term of the 2025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1005"/>
                <wp:effectExtent l="0" t="0" r="0" b="0"/>
                <wp:wrapNone/>
                <wp:docPr id="15" name="Frame1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2025 Revolving Credit Facility permits borrowings in the form of (a) alternate base rate loans, (b) term benchmark loans, and (c) swingline loans and has a maturity date of June 24, 2030. Borrowings under the 2025 Revolving Credit Facility accrue interest at a floating rate per annum equal to, at the Company’s option, (1) the Alternate Base Rate (defined in the 2025 Revolving Credit Facility as the rate per annum equal to the highest of (a) the Prime Rate in effect on such day, (b) the New York Federal Reserve Bank Rate in effect on such day plus 0.50%, and (c) the Term SOFR Rate for an interest period of one month plus 1.00% (subject to a floor of 1.00%) plus 0.50% per annum) or (2) the Term SOFR Rate (subject to a floor of 0.00%) plus 1.50% per annum. Such interest is payable (a) with respect to loans bearing interest based on the Alternate Base Rate, the last day of each March, June, September, and December, (b) with respect to any term benchmark loan, at the end of each applicable interest period, but in no event less frequently than three months, and (c) with respect to any swingline loan, the day the loan is required to be repaid. In addition, an unused commitment fee, which accrues at a rate per annum equal to 0.25% of the unused portion of the revolving commitments, is payable on the fifteenth business day of each January, April, July, and October. Unused commitment fees were not material during the three and six months ended June 30, 2026.</w:t>
      </w:r>
    </w:p>
    <w:p>
      <w:pPr>
        <w:pStyle w:val="TextBody"/>
        <w:bidi w:val="0"/>
        <w:spacing w:lineRule="auto" w:line="288" w:before="0" w:after="180"/>
        <w:jc w:val="left"/>
        <w:rPr/>
      </w:pPr>
      <w:r>
        <w:rPr>
          <w:rFonts w:ascii="Times New Roman;serif" w:hAnsi="Times New Roman;serif"/>
          <w:b w:val="false"/>
          <w:color w:val="000000"/>
          <w:sz w:val="18"/>
        </w:rPr>
        <w:t xml:space="preserve">The 2025 Revolving Credit Facility contains customary conditions to borrowing, events of default, and covenants, including covenants that restrict the ability to dispose of certain assets, merge with other entities, incur certain indebtedness, grant liens, pay dividends or make other distributions to holders of the Company’s capital stock, make investments, enter into restrictive agreements, or engage in certain transactions with affiliates. Financial covenants in the 2025 Revolving Credit Facility include a requirement to maintain a net leverage ratio of no greater than 4.50:1.00, which is tested quarterly. </w:t>
      </w:r>
      <w:r>
        <w:rPr>
          <w:rFonts w:ascii="Times New Roman;serif" w:hAnsi="Times New Roman;serif"/>
          <w:b w:val="false"/>
          <w:color w:val="000000"/>
          <w:sz w:val="18"/>
          <w:shd w:fill="FFFFFF" w:val="clear"/>
        </w:rPr>
        <w:t xml:space="preserve">The Company was in compliance with all financial covenants under the 2025 Revolving Credit Facility as of </w:t>
      </w:r>
      <w:r>
        <w:rPr>
          <w:rFonts w:ascii="Times New Roman;serif" w:hAnsi="Times New Roman;serif"/>
          <w:b w:val="false"/>
          <w:color w:val="000000"/>
          <w:sz w:val="18"/>
        </w:rPr>
        <w:t>June 30, 2026 and December 31, 2025</w:t>
      </w:r>
      <w:r>
        <w:rPr>
          <w:rFonts w:ascii="Times New Roman;serif" w:hAnsi="Times New Roman;serif"/>
          <w:b w:val="false"/>
          <w:color w:val="000000"/>
          <w:sz w:val="18"/>
          <w:shd w:fill="FFFFFF" w:val="clear"/>
        </w:rPr>
        <w: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obligations under the 2025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2025 Revolving Credit Facility may fluctuate depending on transaction volumes and seasonality. </w:t>
      </w:r>
    </w:p>
    <w:p>
      <w:pPr>
        <w:pStyle w:val="TextBody"/>
        <w:bidi w:val="0"/>
        <w:spacing w:lineRule="auto" w:line="288" w:before="0" w:after="180"/>
        <w:jc w:val="left"/>
        <w:rPr/>
      </w:pPr>
      <w:r>
        <w:rPr>
          <w:rFonts w:ascii="Times New Roman;serif" w:hAnsi="Times New Roman;serif"/>
          <w:b w:val="false"/>
          <w:color w:val="000000"/>
          <w:sz w:val="18"/>
        </w:rPr>
        <w:t>As of June 30, 2026, the Company had no outstanding borrowings under the 2025 Revolving Credit Facility. As of June 30, 2026, the Company had unused borrowing capacity o</w:t>
      </w:r>
      <w:r>
        <w:rPr>
          <w:rFonts w:ascii="Times New Roman;serif" w:hAnsi="Times New Roman;serif"/>
          <w:b w:val="false"/>
          <w:color w:val="000000"/>
          <w:sz w:val="18"/>
          <w:shd w:fill="FFFFFF" w:val="clear"/>
        </w:rPr>
        <w:t xml:space="preserve">f </w:t>
      </w:r>
      <w:r>
        <w:rPr>
          <w:rFonts w:ascii="Times New Roman;serif" w:hAnsi="Times New Roman;serif"/>
          <w:b w:val="false"/>
          <w:color w:val="000000"/>
          <w:sz w:val="18"/>
        </w:rPr>
        <w:t>$474.7 million under the 2025 Revolving Credit Facility and $75.3 million in issued, but undrawn, standby letters of credit.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of December 31, 2025, the Company had $155.0 million outstanding borrowings under the 2025 Revolving Credit Facility with a weighted average interest rate of 7.25%. As of December 31, 2025, the Company had unused borrowing capacity of $323.2 million under the 2025 Revolving Credit Facility and $71.8 million in issued, but undrawn, standby letters of credit.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1005"/>
                <wp:effectExtent l="0" t="0" r="0" b="0"/>
                <wp:wrapNone/>
                <wp:docPr id="16" name="Frame1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pPr>
      <w:r>
        <w:rPr>
          <w:rFonts w:ascii="Times New Roman;serif" w:hAnsi="Times New Roman;serif"/>
          <w:b/>
          <w:color w:val="000000"/>
          <w:sz w:val="18"/>
          <w:shd w:fill="FFFFFF" w:val="clear"/>
        </w:rPr>
        <w:t>10.    </w:t>
      </w:r>
      <w:r>
        <w:rPr>
          <w:rFonts w:ascii="Times New Roman;serif" w:hAnsi="Times New Roman;serif"/>
          <w:b/>
          <w:color w:val="000000"/>
          <w:sz w:val="18"/>
        </w:rPr>
        <w:t>Net Income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the calculation of basic and diluted net income per share attributable to common stockholders for the periods indicated. Basic net income per share is calculated using the weighted-average number of shares of common stock outstanding during the period. Diluted net income per share is calculated using the weighted-average number of shares of common stock outstanding including the dilutive effect of all potential shares of common stock as determined under the treasury stock method. Dilutive common shares primarily include outstanding stock options and unvested restricted stock units (“RSUs”). Certain common stock equivalents, primarily RSUs, were excluded from diluted net income per share because their effect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942"/>
        <w:gridCol w:w="1523"/>
        <w:gridCol w:w="1534"/>
        <w:gridCol w:w="207"/>
        <w:gridCol w:w="778"/>
        <w:gridCol w:w="115"/>
        <w:gridCol w:w="115"/>
        <w:gridCol w:w="115"/>
        <w:gridCol w:w="115"/>
        <w:gridCol w:w="207"/>
        <w:gridCol w:w="588"/>
        <w:gridCol w:w="115"/>
        <w:gridCol w:w="109"/>
        <w:gridCol w:w="109"/>
        <w:gridCol w:w="109"/>
        <w:gridCol w:w="196"/>
        <w:gridCol w:w="736"/>
        <w:gridCol w:w="109"/>
        <w:gridCol w:w="109"/>
        <w:gridCol w:w="109"/>
        <w:gridCol w:w="109"/>
        <w:gridCol w:w="196"/>
        <w:gridCol w:w="646"/>
        <w:gridCol w:w="314"/>
      </w:tblGrid>
      <w:tr>
        <w:trPr/>
        <w:tc>
          <w:tcPr>
            <w:tcW w:w="194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99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per share attributable to common stockholders:</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210,839 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204,693 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203,227 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15,477 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221,049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bookmarkStart w:id="0" w:name="i11092f8e13f448e9a018be931609bc1c_11-5-1"/>
            <w:bookmarkEnd w:id="0"/>
            <w:r>
              <w:rPr>
                <w:rFonts w:ascii="Times New Roman;serif" w:hAnsi="Times New Roman;serif"/>
                <w:b w:val="false"/>
                <w:color w:val="000000"/>
                <w:sz w:val="18"/>
              </w:rPr>
              <w:t>219,023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218,704</w:t>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 attributable to common stockholders:</w:t>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Common stock equivalents excluded from diluted net income per share</w:t>
            </w:r>
            <w:r>
              <w:rPr>
                <w:rFonts w:ascii="Times New Roman;serif" w:hAnsi="Times New Roman;serif"/>
                <w:b w:val="false"/>
                <w:color w:val="000000"/>
                <w:sz w:val="12"/>
              </w:rPr>
              <w:t>(1)</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June 30, 2026, performance stock units (“PSUs”) to be settled in 1.5 million shares of common stock were excluded as they are subject to market conditions that were not achieved as of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11.    Common Stock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of June 30, 2026, the Company has authorized 725.0 million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Pledge 1% Stock Donation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July 2021, the Company’s board of directors approved the reservation of up to 1.8 million shares of common stock that the Company may issue to or for the benefit of a 501(c)(3) nonprofit foundation or a similar charitable organization pursuant to the Company’s Pledge 1% commitment, in installments over ten years.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During both of the three and six months ended June 30, 2026 and 2025, the Company donated 45,490 and 90,980 shares, respectively, of its common stock to the Remitly Foundation, a donor advised fund at Rockefeller Philanthropy Advisors.</w:t>
      </w:r>
    </w:p>
    <w:p>
      <w:pPr>
        <w:pStyle w:val="TextBody"/>
        <w:bidi w:val="0"/>
        <w:spacing w:lineRule="auto" w:line="288" w:before="0" w:after="180"/>
        <w:jc w:val="left"/>
        <w:rPr/>
      </w:pPr>
      <w:r>
        <w:rPr>
          <w:rFonts w:ascii="Times New Roman;serif" w:hAnsi="Times New Roman;serif"/>
          <w:b w:val="false"/>
          <w:color w:val="000000"/>
          <w:sz w:val="18"/>
        </w:rPr>
        <w:t xml:space="preserve">For the three months ended June 30, 2026 and 2025, the Company recorded a charge </w:t>
      </w:r>
      <w:r>
        <w:rPr>
          <w:rFonts w:ascii="Times New Roman;serif" w:hAnsi="Times New Roman;serif"/>
          <w:b w:val="false"/>
          <w:color w:val="000000"/>
          <w:sz w:val="18"/>
          <w:shd w:fill="FFFFFF" w:val="clear"/>
        </w:rPr>
        <w:t xml:space="preserve">of </w:t>
      </w:r>
      <w:r>
        <w:rPr>
          <w:rFonts w:ascii="Times New Roman;serif" w:hAnsi="Times New Roman;serif"/>
          <w:b w:val="false"/>
          <w:color w:val="000000"/>
          <w:sz w:val="18"/>
        </w:rPr>
        <w:t>$1.0 million and $0.9 million, respectively. For the six months ended June 30, 2026 and 2025, the Company recorded a charge of $1.7 million and $1.9 million, respectively. These charges are recorded to ‘</w:t>
      </w:r>
      <w:r>
        <w:rPr>
          <w:rFonts w:ascii="Times New Roman;serif" w:hAnsi="Times New Roman;serif"/>
          <w:b w:val="false"/>
          <w:i/>
          <w:color w:val="000000"/>
          <w:sz w:val="18"/>
        </w:rPr>
        <w:t>General and administrative expenses</w:t>
      </w:r>
      <w:r>
        <w:rPr>
          <w:color w:val="000000"/>
        </w:rPr>
        <w:t xml:space="preserve">’ </w:t>
      </w:r>
      <w:r>
        <w:rPr>
          <w:rFonts w:ascii="Times New Roman;serif" w:hAnsi="Times New Roman;serif"/>
          <w:b w:val="false"/>
          <w:color w:val="000000"/>
          <w:sz w:val="18"/>
        </w:rPr>
        <w:t>on the</w:t>
      </w:r>
      <w:r>
        <w:rPr>
          <w:color w:val="000000"/>
        </w:rPr>
        <w:t xml:space="preserve"> </w:t>
      </w:r>
      <w:r>
        <w:rPr>
          <w:rFonts w:ascii="Times New Roman;serif" w:hAnsi="Times New Roman;serif"/>
          <w:b w:val="false"/>
          <w:color w:val="000000"/>
          <w:sz w:val="18"/>
        </w:rPr>
        <w:t xml:space="preserve">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Share Repurchase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July 2025, the Company’s board of directors approved a share repurchase program that provides for the repurchase of up to an aggregate $200.0 million of the Company’s outstanding common stock. The share repurchase program does not expire and may be suspended, discontinued, or modified at any time without notice, at the Company’s discretion. Any share repurchases under the Company’s share repurchase program may be made through open market transactions, in privately negotiated transactions, or by other means, including through the use of trading plans intended to qualify under 10b5-1 under the Securities Exchange Act of 1934, as amended, in accordance with applicable securities laws and other restrictions. </w:t>
      </w:r>
    </w:p>
    <w:p>
      <w:pPr>
        <w:pStyle w:val="TextBody"/>
        <w:bidi w:val="0"/>
        <w:spacing w:lineRule="auto" w:line="288" w:before="0" w:after="180"/>
        <w:jc w:val="left"/>
        <w:rPr/>
      </w:pPr>
      <w:r>
        <w:rPr>
          <w:rFonts w:ascii="Times New Roman;serif" w:hAnsi="Times New Roman;serif"/>
          <w:b w:val="false"/>
          <w:color w:val="000000"/>
          <w:sz w:val="18"/>
        </w:rPr>
        <w:t xml:space="preserve">During the six months ended June 30, 2026, in accordance with its share repurchase program, the Company repurchased and retired an aggregate 3.9 million shares of its common stock for $65.6 million, which was recorded to </w:t>
      </w:r>
      <w:r>
        <w:rPr>
          <w:color w:val="000000"/>
        </w:rPr>
        <w:t>‘</w:t>
      </w:r>
      <w:r>
        <w:rPr>
          <w:rFonts w:ascii="Times New Roman;serif" w:hAnsi="Times New Roman;serif"/>
          <w:b w:val="false"/>
          <w:i/>
          <w:color w:val="000000"/>
          <w:sz w:val="18"/>
        </w:rPr>
        <w:t>Additional paid in capital’</w:t>
      </w:r>
      <w:r>
        <w:rPr>
          <w:color w:val="000000"/>
        </w:rPr>
        <w:t xml:space="preserve"> </w:t>
      </w:r>
      <w:r>
        <w:rPr>
          <w:rFonts w:ascii="Times New Roman;serif" w:hAnsi="Times New Roman;serif"/>
          <w:b w:val="false"/>
          <w:color w:val="000000"/>
          <w:sz w:val="18"/>
        </w:rPr>
        <w:t>on the Condensed Consolidated Balance Sheets. As of June 30, 2026, a total of $110.5 million remained available for future repurchases of the Company’s common stock under the share repurchase program. There were no share repurchases completed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1005"/>
                <wp:effectExtent l="0" t="0" r="0" b="0"/>
                <wp:wrapNone/>
                <wp:docPr id="17" name="Frame1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12.    Stock-Based Compensation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Shares Available for Issuance</w:t>
      </w:r>
    </w:p>
    <w:p>
      <w:pPr>
        <w:pStyle w:val="TextBody"/>
        <w:bidi w:val="0"/>
        <w:spacing w:lineRule="auto" w:line="288" w:before="0" w:after="180"/>
        <w:jc w:val="left"/>
        <w:rPr/>
      </w:pPr>
      <w:r>
        <w:rPr>
          <w:rFonts w:ascii="Times New Roman;serif" w:hAnsi="Times New Roman;serif"/>
          <w:b w:val="false"/>
          <w:color w:val="000000"/>
          <w:sz w:val="18"/>
          <w:shd w:fill="FFFFFF" w:val="clear"/>
        </w:rPr>
        <w:t xml:space="preserve">As of </w:t>
      </w:r>
      <w:r>
        <w:rPr>
          <w:rFonts w:ascii="Times New Roman;serif" w:hAnsi="Times New Roman;serif"/>
          <w:b w:val="false"/>
          <w:color w:val="000000"/>
          <w:sz w:val="18"/>
        </w:rPr>
        <w:t>June 30, 2026</w:t>
      </w:r>
      <w:r>
        <w:rPr>
          <w:rFonts w:ascii="Times New Roman;serif" w:hAnsi="Times New Roman;serif"/>
          <w:b w:val="false"/>
          <w:color w:val="000000"/>
          <w:sz w:val="18"/>
          <w:shd w:fill="FFFFFF" w:val="clear"/>
        </w:rPr>
        <w:t xml:space="preserve">, </w:t>
      </w:r>
      <w:r>
        <w:rPr>
          <w:rFonts w:ascii="Times New Roman;serif" w:hAnsi="Times New Roman;serif"/>
          <w:b w:val="false"/>
          <w:color w:val="000000"/>
          <w:sz w:val="18"/>
        </w:rPr>
        <w:t>23.3 million</w:t>
      </w:r>
      <w:r>
        <w:rPr>
          <w:color w:val="000000"/>
          <w:shd w:fill="FFFFFF" w:val="clear"/>
        </w:rPr>
        <w:t xml:space="preserve"> </w:t>
      </w:r>
      <w:r>
        <w:rPr>
          <w:rFonts w:ascii="Times New Roman;serif" w:hAnsi="Times New Roman;serif"/>
          <w:b w:val="false"/>
          <w:color w:val="000000"/>
          <w:sz w:val="18"/>
          <w:shd w:fill="FFFFFF" w:val="clear"/>
        </w:rPr>
        <w:t xml:space="preserve">and </w:t>
      </w:r>
      <w:r>
        <w:rPr>
          <w:rFonts w:ascii="Times New Roman;serif" w:hAnsi="Times New Roman;serif"/>
          <w:b w:val="false"/>
          <w:color w:val="000000"/>
          <w:sz w:val="18"/>
        </w:rPr>
        <w:t>9.6 million</w:t>
      </w:r>
      <w:r>
        <w:rPr>
          <w:color w:val="000000"/>
          <w:shd w:fill="FFFFFF" w:val="clear"/>
        </w:rPr>
        <w:t xml:space="preserve"> </w:t>
      </w:r>
      <w:r>
        <w:rPr>
          <w:rFonts w:ascii="Times New Roman;serif" w:hAnsi="Times New Roman;serif"/>
          <w:b w:val="false"/>
          <w:color w:val="000000"/>
          <w:sz w:val="18"/>
          <w:shd w:fill="FFFFFF" w:val="clear"/>
        </w:rPr>
        <w:t>shares remained available for issuance under the 2021 Equity Incentive Plan and the Employee Stock Purchase Plan (“ESPP”), respectively.</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Stock Options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stock option activity during the six months ended June 30, 2026:</w:t>
      </w:r>
    </w:p>
    <w:tbl>
      <w:tblPr>
        <w:tblW w:w="10205" w:type="dxa"/>
        <w:jc w:val="left"/>
        <w:tblInd w:w="0" w:type="dxa"/>
        <w:tblLayout w:type="fixed"/>
        <w:tblCellMar>
          <w:top w:w="28" w:type="dxa"/>
          <w:left w:w="28" w:type="dxa"/>
          <w:bottom w:w="28" w:type="dxa"/>
          <w:right w:w="28" w:type="dxa"/>
        </w:tblCellMar>
      </w:tblPr>
      <w:tblGrid>
        <w:gridCol w:w="719"/>
        <w:gridCol w:w="616"/>
        <w:gridCol w:w="620"/>
        <w:gridCol w:w="527"/>
        <w:gridCol w:w="527"/>
        <w:gridCol w:w="529"/>
        <w:gridCol w:w="109"/>
        <w:gridCol w:w="109"/>
        <w:gridCol w:w="109"/>
        <w:gridCol w:w="481"/>
        <w:gridCol w:w="1147"/>
        <w:gridCol w:w="269"/>
        <w:gridCol w:w="109"/>
        <w:gridCol w:w="109"/>
        <w:gridCol w:w="109"/>
        <w:gridCol w:w="775"/>
        <w:gridCol w:w="775"/>
        <w:gridCol w:w="776"/>
        <w:gridCol w:w="109"/>
        <w:gridCol w:w="109"/>
        <w:gridCol w:w="109"/>
        <w:gridCol w:w="286"/>
        <w:gridCol w:w="945"/>
        <w:gridCol w:w="232"/>
      </w:tblGrid>
      <w:tr>
        <w:trPr/>
        <w:tc>
          <w:tcPr>
            <w:tcW w:w="71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r>
      <w:tr>
        <w:trPr/>
        <w:tc>
          <w:tcPr>
            <w:tcW w:w="1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Weighted-Average Remaining Contractual Life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Aggregate Intrinsic Value</w:t>
            </w:r>
            <w:r>
              <w:rPr>
                <w:rFonts w:ascii="Times New Roman;serif" w:hAnsi="Times New Roman;serif"/>
                <w:b/>
                <w:color w:val="000000"/>
                <w:sz w:val="10"/>
              </w:rPr>
              <w:t>(1)</w:t>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January 1, 2026</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4,688 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36,639 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June 30, 2026</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4,240 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68,457 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Vested and exercisable as of June 30, 2026</w:t>
            </w:r>
          </w:p>
        </w:tc>
        <w:tc>
          <w:tcPr>
            <w:tcW w:w="10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4,240 </w:t>
            </w:r>
          </w:p>
        </w:tc>
        <w:tc>
          <w:tcPr>
            <w:tcW w:w="5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68,457 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Vested and expected to vest as of June 30, 2026</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68,457 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6"/>
        </w:rPr>
        <w:t>The aggregate intrinsic value is calculated as the difference between the exercise price of the underlying stock options and the estimated fair value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 stock options were granted during the six months ended June 30, 2026 or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stock option activity during the six months ended June 30, 2026 and 2025:</w:t>
      </w:r>
    </w:p>
    <w:tbl>
      <w:tblPr>
        <w:tblW w:w="5844" w:type="dxa"/>
        <w:jc w:val="left"/>
        <w:tblInd w:w="0" w:type="dxa"/>
        <w:tblLayout w:type="fixed"/>
        <w:tblCellMar>
          <w:top w:w="28" w:type="dxa"/>
          <w:left w:w="28" w:type="dxa"/>
          <w:bottom w:w="28" w:type="dxa"/>
          <w:right w:w="28" w:type="dxa"/>
        </w:tblCellMar>
      </w:tblPr>
      <w:tblGrid>
        <w:gridCol w:w="1293"/>
        <w:gridCol w:w="1137"/>
        <w:gridCol w:w="1140"/>
        <w:gridCol w:w="229"/>
        <w:gridCol w:w="476"/>
        <w:gridCol w:w="127"/>
        <w:gridCol w:w="127"/>
        <w:gridCol w:w="127"/>
        <w:gridCol w:w="127"/>
        <w:gridCol w:w="229"/>
        <w:gridCol w:w="652"/>
        <w:gridCol w:w="180"/>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grant-date fair value of options vested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Aggregate intrinsic value of options exercised</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Restricted Stock Units and Performance Stock Units</w:t>
      </w:r>
    </w:p>
    <w:p>
      <w:pPr>
        <w:pStyle w:val="TextBody"/>
        <w:bidi w:val="0"/>
        <w:spacing w:lineRule="auto" w:line="288" w:before="0" w:after="180"/>
        <w:jc w:val="left"/>
        <w:rPr/>
      </w:pPr>
      <w:r>
        <w:rPr>
          <w:rFonts w:ascii="Times New Roman;serif" w:hAnsi="Times New Roman;serif"/>
          <w:b w:val="false"/>
          <w:color w:val="000000"/>
          <w:sz w:val="18"/>
        </w:rPr>
        <w:t xml:space="preserve">The Company has both time-vested RSUs and PSUs with market- and time-based vesting conditions. Refer to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 xml:space="preserve">within the notes to the consolidated financial statements included in the Company’s Annual Report on Form 10-K for the year ended December 31, 2025 for further discussion regarding the Company’s RSUs. During the six months ended June 30, 2026, the Company granted PSUs with market- and service-based vesting conditions, the fair value of which was determined using a Monte Carlo simulation model. The related assumptions used in the valuation model include expected term, volatility, dividend yield, and risk-free interest rate. Stock-based compensation expense related to the PSUs was not material for the three and six months ended June 30, 2026. No PSUs were granted or outstanding during the three and six months ended June 30, 2025.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RSU and PSU activity during the six months ended June 30, 2026 was as follows:</w:t>
      </w:r>
    </w:p>
    <w:tbl>
      <w:tblPr>
        <w:tblW w:w="8440" w:type="dxa"/>
        <w:jc w:val="left"/>
        <w:tblInd w:w="0" w:type="dxa"/>
        <w:tblLayout w:type="fixed"/>
        <w:tblCellMar>
          <w:top w:w="28" w:type="dxa"/>
          <w:left w:w="28" w:type="dxa"/>
          <w:bottom w:w="28" w:type="dxa"/>
          <w:right w:w="28" w:type="dxa"/>
        </w:tblCellMar>
      </w:tblPr>
      <w:tblGrid>
        <w:gridCol w:w="976"/>
        <w:gridCol w:w="858"/>
        <w:gridCol w:w="865"/>
        <w:gridCol w:w="469"/>
        <w:gridCol w:w="469"/>
        <w:gridCol w:w="471"/>
        <w:gridCol w:w="109"/>
        <w:gridCol w:w="109"/>
        <w:gridCol w:w="109"/>
        <w:gridCol w:w="864"/>
        <w:gridCol w:w="2457"/>
        <w:gridCol w:w="684"/>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 Per Share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January 1, 2026</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9,385 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June 30, 2026</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21,854 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1005"/>
                <wp:effectExtent l="0" t="0" r="0" b="0"/>
                <wp:wrapNone/>
                <wp:docPr id="18" name="Frame1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RSU and PSU activity during the six months ended June 30, 2026 and 2025:</w:t>
      </w:r>
    </w:p>
    <w:tbl>
      <w:tblPr>
        <w:tblW w:w="6384" w:type="dxa"/>
        <w:jc w:val="left"/>
        <w:tblInd w:w="0" w:type="dxa"/>
        <w:tblLayout w:type="fixed"/>
        <w:tblCellMar>
          <w:top w:w="28" w:type="dxa"/>
          <w:left w:w="28" w:type="dxa"/>
          <w:bottom w:w="28" w:type="dxa"/>
          <w:right w:w="28" w:type="dxa"/>
        </w:tblCellMar>
      </w:tblPr>
      <w:tblGrid>
        <w:gridCol w:w="1486"/>
        <w:gridCol w:w="1306"/>
        <w:gridCol w:w="1317"/>
        <w:gridCol w:w="213"/>
        <w:gridCol w:w="605"/>
        <w:gridCol w:w="118"/>
        <w:gridCol w:w="118"/>
        <w:gridCol w:w="118"/>
        <w:gridCol w:w="118"/>
        <w:gridCol w:w="213"/>
        <w:gridCol w:w="605"/>
        <w:gridCol w:w="167"/>
      </w:tblGrid>
      <w:tr>
        <w:trPr/>
        <w:tc>
          <w:tcPr>
            <w:tcW w:w="14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grant-date fair value per share granted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Aggregate grant-date fair value of shares vested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Employee Stock Purchase Plan (“ESPP”)</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 new 12-month ESPP offering period commences on March 1 and September 1 of each fiscal year, and the plan includes a rollover feature for the purchase price if the Company's stock price at the end of the purchase period is less than the Company's stock price on the first day of the offering period. If this rollover feature is triggered, a new offering period begins. The rollover feature had an immaterial impact for all periods presented and any incremental stock-based compensation expense is recognized over each new offering period.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fair value of the ESPP offerings, including those described above, were estimated using the Black-Scholes option-pricing model as of the respective offering dates, using the assumptions below. These assumptions represent the grant-date fair value inputs for new offerings which commenced during the six months ended June 30, 2026 and 2025, as well as updated valuation information as of the modification date for any offerings for which a modification occurred during the periods presented herein:</w:t>
      </w:r>
    </w:p>
    <w:tbl>
      <w:tblPr>
        <w:tblW w:w="5065" w:type="dxa"/>
        <w:jc w:val="left"/>
        <w:tblInd w:w="0" w:type="dxa"/>
        <w:tblLayout w:type="fixed"/>
        <w:tblCellMar>
          <w:top w:w="28" w:type="dxa"/>
          <w:left w:w="28" w:type="dxa"/>
          <w:bottom w:w="28" w:type="dxa"/>
          <w:right w:w="28" w:type="dxa"/>
        </w:tblCellMar>
      </w:tblPr>
      <w:tblGrid>
        <w:gridCol w:w="619"/>
        <w:gridCol w:w="543"/>
        <w:gridCol w:w="547"/>
        <w:gridCol w:w="290"/>
        <w:gridCol w:w="290"/>
        <w:gridCol w:w="680"/>
        <w:gridCol w:w="191"/>
        <w:gridCol w:w="191"/>
        <w:gridCol w:w="191"/>
        <w:gridCol w:w="290"/>
        <w:gridCol w:w="290"/>
        <w:gridCol w:w="680"/>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3.51% to 3.65%</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3.92% to 4.26%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Expected term</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0.5 to 1.0 year</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0.5 to 2.0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49.2% to 52.4%</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43.8% to 49.1%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rate</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Stock-Based Compensation Expense, Net</w:t>
      </w:r>
    </w:p>
    <w:p>
      <w:pPr>
        <w:pStyle w:val="TextBody"/>
        <w:bidi w:val="0"/>
        <w:spacing w:lineRule="auto" w:line="288" w:before="0" w:after="180"/>
        <w:jc w:val="left"/>
        <w:rPr/>
      </w:pPr>
      <w:r>
        <w:rPr>
          <w:rFonts w:ascii="Times New Roman;serif" w:hAnsi="Times New Roman;serif"/>
          <w:b w:val="false"/>
          <w:color w:val="000000"/>
          <w:sz w:val="18"/>
        </w:rPr>
        <w:t xml:space="preserve">Stock-based compensation expense, net for stock options, RSUs, PSUs, and the ESPP, included within the Condensed Consolidated Statements of Operations, net of amounts capitalized to internal-use software, as described in Note 6. </w:t>
      </w:r>
      <w:r>
        <w:rPr>
          <w:rFonts w:ascii="Times New Roman;serif" w:hAnsi="Times New Roman;serif"/>
          <w:b w:val="false"/>
          <w:i/>
          <w:color w:val="000000"/>
          <w:sz w:val="18"/>
        </w:rPr>
        <w:t>Property and Equipment</w:t>
      </w:r>
      <w:r>
        <w:rPr>
          <w:rFonts w:ascii="Times New Roman;serif" w:hAnsi="Times New Roman;serif"/>
          <w:b w:val="false"/>
          <w:color w:val="000000"/>
          <w:sz w:val="18"/>
        </w:rPr>
        <w:t>, was as follows:</w:t>
      </w:r>
    </w:p>
    <w:tbl>
      <w:tblPr>
        <w:tblW w:w="7518" w:type="dxa"/>
        <w:jc w:val="left"/>
        <w:tblInd w:w="0" w:type="dxa"/>
        <w:tblLayout w:type="fixed"/>
        <w:tblCellMar>
          <w:top w:w="28" w:type="dxa"/>
          <w:left w:w="28" w:type="dxa"/>
          <w:bottom w:w="28" w:type="dxa"/>
          <w:right w:w="28" w:type="dxa"/>
        </w:tblCellMar>
      </w:tblPr>
      <w:tblGrid>
        <w:gridCol w:w="896"/>
        <w:gridCol w:w="788"/>
        <w:gridCol w:w="790"/>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34,491 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38,066 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June 30, 2026, the total unamortized compensation cost related to all non-vested equity awards, including RSUs and PSUs, was $308.5 million, which will be amortized over a weighted-average remaining requisite service period of approximately 2.3 years. As of June 30, 2026, the total unrecognized compensation expense related to the ESPP was $1.6 million, which is expected to be amortized over the next 0.7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13.    Restructuring Initiatives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the three months ended March 31, 2026, the Company began implementing restructuring plans to simplify and scale certain processes, functions, and team capabilities.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incurred include severance and related termination benefits, and lease exit costs associated with changes to the Company’s leased facilities in Israel and Ireland, including impairments of property and equipment, as the Company evaluates updates to its operations in those locations. These specific restructuring initiatives are expected to be completed by December 31, 2026.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 incurred charges of $4.2 million and $15.8 million for the three and six months ended June 30, 2026, respectively, related to these initiatives. There were no restructuring costs during the three and six months ended June 30, 2025 related to these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1005"/>
                <wp:effectExtent l="0" t="0" r="0" b="0"/>
                <wp:wrapNone/>
                <wp:docPr id="19" name="Frame1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restructuring costs included within the Condensed Consolidated Statements of Operations for the three and six months ended June 30, 2026:</w:t>
      </w:r>
    </w:p>
    <w:tbl>
      <w:tblPr>
        <w:tblW w:w="7524" w:type="dxa"/>
        <w:jc w:val="center"/>
        <w:tblInd w:w="0" w:type="dxa"/>
        <w:tblLayout w:type="fixed"/>
        <w:tblCellMar>
          <w:top w:w="28" w:type="dxa"/>
          <w:left w:w="28" w:type="dxa"/>
          <w:bottom w:w="28" w:type="dxa"/>
          <w:right w:w="28" w:type="dxa"/>
        </w:tblCellMar>
      </w:tblPr>
      <w:tblGrid>
        <w:gridCol w:w="896"/>
        <w:gridCol w:w="788"/>
        <w:gridCol w:w="790"/>
        <w:gridCol w:w="556"/>
        <w:gridCol w:w="1579"/>
        <w:gridCol w:w="309"/>
        <w:gridCol w:w="109"/>
        <w:gridCol w:w="109"/>
        <w:gridCol w:w="109"/>
        <w:gridCol w:w="448"/>
        <w:gridCol w:w="1479"/>
        <w:gridCol w:w="352"/>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4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2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restructuring costs</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15,783 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changes in liabilities by major type of cost, including expenses incurred and cash payments resulting from the restructuring costs and related accruals, during the six months ended June 30, 2026:</w:t>
      </w:r>
    </w:p>
    <w:tbl>
      <w:tblPr>
        <w:tblW w:w="9041" w:type="dxa"/>
        <w:jc w:val="center"/>
        <w:tblInd w:w="0" w:type="dxa"/>
        <w:tblLayout w:type="fixed"/>
        <w:tblCellMar>
          <w:top w:w="28" w:type="dxa"/>
          <w:left w:w="28" w:type="dxa"/>
          <w:bottom w:w="28" w:type="dxa"/>
          <w:right w:w="28" w:type="dxa"/>
        </w:tblCellMar>
      </w:tblPr>
      <w:tblGrid>
        <w:gridCol w:w="907"/>
        <w:gridCol w:w="798"/>
        <w:gridCol w:w="800"/>
        <w:gridCol w:w="802"/>
        <w:gridCol w:w="2274"/>
        <w:gridCol w:w="448"/>
        <w:gridCol w:w="109"/>
        <w:gridCol w:w="109"/>
        <w:gridCol w:w="109"/>
        <w:gridCol w:w="696"/>
        <w:gridCol w:w="1442"/>
        <w:gridCol w:w="547"/>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Severance and related termination benefits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Lease exit and other related costs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incurred</w:t>
            </w:r>
          </w:p>
        </w:tc>
        <w:tc>
          <w:tcPr>
            <w:tcW w:w="3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13,704 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w:t>
            </w:r>
          </w:p>
        </w:tc>
        <w:tc>
          <w:tcPr>
            <w:tcW w:w="3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(9,791)</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Noncash charges</w:t>
            </w:r>
            <w:r>
              <w:rPr>
                <w:rFonts w:ascii="Times New Roman;serif" w:hAnsi="Times New Roman;serif"/>
                <w:b w:val="false"/>
                <w:color w:val="000000"/>
                <w:sz w:val="10"/>
              </w:rPr>
              <w:t>(2)</w:t>
            </w:r>
          </w:p>
        </w:tc>
        <w:tc>
          <w:tcPr>
            <w:tcW w:w="3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3,913 </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Accrued restructuring liability associated with these costs is included within “</w:t>
      </w:r>
      <w:r>
        <w:rPr>
          <w:rFonts w:ascii="Times New Roman;serif" w:hAnsi="Times New Roman;serif"/>
          <w:b w:val="false"/>
          <w:i/>
          <w:color w:val="000000"/>
          <w:sz w:val="16"/>
        </w:rPr>
        <w:t>Accrued expenses and other current liabilities</w:t>
      </w:r>
      <w:r>
        <w:rPr>
          <w:color w:val="000000"/>
        </w:rPr>
        <w:t xml:space="preserve">” </w:t>
      </w:r>
      <w:r>
        <w:rPr>
          <w:rFonts w:ascii="Times New Roman;serif" w:hAnsi="Times New Roman;serif"/>
          <w:b w:val="false"/>
          <w:color w:val="000000"/>
          <w:sz w:val="16"/>
        </w:rPr>
        <w:t>on the Condensed Consolidated Balance Sheets.</w:t>
      </w:r>
    </w:p>
    <w:p>
      <w:pPr>
        <w:pStyle w:val="TextBody"/>
        <w:bidi w:val="0"/>
        <w:spacing w:lineRule="auto" w:line="288" w:before="0" w:after="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Noncash charges includes noncash write-offs of right-of-use assets and property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14.    Income Taxes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 computes its (benefit from) provision for income taxes for interim periods by applying the estimated annual effective tax rate to year-to-date income from recurring operations and adjusting for discrete items arising in that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val="false"/>
          <w:color w:val="000000"/>
          <w:sz w:val="18"/>
        </w:rPr>
        <w:t>The Company’s effective tax rates on pre-tax income wer</w:t>
      </w:r>
      <w:r>
        <w:rPr>
          <w:rFonts w:ascii="Times New Roman;serif" w:hAnsi="Times New Roman;serif"/>
          <w:b w:val="false"/>
          <w:color w:val="000000"/>
          <w:sz w:val="18"/>
          <w:shd w:fill="FFFFFF" w:val="clear"/>
        </w:rPr>
        <w:t xml:space="preserve">e (218.5)% and 19.4% for the three months ended June 30, 2026 and 2025, respectively, and (118.4)% and 22.4% for the </w:t>
      </w:r>
      <w:r>
        <w:rPr>
          <w:rFonts w:ascii="Times New Roman;serif" w:hAnsi="Times New Roman;serif"/>
          <w:b w:val="false"/>
          <w:color w:val="000000"/>
          <w:sz w:val="18"/>
        </w:rPr>
        <w:t>six</w:t>
      </w:r>
      <w:r>
        <w:rPr>
          <w:color w:val="000000"/>
          <w:shd w:fill="FFFFFF" w:val="clear"/>
        </w:rPr>
        <w:t xml:space="preserve"> </w:t>
      </w:r>
      <w:r>
        <w:rPr>
          <w:rFonts w:ascii="Times New Roman;serif" w:hAnsi="Times New Roman;serif"/>
          <w:b w:val="false"/>
          <w:color w:val="000000"/>
          <w:sz w:val="18"/>
          <w:shd w:fill="FFFFFF" w:val="clear"/>
        </w:rPr>
        <w:t xml:space="preserve">months ended June 30, 2026 and 2025, respectively. </w:t>
      </w:r>
      <w:r>
        <w:rPr>
          <w:rFonts w:ascii="Times New Roman;serif" w:hAnsi="Times New Roman;serif"/>
          <w:b w:val="false"/>
          <w:color w:val="000000"/>
          <w:sz w:val="18"/>
        </w:rPr>
        <w:t xml:space="preserve">The difference between the effective tax rate and the U.S. federal statutory rate of 21.0% for the three and six months ended June 30, 2026 was primarily the result of the release of the Company's valuation allowance against its U.S. deferred tax assets. For the three and six months ended June 30, 2025, the difference was primarily the result of foreign income taxed at different rates, changes in the U.S. valuation allowance, non-deductible stock-based compensation, and recognition of a discrete income tax benefit, primarily driven by excess stock-based compensation deductions.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Due to cumulative losses in the U.S. during prior periods, the Company had maintained a full valuation allowance against its U.S. deferred tax assets, including net operating loss carryforwards, capitalized research costs, and tax credits related primarily to research and development. The Company periodically evaluates the realizability of its net deferred tax assets based on all available evidence, both positive and negative.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2026, the Company reached a cumulative income position in the United States over the previous three years, which constituted objective and verifiable positive evidence and thus received significant weighting in the Company’s assessment. Additional positive evidence considered by the Company included recent utilization of U.S. tax attribute carryforwards and future forecasts of continued profitability in the U.S.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completing its assessment, the Company also weighed significant negative evidence, including the limited tenure of recently achieved U.S. profitability, the inherent risk in projecting taxable income over the carryforward periods of existing tax attributes, and variable macroeconomic conditions that may impact the Company’s ability to generate forecasted taxable income. The Company also considered that future tax deductions associated with stock-based compensation depend on the Company’s stock price, which is inherently unpredictable and introduces additional uncertainty into its forecasts of future U.S. taxable income. </w:t>
      </w:r>
    </w:p>
    <w:p>
      <w:pPr>
        <w:pStyle w:val="TextBody"/>
        <w:bidi w:val="0"/>
        <w:spacing w:lineRule="auto" w:line="288" w:before="0" w:after="180"/>
        <w:jc w:val="left"/>
        <w:rPr/>
      </w:pPr>
      <w:r>
        <w:rPr>
          <w:rFonts w:ascii="Times New Roman;serif" w:hAnsi="Times New Roman;serif"/>
          <w:b w:val="false"/>
          <w:color w:val="000000"/>
          <w:sz w:val="18"/>
        </w:rPr>
        <w:t>Upon considering the weighted impact of all evidence, both positive and negative, the Company concluded that the positive evidence, including the objective three-year cumulative income position, outweighed the negative evidence and that it was more likely than not that its U.S. federal and state deferred tax assets would be realizable. As a result, the Company released its full U.S. valuation allowance and recognized a corresponding $140.6 million discrete tax benefit during the three months ended June 30, 2026. The effect of the valuation allowance release is included as a component of the ‘</w:t>
      </w:r>
      <w:r>
        <w:rPr>
          <w:rFonts w:ascii="Times New Roman;serif" w:hAnsi="Times New Roman;serif"/>
          <w:b w:val="false"/>
          <w:i/>
          <w:color w:val="000000"/>
          <w:sz w:val="18"/>
        </w:rPr>
        <w:t>(Benefit from) Provision for income taxes</w:t>
      </w:r>
      <w:r>
        <w:rPr>
          <w:color w:val="000000"/>
        </w:rPr>
        <w:t xml:space="preserve">’ </w:t>
      </w:r>
      <w:r>
        <w:rPr>
          <w:rFonts w:ascii="Times New Roman;serif" w:hAnsi="Times New Roman;serif"/>
          <w:b w:val="false"/>
          <w:color w:val="000000"/>
          <w:sz w:val="18"/>
        </w:rPr>
        <w:t>in the accompanying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1005"/>
                <wp:effectExtent l="0" t="0" r="0" b="0"/>
                <wp:wrapNone/>
                <wp:docPr id="20" name="Frame2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 files income tax returns in the U.S. federal jurisdiction, various state jurisdictions, and internationally. As of June 30, 2026, tax years 2012 through 2021, and 2023 through 2025 remain open for examination by taxing authorities. The Company’s 2022 federal tax return was audited by the Internal Revenue Service, with no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15.    Commitments and Contingencies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Guarantees and Indemnification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amended and restated certificate of incorporation and amended and restated bylaws include similar indemnification obligations to its officers and directors. To date, there have been no claims under any indemnification provisions; therefore, no such amounts have been accrued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Litigation and Loss Contingencies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Litigation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From time to time, the Company may be a party to litigation and subject to claims incident to the ordinary course of business, including intellectual property claims, labor and employment claims, threatened claims, breach of contract claims, and other matters. The Company operates in a complex legal and regulatory environment and its operations are subject to various U.S. and foreign laws, rules, and regulations. From time to time, the Company is also subject to inquiry, examinations, or enforcement actions from its various regulators. The Company accrues estimates for resolution of legal and other contingencies when losses are probable and estimable. As of June 30, 2026, the Company was involved in certain intellectual property and trademark disputes in certain jurisdictions; any potential loss related to those disputes cannot currently be reasonably estimated and any impact is expected to be immaterial.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Although the results of litigation and claims are inherently unpredictable, the Company does not believe that there was a reasonable possibility that it had incurred a material loss with respect to such loss contingencies as of June 30,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Purchase Commitments</w:t>
      </w:r>
    </w:p>
    <w:p>
      <w:pPr>
        <w:pStyle w:val="TextBody"/>
        <w:bidi w:val="0"/>
        <w:spacing w:lineRule="auto" w:line="288" w:before="0" w:after="180"/>
        <w:jc w:val="left"/>
        <w:rPr/>
      </w:pPr>
      <w:r>
        <w:rPr>
          <w:rFonts w:ascii="Times New Roman;serif" w:hAnsi="Times New Roman;serif"/>
          <w:b w:val="false"/>
          <w:color w:val="000000"/>
          <w:sz w:val="18"/>
        </w:rPr>
        <w:t>The disclosure of purchase commitments in these condensed consolidated financial statements should be read in conjunction with the consolidated financial statements and related notes within the Company’s Annual Report on Form 10-K for the year ended December 31, 2025. The Company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Reserve for Transaction Losses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table below summarizes the Company’s reserve for transaction losses for the three and six months ended June 30, 2026 and 2025: </w:t>
      </w:r>
    </w:p>
    <w:tbl>
      <w:tblPr>
        <w:tblW w:w="7549" w:type="dxa"/>
        <w:jc w:val="left"/>
        <w:tblInd w:w="0" w:type="dxa"/>
        <w:tblLayout w:type="fixed"/>
        <w:tblCellMar>
          <w:top w:w="28" w:type="dxa"/>
          <w:left w:w="28" w:type="dxa"/>
          <w:bottom w:w="28" w:type="dxa"/>
          <w:right w:w="28" w:type="dxa"/>
        </w:tblCellMar>
      </w:tblPr>
      <w:tblGrid>
        <w:gridCol w:w="907"/>
        <w:gridCol w:w="798"/>
        <w:gridCol w:w="800"/>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for transaction losses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Losses incurred, net of recoveries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(24,623)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(26,447)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(43,326)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1005"/>
                <wp:effectExtent l="0" t="0" r="0" b="0"/>
                <wp:wrapNone/>
                <wp:docPr id="21" name="Frame2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16.    Accrued Expenses &amp; Other Current Liabilities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 consisted of the following as of June 30, 2026 and December 31, 2025:</w:t>
      </w:r>
    </w:p>
    <w:tbl>
      <w:tblPr>
        <w:tblW w:w="5762" w:type="dxa"/>
        <w:jc w:val="left"/>
        <w:tblInd w:w="0" w:type="dxa"/>
        <w:tblLayout w:type="fixed"/>
        <w:tblCellMar>
          <w:top w:w="28" w:type="dxa"/>
          <w:left w:w="28" w:type="dxa"/>
          <w:bottom w:w="28" w:type="dxa"/>
          <w:right w:w="28" w:type="dxa"/>
        </w:tblCellMar>
      </w:tblPr>
      <w:tblGrid>
        <w:gridCol w:w="1162"/>
        <w:gridCol w:w="1022"/>
        <w:gridCol w:w="1025"/>
        <w:gridCol w:w="196"/>
        <w:gridCol w:w="736"/>
        <w:gridCol w:w="109"/>
        <w:gridCol w:w="109"/>
        <w:gridCol w:w="109"/>
        <w:gridCol w:w="109"/>
        <w:gridCol w:w="214"/>
        <w:gridCol w:w="803"/>
        <w:gridCol w:w="168"/>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Trade settlement liability</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transaction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marketing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salary, benefits, and related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Reserve for transaction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expenses &amp; other current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141,948 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The trade settlement liability amount represents the total of disbursement postfunding liabilities and book overdrafts owed to the Company’s disbursement partners. Refer to Note 2. </w:t>
      </w:r>
      <w:r>
        <w:rPr>
          <w:rFonts w:ascii="Times New Roman;serif" w:hAnsi="Times New Roman;serif"/>
          <w:b w:val="false"/>
          <w:i/>
          <w:color w:val="000000"/>
          <w:sz w:val="16"/>
        </w:rPr>
        <w:t>Basis of Presentation and Summary of Significant Accounting Policies</w:t>
      </w:r>
      <w:r>
        <w:rPr>
          <w:color w:val="000000"/>
        </w:rPr>
        <w:t xml:space="preserve"> </w:t>
      </w:r>
      <w:r>
        <w:rPr>
          <w:rFonts w:ascii="Times New Roman;serif" w:hAnsi="Times New Roman;serif"/>
          <w:b w:val="false"/>
          <w:color w:val="000000"/>
          <w:sz w:val="16"/>
        </w:rPr>
        <w:t>within the notes to the consolidated financial statements included in the Company’s Annual Report on Form 10-K for the year ended December 31, 2025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17.    Supplemental Cash Flow Information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supplemental disclosures of cash flow information consisted of the following:</w:t>
      </w:r>
    </w:p>
    <w:tbl>
      <w:tblPr>
        <w:tblW w:w="8394" w:type="dxa"/>
        <w:jc w:val="left"/>
        <w:tblInd w:w="0" w:type="dxa"/>
        <w:tblLayout w:type="fixed"/>
        <w:tblCellMar>
          <w:top w:w="28" w:type="dxa"/>
          <w:left w:w="28" w:type="dxa"/>
          <w:bottom w:w="28" w:type="dxa"/>
          <w:right w:w="28" w:type="dxa"/>
        </w:tblCellMar>
      </w:tblPr>
      <w:tblGrid>
        <w:gridCol w:w="2213"/>
        <w:gridCol w:w="1945"/>
        <w:gridCol w:w="1961"/>
        <w:gridCol w:w="213"/>
        <w:gridCol w:w="605"/>
        <w:gridCol w:w="118"/>
        <w:gridCol w:w="118"/>
        <w:gridCol w:w="118"/>
        <w:gridCol w:w="118"/>
        <w:gridCol w:w="213"/>
        <w:gridCol w:w="605"/>
        <w:gridCol w:w="167"/>
      </w:tblGrid>
      <w:tr>
        <w:trPr/>
        <w:tc>
          <w:tcPr>
            <w:tcW w:w="2213"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operating lease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capitalized to internal-use software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18.    Segment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Segment and Geographic Information</w:t>
      </w:r>
    </w:p>
    <w:p>
      <w:pPr>
        <w:pStyle w:val="TextBody"/>
        <w:bidi w:val="0"/>
        <w:spacing w:lineRule="auto" w:line="288" w:before="0" w:after="180"/>
        <w:jc w:val="left"/>
        <w:rPr/>
      </w:pPr>
      <w:r>
        <w:rPr>
          <w:rFonts w:ascii="Times New Roman;serif" w:hAnsi="Times New Roman;serif"/>
          <w:b w:val="false"/>
          <w:color w:val="000000"/>
          <w:sz w:val="18"/>
        </w:rPr>
        <w:t xml:space="preserve">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operating segment. Based on the information provided to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 Refer to Note 3. </w:t>
      </w:r>
      <w:r>
        <w:rPr>
          <w:rFonts w:ascii="Times New Roman;serif" w:hAnsi="Times New Roman;serif"/>
          <w:b w:val="false"/>
          <w:i/>
          <w:color w:val="000000"/>
          <w:sz w:val="18"/>
        </w:rPr>
        <w:t>Revenue</w:t>
      </w:r>
      <w:r>
        <w:rPr>
          <w:color w:val="000000"/>
        </w:rPr>
        <w:t xml:space="preserve"> </w:t>
      </w:r>
      <w:r>
        <w:rPr>
          <w:rFonts w:ascii="Times New Roman;serif" w:hAnsi="Times New Roman;serif"/>
          <w:b w:val="false"/>
          <w:color w:val="000000"/>
          <w:sz w:val="18"/>
        </w:rPr>
        <w:t xml:space="preserve">and Note 6. </w:t>
      </w:r>
      <w:r>
        <w:rPr>
          <w:rFonts w:ascii="Times New Roman;serif" w:hAnsi="Times New Roman;serif"/>
          <w:b w:val="false"/>
          <w:i/>
          <w:color w:val="000000"/>
          <w:sz w:val="18"/>
        </w:rPr>
        <w:t>Property and Equipment</w:t>
      </w:r>
      <w:r>
        <w:rPr>
          <w:color w:val="000000"/>
        </w:rPr>
        <w:t xml:space="preserve"> </w:t>
      </w:r>
      <w:r>
        <w:rPr>
          <w:rFonts w:ascii="Times New Roman;serif" w:hAnsi="Times New Roman;serif"/>
          <w:b w:val="false"/>
          <w:color w:val="000000"/>
          <w:sz w:val="18"/>
        </w:rPr>
        <w:t>for information related to the Company’s geographic information for revenue and long-lived assets, respectively.</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Segment Income and Performance Measurement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CODM is provided the financial performance of the Company's one operating segment showing net income (loss) as the primary measure of segment profitability. Net income (loss) reflects revenue generated and expenses incurred for the business. The CODM uses this measure to evaluate the operational efficiency and profitability of the Company, to make strategic decisions about capital allocation, and to assess whether the Company is meeting its financial targets. The CODM does not evaluate the performance of its one operating segment using asset information.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CODM is regularly provided results comparing actual performance against budgeted targets and prior periods. This measure aligns with how resources are managed and allocated within the Company’s one operating segment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Significant Segment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On a regular basis, the Company’s CODM is provided certain significant segment expenses, which include advertising expense and stock-based compensation expense, in addition to those significant segment expenses reported within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1005"/>
                <wp:effectExtent l="0" t="0" r="0" b="0"/>
                <wp:wrapNone/>
                <wp:docPr id="22" name="Frame2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reconciles the significant segment expenses regularly provided to the Company’s CODM for the three and six months ended June 30, 2026 and 2025, to the primary measure of segment profitability,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58"/>
        <w:gridCol w:w="1563"/>
        <w:gridCol w:w="1567"/>
        <w:gridCol w:w="198"/>
        <w:gridCol w:w="744"/>
        <w:gridCol w:w="109"/>
        <w:gridCol w:w="109"/>
        <w:gridCol w:w="109"/>
        <w:gridCol w:w="109"/>
        <w:gridCol w:w="198"/>
        <w:gridCol w:w="744"/>
        <w:gridCol w:w="109"/>
        <w:gridCol w:w="109"/>
        <w:gridCol w:w="109"/>
        <w:gridCol w:w="109"/>
        <w:gridCol w:w="196"/>
        <w:gridCol w:w="736"/>
        <w:gridCol w:w="109"/>
        <w:gridCol w:w="109"/>
        <w:gridCol w:w="109"/>
        <w:gridCol w:w="109"/>
        <w:gridCol w:w="196"/>
        <w:gridCol w:w="736"/>
        <w:gridCol w:w="161"/>
      </w:tblGrid>
      <w:tr>
        <w:trPr/>
        <w:tc>
          <w:tcPr>
            <w:tcW w:w="18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Significant segment expenses: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expenses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(265,149)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Customer support and operations, excluding stock-based compensation expense</w:t>
            </w:r>
            <w:r>
              <w:rPr>
                <w:rFonts w:ascii="Times New Roman;serif" w:hAnsi="Times New Roman;serif"/>
                <w:b w:val="false"/>
                <w:color w:val="000000"/>
                <w:sz w:val="12"/>
              </w:rPr>
              <w:t>(1)</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Marketing, excluding stock-based compensation expense and advertising expense</w:t>
            </w:r>
            <w:r>
              <w:rPr>
                <w:rFonts w:ascii="Times New Roman;serif" w:hAnsi="Times New Roman;serif"/>
                <w:b w:val="false"/>
                <w:color w:val="000000"/>
                <w:sz w:val="12"/>
              </w:rPr>
              <w:t>(1)(2)</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(31,398)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Technology and development, excluding stock-based compensation expense</w:t>
            </w:r>
            <w:r>
              <w:rPr>
                <w:rFonts w:ascii="Times New Roman;serif" w:hAnsi="Times New Roman;serif"/>
                <w:b w:val="false"/>
                <w:color w:val="000000"/>
                <w:sz w:val="12"/>
              </w:rPr>
              <w:t>(1)</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(108,237)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 excluding stock-based compensation expense</w:t>
            </w:r>
            <w:r>
              <w:rPr>
                <w:rFonts w:ascii="Times New Roman;serif" w:hAnsi="Times New Roman;serif"/>
                <w:b w:val="false"/>
                <w:color w:val="000000"/>
                <w:sz w:val="12"/>
              </w:rPr>
              <w:t>(1)</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(118,053)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disclosures: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segment expense, net</w:t>
            </w:r>
            <w:r>
              <w:rPr>
                <w:rFonts w:ascii="Times New Roman;serif" w:hAnsi="Times New Roman;serif"/>
                <w:b w:val="false"/>
                <w:color w:val="000000"/>
                <w:sz w:val="12"/>
              </w:rPr>
              <w:t>(3)</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The significant segment expenses reported within the Condensed Consolidated Statements of Operations are presented in this table excluding stock-based compensation expense, net. Stock-based compensation expense, net is presented separately as an additional significant segment expense and is regularly provided to the CODM. Refer to Note 12. </w:t>
      </w:r>
      <w:r>
        <w:rPr>
          <w:rFonts w:ascii="Times New Roman;serif" w:hAnsi="Times New Roman;serif"/>
          <w:b w:val="false"/>
          <w:i/>
          <w:color w:val="000000"/>
          <w:sz w:val="16"/>
        </w:rPr>
        <w:t xml:space="preserve">Stock-Based Compensation </w:t>
      </w:r>
      <w:r>
        <w:rPr>
          <w:rFonts w:ascii="Times New Roman;serif" w:hAnsi="Times New Roman;serif"/>
          <w:b w:val="false"/>
          <w:color w:val="000000"/>
          <w:sz w:val="16"/>
        </w:rPr>
        <w:t xml:space="preserve">and Note 6. </w:t>
      </w:r>
      <w:r>
        <w:rPr>
          <w:rFonts w:ascii="Times New Roman;serif" w:hAnsi="Times New Roman;serif"/>
          <w:b w:val="false"/>
          <w:i/>
          <w:color w:val="000000"/>
          <w:sz w:val="16"/>
        </w:rPr>
        <w:t>Property and Equipment</w:t>
      </w:r>
      <w:r>
        <w:rPr>
          <w:rFonts w:ascii="Times New Roman;serif" w:hAnsi="Times New Roman;serif"/>
          <w:b w:val="false"/>
          <w:color w:val="000000"/>
          <w:sz w:val="16"/>
        </w:rPr>
        <w:t>.</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significant segment expense reported within the Condensed Consolidated Statements of Operations is presented in this table excluding advertising expense. Advertising expense is presented separately as an additional significant segment expense and is regularly provided to the CODM. Advertising expense is included in ‘</w:t>
      </w:r>
      <w:r>
        <w:rPr>
          <w:rFonts w:ascii="Times New Roman;serif" w:hAnsi="Times New Roman;serif"/>
          <w:b w:val="false"/>
          <w:i/>
          <w:color w:val="000000"/>
          <w:sz w:val="16"/>
        </w:rPr>
        <w:t>Marketing expense’</w:t>
      </w:r>
      <w:r>
        <w:rPr>
          <w:color w:val="000000"/>
        </w:rPr>
        <w:t xml:space="preserve"> </w:t>
      </w:r>
      <w:r>
        <w:rPr>
          <w:rFonts w:ascii="Times New Roman;serif" w:hAnsi="Times New Roman;serif"/>
          <w:b w:val="false"/>
          <w:color w:val="000000"/>
          <w:sz w:val="16"/>
        </w:rPr>
        <w:t xml:space="preserve">as described in Note </w:t>
      </w:r>
      <w:r>
        <w:rPr>
          <w:rFonts w:ascii="Times New Roman;serif" w:hAnsi="Times New Roman;serif"/>
          <w:b w:val="false"/>
          <w:i/>
          <w:color w:val="000000"/>
          <w:sz w:val="16"/>
        </w:rPr>
        <w:t>2</w:t>
      </w:r>
      <w:r>
        <w:rPr>
          <w:rFonts w:ascii="Times New Roman;serif" w:hAnsi="Times New Roman;serif"/>
          <w:b w:val="false"/>
          <w:color w:val="000000"/>
          <w:sz w:val="16"/>
        </w:rPr>
        <w:t xml:space="preserve">. </w:t>
      </w:r>
      <w:r>
        <w:rPr>
          <w:rFonts w:ascii="Times New Roman;serif" w:hAnsi="Times New Roman;serif"/>
          <w:b w:val="false"/>
          <w:i/>
          <w:color w:val="000000"/>
          <w:sz w:val="16"/>
        </w:rPr>
        <w:t>Basis of Presentation and Summary of Significant Accounting Policies.</w:t>
      </w:r>
    </w:p>
    <w:p>
      <w:pPr>
        <w:pStyle w:val="TextBody"/>
        <w:bidi w:val="0"/>
        <w:spacing w:lineRule="auto" w:line="288" w:before="0" w:after="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Other segment expense, net includes ‘</w:t>
      </w:r>
      <w:r>
        <w:rPr>
          <w:rFonts w:ascii="Times New Roman;serif" w:hAnsi="Times New Roman;serif"/>
          <w:b w:val="false"/>
          <w:i/>
          <w:color w:val="000000"/>
          <w:sz w:val="16"/>
        </w:rPr>
        <w:t>Other expense, net’</w:t>
      </w:r>
      <w:r>
        <w:rPr>
          <w:rFonts w:ascii="Times New Roman;serif" w:hAnsi="Times New Roman;serif"/>
          <w:b w:val="false"/>
          <w:color w:val="000000"/>
          <w:sz w:val="16"/>
        </w:rPr>
        <w:t xml:space="preserve">, which is described in Note </w:t>
      </w:r>
      <w:r>
        <w:rPr>
          <w:rFonts w:ascii="Times New Roman;serif" w:hAnsi="Times New Roman;serif"/>
          <w:b w:val="false"/>
          <w:i/>
          <w:color w:val="000000"/>
          <w:sz w:val="16"/>
        </w:rPr>
        <w:t>2</w:t>
      </w:r>
      <w:r>
        <w:rPr>
          <w:rFonts w:ascii="Times New Roman;serif" w:hAnsi="Times New Roman;serif"/>
          <w:b w:val="false"/>
          <w:color w:val="000000"/>
          <w:sz w:val="16"/>
        </w:rPr>
        <w:t xml:space="preserve">. </w:t>
      </w:r>
      <w:r>
        <w:rPr>
          <w:rFonts w:ascii="Times New Roman;serif" w:hAnsi="Times New Roman;serif"/>
          <w:b w:val="false"/>
          <w:i/>
          <w:color w:val="000000"/>
          <w:sz w:val="16"/>
        </w:rPr>
        <w:t xml:space="preserve">Basis of Presentation and Summary of Significant Accounting Policies </w:t>
      </w:r>
      <w:r>
        <w:rPr>
          <w:rFonts w:ascii="Times New Roman;serif" w:hAnsi="Times New Roman;serif"/>
          <w:b w:val="false"/>
          <w:color w:val="000000"/>
          <w:sz w:val="16"/>
        </w:rPr>
        <w:t>in the notes to the consolidated financial statements included in Part II, Item 8 in the Company’s Annual Report on Form 10-K for the year ended December 31, 2025.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were no unusual items or other significant noncash items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1005"/>
                <wp:effectExtent l="0" t="0" r="0" b="0"/>
                <wp:wrapNone/>
                <wp:docPr id="23" name="Frame2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lineRule="auto" w:line="288" w:before="0" w:after="180"/>
        <w:jc w:val="left"/>
        <w:rPr/>
      </w:pPr>
      <w:r>
        <w:rPr>
          <w:rFonts w:ascii="Times New Roman;serif" w:hAnsi="Times New Roman;serif"/>
          <w:b w:val="false"/>
          <w:i/>
          <w:color w:val="000000"/>
          <w:sz w:val="18"/>
        </w:rPr>
        <w:t xml:space="preserve">You should read the following discussion and analysis of our financial condition and results of operations together with our unaudited condensed consolidated financial statements and the related notes appearing elsewhere in this Quarterly Report on Form 10-Q and our audited consolidated financial statements and the related notes and the discussion under the heading </w:t>
      </w:r>
      <w:r>
        <w:rPr>
          <w:color w:val="000000"/>
        </w:rPr>
        <w:t>“</w:t>
      </w:r>
      <w:r>
        <w:rPr>
          <w:rFonts w:ascii="Times New Roman;serif" w:hAnsi="Times New Roman;serif"/>
          <w:b w:val="false"/>
          <w:i/>
          <w:color w:val="000000"/>
          <w:sz w:val="18"/>
        </w:rPr>
        <w:t>Management’s Discussion and Analysis of Financial Condition and Results of Operations</w:t>
      </w:r>
      <w:r>
        <w:rPr>
          <w:color w:val="000000"/>
        </w:rPr>
        <w:t xml:space="preserve">” </w:t>
      </w:r>
      <w:r>
        <w:rPr>
          <w:rFonts w:ascii="Times New Roman;serif" w:hAnsi="Times New Roman;serif"/>
          <w:b w:val="false"/>
          <w:i/>
          <w:color w:val="000000"/>
          <w:sz w:val="18"/>
        </w:rPr>
        <w:t>included in the Annual Report on Form 10-K for the year ended December 31, 2025.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Overview</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is a trusted provider of financial services that transcend borders. With a footprint spanning more than 175 countries, we have built one of the world’s leading global money movement platforms, trusted by millions of customers who rely on us every day. Leveraging our strengths in global money movement, we continue to evolve beyond a remittance company into a diversified, cross-border financial services provider, serving both our consumers and businesses across a growing set of use cases.</w:t>
      </w:r>
    </w:p>
    <w:p>
      <w:pPr>
        <w:pStyle w:val="TextBody"/>
        <w:bidi w:val="0"/>
        <w:spacing w:lineRule="auto" w:line="288" w:before="0" w:after="180"/>
        <w:jc w:val="left"/>
        <w:rPr/>
      </w:pPr>
      <w:r>
        <w:rPr>
          <w:rFonts w:ascii="Times New Roman;serif" w:hAnsi="Times New Roman;serif"/>
          <w:b w:val="false"/>
          <w:color w:val="000000"/>
          <w:sz w:val="18"/>
        </w:rPr>
        <w:t>Our competitive advantage is built on three core strengths—</w:t>
      </w:r>
      <w:r>
        <w:rPr>
          <w:rFonts w:ascii="Times New Roman;serif" w:hAnsi="Times New Roman;serif"/>
          <w:b w:val="false"/>
          <w:i/>
          <w:color w:val="000000"/>
          <w:sz w:val="18"/>
        </w:rPr>
        <w:t>trust, network, and scale</w:t>
      </w:r>
      <w:r>
        <w:rPr>
          <w:color w:val="000000"/>
        </w:rPr>
        <w:t>—</w:t>
      </w:r>
      <w:r>
        <w:rPr>
          <w:rFonts w:ascii="Times New Roman;serif" w:hAnsi="Times New Roman;serif"/>
          <w:b w:val="false"/>
          <w:color w:val="000000"/>
          <w:sz w:val="18"/>
        </w:rPr>
        <w:t>which together enable us to deliver reliability, speed, and a fair and transparent price for cross-border financial services.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Trust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Trust is the foundation of everything we do and is earned through reliability, fairness, and security. Delivering cross-border financial services in a trusted and reliable way across geographies is incredibly complex. We are focused on delivering a reliable and seamless experience to customers that builds trust and drives repeat engagement with our platform. We manage this complexity by localizing services across more than 175 countries, supporting diverse payment methods and currencies, maintaining robust fraud and compliance systems, and operating sophisticated treasury and foreign exchange capabilities to deliver funds reliably through our global disbursement network.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digital-first platform provides an easy-to-use, end-to-end process with a simple and reliable user experience that builds trust by delivering peace of mind. In just a few minutes, customers are able to set up and send money for the first time with Remitly, and repeat transactions are easier with just a few taps. Our users can also track the status of their transactions as they are processed, and we provide a reliability promise to customers which is underpinned by our sophisticated risk models, high-quality network, and empathetic customer service.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also earn trust through the quality and resilience of our partner ecosystem. We select and manage funding and disbursement partners based on service quality, regulatory compliance, operational performance, and risk standards, and we design our network with redundancy across corridors to support reliability and continuity of service.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This reliable, fair, and secure experience enables us to engage beyond the initial transaction, generating strong repeat usage and high customer loyalty. Our services are highly non-discretionary for many of our customers which results in high revenue visibility throughout economic cycles. As of June 30, 2026, our Remitly app had a 4.9 iOS App Store rating with approximately 4.5 million reviewers and a 4.8 Android Google Play rating with over 1.4 million reviewers (app ratings are based on all countries or regions and the rating may vary based on user location and device type).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Network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global network of funding and disbursement partnerships is at the core of our business and enables us to complete transactions efficiently across more than 5,700 corridors without the need to deploy local operations in each country, while complying with global and local licensing and regulatory requirements. A corridor represents the pairing of a send country, from which a customer can send a cross-border payment, with a specific receive country to which such cross-border payment can be sent. As a result of the quality of our network and the foundational investments we have made, adding a new send country typically unlocks a significant number of new corridors, allowing us to scale rapidly.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1005"/>
                <wp:effectExtent l="0" t="0" r="0" b="0"/>
                <wp:wrapNone/>
                <wp:docPr id="24" name="Frame2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network strategy emphasizes direct integrations with funding and disbursement partners wherever possible, reducing reliance on intermediaries and supporting faster, more reliable, and cost-efficient delivery of funds. This approach also helps mitigate operational complexity and concentration risk while enabling consistent service levels across geographies. These direct integrations also allow for a better customer experience and lower costs and are a significant competitive advantage. Our partners, including those that are among the most trusted and recognized brands around the world, create a broad and effective pay-in and disbursement ecosystem for our customers: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18"/>
        </w:rPr>
        <w:t xml:space="preserve">Pay-in Acceptance. </w:t>
      </w:r>
      <w:r>
        <w:rPr>
          <w:rFonts w:ascii="Times New Roman;serif" w:hAnsi="Times New Roman;serif"/>
          <w:b w:val="false"/>
          <w:color w:val="000000"/>
          <w:sz w:val="18"/>
        </w:rPr>
        <w:t>We have relationships with top tier banks and leading global payment processors and networks. These relationships provide our customers an array of payment options to fund cross-border payments with a bank account, card-based payments, or alternative payment methods.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can accept and settle transfers from hundreds of millions of consumer bank accounts, payment methods such as Apple Pay and Google Pay, as well as Visa and Mastercard credit and debit cards. As a digital service, we typically do not have sending agents who accept cash. We, in turn, do not incur costs or commissions associated with physical agent-based sending and funding.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18"/>
        </w:rPr>
        <w:t xml:space="preserve">Payment Disbursement. </w:t>
      </w:r>
      <w:r>
        <w:rPr>
          <w:rFonts w:ascii="Times New Roman;serif" w:hAnsi="Times New Roman;serif"/>
          <w:b w:val="false"/>
          <w:color w:val="000000"/>
          <w:sz w:val="18"/>
        </w:rPr>
        <w:t>We provide broad and high quality access to disbursement options for our customers allowing them to choose the method that is most convenient for their recipients, including bank accounts, cash, and alternative payment methods. Our broad disbursement network supports reliable delivery and choice, allowing customers to select whatever method works best for their family and friends to receive funds. We have access to many disbursement partners across the globe including major banks, aggregators, cash pick-up options, and mobile wallet partners. These relationships provide our customers with choice of disbursement and enable us to send funds within minutes, or even seconds, to over 5.8 billion bank accounts and mobile wallets, and approximately 490,000 cash pick-up options, including retail outlets and banks.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select our disbursement partners based on our recipients’ preferences, quality of service, cost, brand recognition, and co-branding opportunities. Our disbursement partners make us a trusted source of global money movement because our customers are typically already familiar with their chosen disbursement partner and recipients feel comfortable receiving money where they regularly bank or shop. In addition, we only select disbursement partners that meet or exceed: (1) our geographic coverage goals in the regions in which they operate; (2) our robust compliance and regulatory requirements; and (3) our specific operating metrics such as creditworthiness and error rates.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result of our significant global presence, we are able to establish multi-faceted partnerships. These partnerships enable the ability to source and settle foreign exchange rates locally, accept payments, or deposit customer funds directly to customer accounts. In addition, we have redundancies built into our global network for our various partnerships.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customers primarily send money from the United States, Canada, the United Kingdom, and other countries in Europe, with recipients located around the world. Our largest receive countries by send volume include India, Mexico, and the Philippines.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Scale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scale reinforces both trust and network capabilities by enabling lower unit costs, better pricing, and continuous reinvestment in product performance and quality, including through greater use of direct integrations that improve efficiency as our volumes grow. Our data-driven approach to optimizing customer lifetime value, combined with localized and scalable marketing solutions, allows us to acquire new customers at attractive unit economics. In addition to product enhancements and efficiencies in variable operating costs, we are transforming our marketing engine from a single-product acquisition model into an artificial intelligence-powered system that drives multi-product engagement, and strengthens our ability to reactivate, retain, and increase share of wallet among existing customers. We believe our expertise in localizing our marketing, products, and customer support at scale is a key differentiator and enables us to provide customers with a personalized experience that drives peace of mind while also delivering high returns on marketing and product investments.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scale also supports our disciplined expansion into new customer categories and use cases across the world. We see significant opportunity to create value by expanding our cross-border financial services to a broader set of customers. Building on our roots of serving primarily low-amount senders who send money to family and friends, we now also serve high-amount senders, businesses, and receivers, across our global network. As we continue to scale, we apply a data-driven approach to optimize customer value, product features, marketing strategies, and economics across new geographies and customer categories. We also leverage our localization expertise and technology to strengthen our global partner network through additional direct integrations and expanded payment methods to enhance our cross-border payment experience across corridors.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Our Revenue Model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our global money movement product, which currently represents the substantial majority of our revenue, we earn revenue from transaction fees charged to customers and foreign exchange spreads applied to the amount the customer is sending.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1005"/>
                <wp:effectExtent l="0" t="0" r="0" b="0"/>
                <wp:wrapNone/>
                <wp:docPr id="25" name="Frame2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Revenue from transaction fees and foreign exchange spreads is reduced by sales incentives, including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Key Performance Metrics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regularly review the following key performance metrics to evaluate our performance, identify trends affecting our business, prepare financial projections, and make strategic decisions. We believe that these key performance metrics provide meaningful supplemental information for management and investors in assessing our historical and future operating performance. The calculation of these key performance metrics discussed below may differ from other similarly titled metrics used by other companies, analysts, or investors. The key performance metrics that we use to measure the performance of our business are defined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18"/>
        </w:rPr>
        <w:t xml:space="preserve">Active customers” </w:t>
      </w:r>
      <w:r>
        <w:rPr>
          <w:rFonts w:ascii="Times New Roman;serif" w:hAnsi="Times New Roman;serif"/>
          <w:b w:val="false"/>
          <w:color w:val="000000"/>
          <w:sz w:val="18"/>
        </w:rPr>
        <w:t xml:space="preserve">is defined as the number of distinct customers that have successfully completed at least one transaction using Remitly during a given period. We identify customers through unique account numbers.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18"/>
        </w:rPr>
        <w:t>Send volume”</w:t>
      </w:r>
      <w:r>
        <w:rPr>
          <w:color w:val="000000"/>
        </w:rPr>
        <w:t xml:space="preserve"> </w:t>
      </w:r>
      <w:r>
        <w:rPr>
          <w:rFonts w:ascii="Times New Roman;serif" w:hAnsi="Times New Roman;serif"/>
          <w:b w:val="false"/>
          <w:color w:val="000000"/>
          <w:sz w:val="18"/>
        </w:rPr>
        <w:t>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Active Customers</w:t>
      </w:r>
    </w:p>
    <w:tbl>
      <w:tblPr>
        <w:tblW w:w="4141" w:type="dxa"/>
        <w:jc w:val="left"/>
        <w:tblInd w:w="0" w:type="dxa"/>
        <w:tblLayout w:type="fixed"/>
        <w:tblCellMar>
          <w:top w:w="28" w:type="dxa"/>
          <w:left w:w="28" w:type="dxa"/>
          <w:bottom w:w="28" w:type="dxa"/>
          <w:right w:w="28" w:type="dxa"/>
        </w:tblCellMar>
      </w:tblPr>
      <w:tblGrid>
        <w:gridCol w:w="489"/>
        <w:gridCol w:w="430"/>
        <w:gridCol w:w="431"/>
        <w:gridCol w:w="448"/>
        <w:gridCol w:w="264"/>
        <w:gridCol w:w="264"/>
        <w:gridCol w:w="264"/>
        <w:gridCol w:w="264"/>
        <w:gridCol w:w="264"/>
        <w:gridCol w:w="386"/>
        <w:gridCol w:w="264"/>
        <w:gridCol w:w="373"/>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0"/>
              <w:jc w:val="left"/>
              <w:rPr>
                <w:sz w:val="4"/>
                <w:szCs w:val="4"/>
              </w:rPr>
            </w:pPr>
            <w:r>
              <w:rPr>
                <w:sz w:val="4"/>
                <w:szCs w:val="4"/>
              </w:rPr>
            </w:r>
          </w:p>
        </w:tc>
        <w:tc>
          <w:tcPr>
            <w:tcW w:w="1815"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Active customers</w:t>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10,199 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8,511 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believe that the number of our active customers is an important indicator of customer engagement, customer retention, and the overall growth of our business.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Active customers increased to approximately 10.2 million, or 20% growth, for the three months ended June 30, 2026, compared to the three months ended June 30, 2025. This increase was primarily due to an increase in the number of new customers, driven by continued marketing efficiency and strong retention, as well as product and geographic expansion. The increase was also a result of growth in new customer categories, including high-amount senders and business accounts. Ongoing improvements in customer experience and localized innovation in key corridors supported customer acquisition and engagement.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Send Volume </w:t>
      </w:r>
    </w:p>
    <w:tbl>
      <w:tblPr>
        <w:tblW w:w="6093" w:type="dxa"/>
        <w:jc w:val="left"/>
        <w:tblInd w:w="0" w:type="dxa"/>
        <w:tblLayout w:type="fixed"/>
        <w:tblCellMar>
          <w:top w:w="28" w:type="dxa"/>
          <w:left w:w="28" w:type="dxa"/>
          <w:bottom w:w="28" w:type="dxa"/>
          <w:right w:w="28" w:type="dxa"/>
        </w:tblCellMar>
      </w:tblPr>
      <w:tblGrid>
        <w:gridCol w:w="379"/>
        <w:gridCol w:w="333"/>
        <w:gridCol w:w="337"/>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Send volume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measure send volume to assess the scale of cross-border payments sent using our global money movement product. Our customers mostly send from the United States, Canada, the United Kingdom, and other countries in Europe. Our customers and their recipients are located in over 175 countries and territories across the globe. Our largest receive countries by send volume include India, Mexico, and the Philippines.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Send volume increased 27% to $23.5 billion for the three months ended June 30, 2026, compared to $18.5 billion for the three months ended June 30, 2025, driven by the increase in active customers.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Send volume increased 32% to $45.6 billion for the six months ended June 30, 2026, compared to $34.6 billion for the six months ended June 30, 2025, driven by the increase in active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Key Factors Affecting Our Performance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Customer Retention and High Customer Engagement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send volume is primarily driven by existing customers who regularly use our global money movement product to send money across borders to family and friends, as well as an increasing number of high-amount senders and businesses. We believe our digital-first products and superior customer experience encourage high retention and repeat usage, which remain significant drivers of our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1005"/>
                <wp:effectExtent l="0" t="0" r="0" b="0"/>
                <wp:wrapNone/>
                <wp:docPr id="26" name="Frame2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measure active customers to monitor the growth and performance of our customer base. The majority of our active customers send money for recurring, non-discretionary needs multiple times per month, providing a recurring revenue stream with high predictability and durability. Additionally, new customer categories, such as business accounts, contribute often higher-value transactions as they send money to pay contractors, vendors, and employees.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Attracting New Customers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continued ability to attract new customers is a key driver for our long-term growth. We continue to expand our customer base by launching new send and receive corridors, innovating existing and new products, and providing the most trusted financial services for customers with cross-border financial needs. Growth in new customer categories, as well as product and geographic expansion, are contributing to broader acquisition. We continue to acquire new customers through digital marketing channels and word-of-mouth referrals from existing customers. Given the nature of our business, new customer acquisition marketing investments may negatively impact net income and Adjusted EBITDA in the quarter they are acquired, but are expected to favorably impact net income and Adjusted EBITDA in subsequent periods as many customers continue to send transactions in the periods after they are acquired.</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Acquisition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Efficiently acquiring customers is critical to our growth and maintaining attractive customer economics, which are impacted by online marketing competition, our ability to effectively target the right demographic, and a competitive environment. We have a history of successfully monitoring customer acquisition costs through disciplined, data-driven investment decisions, and will continue to be strategic and disciplined toward customer acquisition. Our marketing engine increasingly leverages automation and artificial intelligence to optimize channel mix, targeting, and lifetime value.</w:t>
      </w:r>
    </w:p>
    <w:p>
      <w:pPr>
        <w:pStyle w:val="TextBody"/>
        <w:bidi w:val="0"/>
        <w:spacing w:lineRule="auto" w:line="288" w:before="0" w:after="180"/>
        <w:jc w:val="left"/>
        <w:rPr/>
      </w:pPr>
      <w:r>
        <w:rPr>
          <w:rFonts w:ascii="Times New Roman;serif" w:hAnsi="Times New Roman;serif"/>
          <w:b w:val="false"/>
          <w:color w:val="000000"/>
          <w:sz w:val="18"/>
        </w:rPr>
        <w:t xml:space="preserve">For performance marketing, we set rigorous customer acquisition targets that we continuously monitor to drive a high long-term return on investment, adjusting spend dynamically based on performance and opportunity. This disciplined approach allows us to balance growth with profitability and to redeploy investment efficiently across customer categories and products. Customer acquisition costs, which are deployed to acquire new customers or retain existing customers in certain circumstances, are a component of advertising expenses as defined in Note 2. </w:t>
      </w:r>
      <w:r>
        <w:rPr>
          <w:rFonts w:ascii="Times New Roman;serif" w:hAnsi="Times New Roman;serif"/>
          <w:b w:val="false"/>
          <w:i/>
          <w:color w:val="000000"/>
          <w:sz w:val="18"/>
        </w:rPr>
        <w:t xml:space="preserve">Basis of Presentation and Summary of Significant Accounting Policies </w:t>
      </w:r>
      <w:r>
        <w:rPr>
          <w:rFonts w:ascii="Times New Roman;serif" w:hAnsi="Times New Roman;serif"/>
          <w:b w:val="false"/>
          <w:color w:val="000000"/>
          <w:sz w:val="18"/>
        </w:rPr>
        <w:t>in the notes to the condensed consolidated financial statements included in Part I, Item 1 of this Quarterly Report on Form 10-Q.</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Corridor Mix</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Seasonality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operating results and key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spend and transaction losses. It also results in higher transactions and transaction expenses, along with higher working capital needs. Other periods of favorable seasonality include Ramadan/Eid, Lunar New Year/Tết, and Mother’s Day, although these effects are generally smaller than the seasonality we see in the fourth quarter and the timing of some of these holidays varies from year to year. Conversely, we typically observe lower customer acquisition and transaction activity through most of the first quarter, especially in regions that experience favorable seasonality in the fourth quarter. Additionally, the number of business days in a quarter and the day of the week that the last day of the quarter falls on may also introduce variability in our results, working capital balances, or cash flows period over period.</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Our Technology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continue to invest significant resources in our technology to support the development of new and innovative products, add features to existing offerings, and enhance the customer and recipient experience. The investments also grow our payment and disbursement network, strengthen our risk and security infrastructure, and maintain data protection in accordance with evolving best practices and legal requirements. We are also embedding data analytics and AI across our platform to improve automation, enhance scalability, and drive long-term operating efficiency. We believe these investments in technology and development capabilities will ultimately contribute to our long-term growth.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Management of Risk and Fraud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manage fraud (e.g., identity theft) and other illegitimate activity (e.g., money laundering) by utilizing our proprietary risk models, which include machine learning, early warning signals, bespoke rules, and manual investigation processes. These capabilities are enhanced by AI to improve detection accuracy and automation.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continuously refine our risk models to address new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1005"/>
                <wp:effectExtent l="0" t="0" r="0" b="0"/>
                <wp:wrapNone/>
                <wp:docPr id="27" name="Frame2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Macroeconomic and Geopolitical Changes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Global macroeconomic and geopolitical factors, including inflation, currency fluctuations, immigration and immigration policy, regulatory changes, trade and regulatory policies, including imposition of trade restrictions, taxes and tariffs, and any related market or economic uncertainty or slowdown, regional and global conflicts, global crises and natural disasters, unemployment, potential recession, and the rate of digital cross-border payment adoption impact demand for our services and the options that we can offer. These factors evolve over time, and periods of significant currency appreciation or depreciation, whether in send or receive currencies, changes to global migration patterns, immigration policy, or international trade, and changes to digital adoption trends may shift the timing and volume of transactions, or the number of customers using our service. We continue to assess the impact of developments in foreign trade policy, including taxes and tariffs, and global market conditions. While the imposition of tariffs has not had a significant impact on our business historically, we recognize there is a potential for indirect effects, particularly from foreign exchange volatility to which we are exposed due to the global nature of our cross-border payment operations. Refer to our discussion of foreign currency exchange rate risk included in Part I, Item 3 of this Quarterly Report on Form 10-Q for further details.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addition, foreign currency movements impact our business in numerous ways. For example, as the U.S. dollar strengthens, we see customers in certain geographies taking advantage of the ability to get more local currency to their families and friends. We also believe the strength of the U.S. dollar and the strength of other developed country currencies versus emerging country currencies make it easier to acquire new customers in certain geographies.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maintain a diversified cash balance portfolio and manage foreign exchange risk through various operational measures, including use of foreign exchange contracts. Our proactive risk management is designed to help mitigate potential impacts. For a more comprehensive description of our foreign currency exchange rate risk, current business concentrations, and details on our foreign exchange contracts, refer to Part I, Item 3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Evolving regulatory and legislative developments may influence customer behavior and transaction volumes. For example, recent U.S. legal and policy changes have changed the legal status of certain population groups and increased deportation activity more broadly, and the One Big Beautiful Bill Act (the “OBBBA”), which passed on July 4, 2025, imposes a tax on outbound, non-digital remittances from the United States to recipients abroad. While these regulatory and legislative developments may impact certain areas of our business, our business has remained resilient through various macroeconomic, political, and regulatory cycles over the past decade. We will continue to evaluate the impact the new regulation and legislation will have on our condensed consolidated financial statements, but at this time, we do not expect that the remittance tax included in the OBBBA will have a material impact on our business.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OBBBA also enacts U.S. corporate income tax reform, certain aspects of which applied to our business beginning in 2025, principally the immediate expensing of domestic research and development expenditures. These provisions did not have a material impact on our condensed consolidated financial statements, although they accelerate our deductions and are expected to reduce our cash tax payments in the near term. We continue to monitor developments and guidance under the OBBBA.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Components of Results of Operations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Revenue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primary source of revenue is currently earned from our global money movement product, which is generated on transaction fees charged to customers and foreign exchange spreads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Costs and Expenses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Transaction Expenses </w:t>
      </w:r>
    </w:p>
    <w:p>
      <w:pPr>
        <w:pStyle w:val="TextBody"/>
        <w:bidi w:val="0"/>
        <w:spacing w:lineRule="auto" w:line="288" w:before="0" w:after="180"/>
        <w:jc w:val="left"/>
        <w:rPr/>
      </w:pPr>
      <w:r>
        <w:rPr>
          <w:rFonts w:ascii="Times New Roman;serif" w:hAnsi="Times New Roman;serif"/>
          <w:b w:val="false"/>
          <w:color w:val="000000"/>
          <w:sz w:val="18"/>
        </w:rPr>
        <w:t>Transaction expenses include fees paid to disbursement partners for paying funds to the recipient, provisions for transaction losses, and fees paid to payment processors for funding transactions. Transaction expenses also include chargebacks, fraud prevention, fraud management tools, and compliance tools. We establish reserves for transaction losses based on historical trends and any specific risks identified in processing customer transactions. This reserve is included in ‘</w:t>
      </w:r>
      <w:r>
        <w:rPr>
          <w:rFonts w:ascii="Times New Roman;serif" w:hAnsi="Times New Roman;serif"/>
          <w:b w:val="false"/>
          <w:i/>
          <w:color w:val="000000"/>
          <w:sz w:val="18"/>
        </w:rPr>
        <w:t xml:space="preserve">Accrued expenses and other current liabilities’ </w:t>
      </w:r>
      <w:r>
        <w:rPr>
          <w:rFonts w:ascii="Times New Roman;serif" w:hAnsi="Times New Roman;serif"/>
          <w:b w:val="false"/>
          <w:color w:val="000000"/>
          <w:sz w:val="18"/>
        </w:rPr>
        <w:t>on the Condensed Consolidated Balance Sheets included in Part I, Item 1 of this Quarterly Report on Form 10-Q. Over the long term, we expect to continue to benefit from improvements in our proprietary fraud models, although we expect some variability in transaction expense from quarter to quarter.</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Support and Operations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1005"/>
                <wp:effectExtent l="0" t="0" r="0" b="0"/>
                <wp:wrapNone/>
                <wp:docPr id="28" name="Frame2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Marketing</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Technology and Development</w:t>
      </w:r>
    </w:p>
    <w:p>
      <w:pPr>
        <w:pStyle w:val="TextBody"/>
        <w:bidi w:val="0"/>
        <w:spacing w:lineRule="auto" w:line="288" w:before="0" w:after="180"/>
        <w:jc w:val="left"/>
        <w:rPr/>
      </w:pPr>
      <w:r>
        <w:rPr>
          <w:rFonts w:ascii="Times New Roman;serif" w:hAnsi="Times New Roman;serif"/>
          <w:b w:val="false"/>
          <w:color w:val="000000"/>
          <w:sz w:val="18"/>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serif" w:hAnsi="Times New Roman;serif"/>
          <w:b w:val="false"/>
          <w:i/>
          <w:color w:val="000000"/>
          <w:sz w:val="18"/>
        </w:rPr>
        <w:t>Intangibles - Goodwill and Other-Internal-Use Software</w:t>
      </w:r>
      <w:r>
        <w:rPr>
          <w:rFonts w:ascii="Times New Roman;serif" w:hAnsi="Times New Roman;serif"/>
          <w:b w:val="false"/>
          <w:color w:val="000000"/>
          <w:sz w:val="18"/>
        </w:rPr>
        <w:t>, is included in ‘</w:t>
      </w:r>
      <w:r>
        <w:rPr>
          <w:rFonts w:ascii="Times New Roman;serif" w:hAnsi="Times New Roman;serif"/>
          <w:b w:val="false"/>
          <w:i/>
          <w:color w:val="000000"/>
          <w:sz w:val="18"/>
        </w:rPr>
        <w:t>Depreciation and amortization</w:t>
      </w:r>
      <w:r>
        <w:rPr>
          <w:color w:val="000000"/>
        </w:rPr>
        <w:t xml:space="preserve">’ </w:t>
      </w:r>
      <w:r>
        <w:rPr>
          <w:rFonts w:ascii="Times New Roman;serif" w:hAnsi="Times New Roman;serif"/>
          <w:b w:val="false"/>
          <w:color w:val="000000"/>
          <w:sz w:val="18"/>
        </w:rPr>
        <w:t>within the Condensed Consolidated Statements of Operations included in Part I, Item 1 of this Quarterly Report on Form 10-Q.</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General and Administrative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consist primarily of personnel-related expenses for our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credit losses, and other corporate expenses, including acquisition and integration expenses.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Depreciation and Amortization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 includes depreciation on property and equipment and leasehold improvements, as well as the amortization of internal-use software costs and intangible assets.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Income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income consists primarily of interest income earned on our cash and cash equivalents.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Expense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expense consists primarily of the interest expense on our borrowings.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Other Expense, Net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expense, net, primarily includes foreign currency exchange gains and losses due to remeasurement of certain foreign currency denominated monetary assets and liabilities.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(Benefit from) Provision for Income Taxes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 consists primarily of federal and state income taxes in the United States and income taxes in certain foreign jurisdictions in which we conduct business. During the three months ended June 30, 2026, we released our full valuation allowance for U.S. deferred tax assets. The income tax benefit was $138.2 million for the six months ended June 30, 2026, inclusive of a $140.6 million discrete tax benefit from the U.S. valuation allowance release. We periodically assess the need for a valuation allowance against our deferred tax assets by weighing positive and negative evidence to determine whether it is more likely than not that some or all of the deferred tax assets will be realized.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1005"/>
                <wp:effectExtent l="0" t="0" r="0" b="0"/>
                <wp:wrapNone/>
                <wp:docPr id="29" name="Frame2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Results of Operations</w:t>
      </w:r>
    </w:p>
    <w:p>
      <w:pPr>
        <w:pStyle w:val="TextBody"/>
        <w:bidi w:val="0"/>
        <w:spacing w:lineRule="auto" w:line="288" w:before="0" w:after="180"/>
        <w:jc w:val="left"/>
        <w:rPr/>
      </w:pPr>
      <w:r>
        <w:rPr>
          <w:rFonts w:ascii="Times New Roman;serif" w:hAnsi="Times New Roman;serif"/>
          <w:b/>
          <w:i/>
          <w:color w:val="000000"/>
          <w:sz w:val="18"/>
        </w:rPr>
        <w:t>Comparison of the three and six months ended June 30,</w:t>
      </w:r>
      <w:r>
        <w:rPr>
          <w:color w:val="000000"/>
        </w:rPr>
        <w:t xml:space="preserve"> </w:t>
      </w:r>
      <w:r>
        <w:rPr>
          <w:rFonts w:ascii="Times New Roman;serif" w:hAnsi="Times New Roman;serif"/>
          <w:b/>
          <w:i/>
          <w:color w:val="000000"/>
          <w:sz w:val="18"/>
        </w:rPr>
        <w:t>2026 and 2025</w:t>
      </w:r>
    </w:p>
    <w:p>
      <w:pPr>
        <w:pStyle w:val="TextBody"/>
        <w:bidi w:val="0"/>
        <w:spacing w:lineRule="auto" w:line="288" w:before="0" w:after="180"/>
        <w:jc w:val="left"/>
        <w:rPr/>
      </w:pPr>
      <w:r>
        <w:rPr>
          <w:rFonts w:ascii="Times New Roman;serif" w:hAnsi="Times New Roman;serif"/>
          <w:b w:val="false"/>
          <w:color w:val="000000"/>
          <w:sz w:val="18"/>
        </w:rPr>
        <w:t>The following table sets forth our results of operations together with the dollar and percentage change for the</w:t>
      </w:r>
      <w:r>
        <w:rPr>
          <w:color w:val="000000"/>
        </w:rPr>
        <w:t xml:space="preserve"> </w:t>
      </w:r>
      <w:r>
        <w:rPr>
          <w:rFonts w:ascii="Times New Roman;serif" w:hAnsi="Times New Roman;serif"/>
          <w:b w:val="false"/>
          <w:color w:val="000000"/>
          <w:sz w:val="18"/>
        </w:rPr>
        <w:t>three and six months ended</w:t>
      </w:r>
      <w:r>
        <w:rPr>
          <w:color w:val="000000"/>
        </w:rPr>
        <w:t xml:space="preserve"> </w:t>
      </w:r>
      <w:r>
        <w:rPr>
          <w:rFonts w:ascii="Times New Roman;serif" w:hAnsi="Times New Roman;serif"/>
          <w:b w:val="false"/>
          <w:color w:val="000000"/>
          <w:sz w:val="18"/>
        </w:rPr>
        <w:t>June 30,</w:t>
      </w:r>
      <w:r>
        <w:rPr>
          <w:color w:val="000000"/>
        </w:rPr>
        <w:t xml:space="preserve"> </w:t>
      </w:r>
      <w:r>
        <w:rPr>
          <w:rFonts w:ascii="Times New Roman;serif" w:hAnsi="Times New Roman;serif"/>
          <w:b w:val="false"/>
          <w:color w:val="000000"/>
          <w:sz w:val="18"/>
        </w:rPr>
        <w:t>2026</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2025:</w:t>
      </w:r>
    </w:p>
    <w:tbl>
      <w:tblPr>
        <w:tblW w:w="11953" w:type="dxa"/>
        <w:jc w:val="left"/>
        <w:tblInd w:w="0" w:type="dxa"/>
        <w:tblLayout w:type="fixed"/>
        <w:tblCellMar>
          <w:top w:w="28" w:type="dxa"/>
          <w:left w:w="28" w:type="dxa"/>
          <w:bottom w:w="28" w:type="dxa"/>
          <w:right w:w="28" w:type="dxa"/>
        </w:tblCellMar>
      </w:tblPr>
      <w:tblGrid>
        <w:gridCol w:w="584"/>
        <w:gridCol w:w="263"/>
        <w:gridCol w:w="26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76"/>
        <w:gridCol w:w="280"/>
        <w:gridCol w:w="357"/>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76"/>
        <w:gridCol w:w="280"/>
        <w:gridCol w:w="357"/>
        <w:gridCol w:w="109"/>
        <w:gridCol w:w="109"/>
        <w:gridCol w:w="109"/>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before (benefit from) provision for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3,050 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discussion and analysis is for the three and six months ended June 30, 2026,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Revenue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Revenue increased 20%, or $83.3 million, and 23%, or $174.5 million, for the three and six months ended June 30, 2026, respectively, compared to the three and six months ended June 30, 2025. The increase was primarily driven by a 20% increase in active customers period over period, continued strength in the retention of existing customers, favorable customer behavior based on foreign currency movement, increased send volume for high-amount senders, and a continued mix shift trending towards digital disbursements. Revenue derived from each transaction varies based on a number of attributes, including the funding method chosen by the customer, the size of the transaction, the currency to be ultimately purchased, the rate at which the currency was purchased, the disbursement method chosen by the customer, and the country to which the funds are transferred.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reflection of this growth, send volume increased 27% and 32% to $23.5 billion and $45.6 billion for the three and six months ended June 30, 2026, respectively, as compared to $18.5 billion and $34.6 billion for the three and six months ended June 30, 2025, respectively.</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Transaction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Transaction expenses increased $17.4 million, or 12%, for the three months ended June 30, 2026, compared to the three months ended June 30, 2025. The increase was primarily due to a $19.6 million, or 18%, increase in direct costs associated with processing a higher volume of our customers’ remittance transactions and the disbursement of our customers’ funds to their recipients, partially offset by a $3.5 million decrease in our provision for transaction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1005"/>
                <wp:effectExtent l="0" t="0" r="0" b="0"/>
                <wp:wrapNone/>
                <wp:docPr id="30" name="Frame3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Transaction expenses increased $41.0 million, or 15%, for the six months ended June 30, 2026, compared to the six months ended June 30, 2025. The increase was primarily due to a $38.4 million, or 19%, increase in direct costs associated with processing a higher volume of our customers’ remittance transactions and the disbursement of our customers’ funds to their recipients.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transaction expenses decreased to 33% and 32% for the three and six months ended June 30, 2026, respectively, compared to 35% and 34% for the three and six months ended June 30, 2025, respectively.</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Support and Operations Expenses</w:t>
      </w:r>
    </w:p>
    <w:p>
      <w:pPr>
        <w:pStyle w:val="TextBody"/>
        <w:bidi w:val="0"/>
        <w:spacing w:lineRule="auto" w:line="288" w:before="0" w:after="180"/>
        <w:jc w:val="left"/>
        <w:rPr/>
      </w:pPr>
      <w:r>
        <w:rPr>
          <w:rFonts w:ascii="Times New Roman;serif" w:hAnsi="Times New Roman;serif"/>
          <w:b w:val="false"/>
          <w:color w:val="000000"/>
          <w:sz w:val="18"/>
        </w:rPr>
        <w:t>Customer support and operations expenses increased $1.6 million, or 6%, f</w:t>
      </w:r>
      <w:r>
        <w:rPr>
          <w:rFonts w:ascii="Times New Roman;serif" w:hAnsi="Times New Roman;serif"/>
          <w:b w:val="false"/>
          <w:color w:val="000000"/>
          <w:sz w:val="18"/>
          <w:shd w:fill="FFFFFF" w:val="clear"/>
        </w:rPr>
        <w:t xml:space="preserve">or the three months ended June 30, 2026, compared to the three months ended </w:t>
      </w:r>
      <w:r>
        <w:rPr>
          <w:rFonts w:ascii="Times New Roman;serif" w:hAnsi="Times New Roman;serif"/>
          <w:b w:val="false"/>
          <w:color w:val="000000"/>
          <w:sz w:val="18"/>
        </w:rPr>
        <w:t>June 30, 2025. The increase was primarily driven by a $3.3 million increase in personnel-related costs compared to the three months ended June 30,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 expenses increased $5.8 million, or 12%, for the six months ended June 30, 2026, compared to the six months ended June 30, 2025. The increase was primarily driven by a $6.4 million increase in personnel-related costs compared to the six months ended June 30,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a percentage of revenue, customer support and operations expenses remained flat at 5% and 6% for the three and six months ended June 30, 2026, respectively, compared to 6% for both the three and six months ended June 30, 2025.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Marketing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Marketing expenses increased $19.4 million, or 23%, for the three months ended June 30, 2026, compared to the three months ended June 30, 2025, primarily due to an increase of $19.1 million in advertising expense, including online and offline marketing spend and promotion costs to acquire new customers.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Marketing expenses increased $32.4 million, or 20%, for the six months ended June 30, 2026, compared to the six months ended June 30, 2025, primarily due to an increase of $34.7 million in advertising expense, including online and offline marketing spend and promotion costs to acquire new customers.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a percentage of revenue, marketing expenses were 21% and 20% for the three and six months ended June 30, 2026, respectively, compared to 21% and 20% for the three and six months ended June 30, 2025, respectively.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Technology and Development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Technology and development expenses decreased $3.4 million, or 4%, for the three months ended June 30, 2026, compared to the three months ended June 30, 2025. The decrease was primarily driven by a $7.4 million decrease in personnel-related costs, partially offset by a $5.3 million increase in software costs primarily related to cloud services to support incremental transaction volume.</w:t>
      </w:r>
    </w:p>
    <w:p>
      <w:pPr>
        <w:pStyle w:val="TextBody"/>
        <w:bidi w:val="0"/>
        <w:spacing w:lineRule="auto" w:line="288" w:before="0" w:after="180"/>
        <w:jc w:val="left"/>
        <w:rPr/>
      </w:pPr>
      <w:r>
        <w:rPr>
          <w:rFonts w:ascii="Times New Roman;serif" w:hAnsi="Times New Roman;serif"/>
          <w:b w:val="false"/>
          <w:color w:val="000000"/>
          <w:sz w:val="18"/>
        </w:rPr>
        <w:t xml:space="preserve">Technology and development expenses increased $2.3 million, or 2%, for the six months ended June 30, 2026, compared to the six months ended June 30, 2025. The increase was primarily driven by a $9.3 million increase in software costs primarily related to cloud services to support incremental transaction volume and a $3.6 million increase in restructuring costs primarily related to severance (refer to Note 13. </w:t>
      </w:r>
      <w:r>
        <w:rPr>
          <w:rFonts w:ascii="Times New Roman;serif" w:hAnsi="Times New Roman;serif"/>
          <w:b w:val="false"/>
          <w:i/>
          <w:color w:val="000000"/>
          <w:sz w:val="18"/>
        </w:rPr>
        <w:t>Restructuring Initiatives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for more information on the restructuring costs). These increases were partially offset by a $8.4 million decrease in personnel-related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technology and development expenses decreased to 15% and 16% for the three and six months ended June 30, 2026, respectively, from 19% and 20% for the three and six months ended June 30, 2025, as we benefited from increasing efficiencies, including the usage of AI.</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General and Administrative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decreased $3.7 million, or 6%, for the three months ended June 30, 2026, compared to the three months ended June 30, 2025. The decrease was primarily due to a $3.9 million decrease in provisions related to collectability of amounts due from certain processing partners. </w:t>
      </w:r>
    </w:p>
    <w:p>
      <w:pPr>
        <w:pStyle w:val="TextBody"/>
        <w:bidi w:val="0"/>
        <w:spacing w:lineRule="auto" w:line="288" w:before="0" w:after="180"/>
        <w:jc w:val="left"/>
        <w:rPr/>
      </w:pPr>
      <w:r>
        <w:rPr>
          <w:rFonts w:ascii="Times New Roman;serif" w:hAnsi="Times New Roman;serif"/>
          <w:b w:val="false"/>
          <w:color w:val="000000"/>
          <w:sz w:val="18"/>
        </w:rPr>
        <w:t xml:space="preserve">General and administrative expenses decreased $1.3 million, or 1%, for the six months ended June 30, 2026, compared to the six months ended June 30, 2025. The decrease was primarily driven by a $4.6 million decrease in personnel-related expenses, partially offset by a $4.1 million increase in restructuring costs primarily related to severance (refer to Note 13. </w:t>
      </w:r>
      <w:r>
        <w:rPr>
          <w:rFonts w:ascii="Times New Roman;serif" w:hAnsi="Times New Roman;serif"/>
          <w:b w:val="false"/>
          <w:i/>
          <w:color w:val="000000"/>
          <w:sz w:val="18"/>
        </w:rPr>
        <w:t>Restructuring Initiatives</w:t>
      </w:r>
      <w:r>
        <w:rPr>
          <w:color w:val="000000"/>
        </w:rPr>
        <w:t xml:space="preserve"> </w:t>
      </w:r>
      <w:r>
        <w:rPr>
          <w:rFonts w:ascii="Times New Roman;serif" w:hAnsi="Times New Roman;serif"/>
          <w:b w:val="false"/>
          <w:color w:val="000000"/>
          <w:sz w:val="18"/>
        </w:rPr>
        <w:t xml:space="preserve">in the notes to the condensed consolidated financial statements included in Part I, Item 1 of this Quarterly Report on Form 10-Q for more information on the restructuring costs).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general and administrative expenses decreased to 11% and 12% for the three and six months ended June 30, 2026, respectively, from 14% and 15% for the three and six months ended June 30, 2025, respectively, as we continue to leverage efficiencies in our general and administrative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1005"/>
                <wp:effectExtent l="0" t="0" r="0" b="0"/>
                <wp:wrapNone/>
                <wp:docPr id="31" name="Frame3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Depreciation and Amortization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remained flat for the three months ended June 30, 2026, compared to the three months ended June 30, 2025. Depreciation and amortization increased $0.8 million, or 7%, for the six months ended June 30, 2026, compared to the six months ended June 30, 2025.</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Income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decreased $0.6 million and $0.7 million for the three and six months ended June 30, 2026, respectively, compared to the three and six months ended June 30, 2025.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Expense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expense increased $1.5 million and $2.6 million for the three and six months ended June 30, 2026, respectively, compared to the three and six months ended June 30, 2025, primarily due to draws on the revolving credit facility.</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Other Expense, Net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expense, net is primarily driven by unrealized losses and gains on foreign exchange remeasurements of certain foreign currency denominated monetary assets and liabilities.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(Benefit from) Provision for Income Taxes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benefit from income taxes increased $142.8 million and $143.4 million for the three and six months ended June 30, 2026, respectively, compared to the three and six months ended June 30, 2025. The increase in both the three and six months ended June 30, 2026 is primarily due to the release of the U.S. valuation allowance during the three months ended June 30, 2026.</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periodically assess the need for a valuation allowance against our deferred tax assets by weighing positive and negative evidence to determine whether it is more likely than not that some or all of the deferred tax assets will be realized. Based on our sustained profitability in the United States and anticipated future earnings, we concluded it was more likely than not that our U.S. deferred tax assets would be realizable, and accordingly released our full U.S. valuation allowance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Non-GAAP Financial Measures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use Adjusted EBITDA, a non-GAAP financial measure, to supplement net income (loss). Adjusted EBITDA is calculated as net income (loss) adjusted by (i) interest (income) expense, net; (ii) (benefit from) provision for income taxes; (iii) noncash charges of depreciation and amortization; (iv) other (income) expense, net; (v) noncash charges associated with our donation of common stock in connection with our Pledge 1% commitment; (vi) noncash stock-based compensation expense, net; (vii) payroll taxes related to stock-based compensation expense, net; and (viii) certain restructuring and other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Adjusted EBITDA is a key output measure used by our management to evaluate our operating performance, inform future operating plans, and make strategic long-term decisions, including those relating to operating expenses and the allocation of internal resources.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Adjusted EBITDA has limitations as a financial measure, should be considered as supplemental in nature, and is not meant as a substitute for the related financial information prepared in accordance with GAAP. These limitations include the following: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does not reflect changes in, or cash requirements for, our working capital needs;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does not reflect the effect of income taxes that may represent a reduction in cash available to us;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does not reflect the changes in other (income) expense, net, primarily driven by the effect of gains and losses from the remeasurement of foreign currency assets and liabilities into their functional currency;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excludes noncash charges associated with the donation of our common stock in connection with our Pledge 1% commitment, which is recorded in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excludes stock-based compensation expense, net and payroll taxes related to stock-based compensation expense, net. These charges have recently been, and will continue to be for the foreseeable future, significant recurring expenses for our business as they are an important part of our compensation strategy; however, they are not directly linked to the current period’s operational performance. Additionally, payroll taxes related to stock-based compensation expense, net are outside of our direct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1005"/>
                <wp:effectExtent l="0" t="0" r="0" b="0"/>
                <wp:wrapNone/>
                <wp:docPr id="32" name="Frame3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 xml:space="preserve">Adjusted EBITDA excludes certain restructuring and other costs. The restructuring costs are primarily related to severance and other associated costs;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8"/>
        </w:rPr>
        <w:t>Other companies, including companies in our industry, may calculate Adjusted EBITDA differently from how we calculate this measure or not at all, which reduces its usefulness as a comparative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a reconciliation of net income, the most directly comparable financial measure prepared in accordance with GAAP, to Adjusted EBITDA, for each of the periods indicated:</w:t>
      </w:r>
    </w:p>
    <w:tbl>
      <w:tblPr>
        <w:tblW w:w="9764" w:type="dxa"/>
        <w:jc w:val="left"/>
        <w:tblInd w:w="0" w:type="dxa"/>
        <w:tblLayout w:type="fixed"/>
        <w:tblCellMar>
          <w:top w:w="28" w:type="dxa"/>
          <w:left w:w="28" w:type="dxa"/>
          <w:bottom w:w="28" w:type="dxa"/>
          <w:right w:w="28" w:type="dxa"/>
        </w:tblCellMar>
      </w:tblPr>
      <w:tblGrid>
        <w:gridCol w:w="1645"/>
        <w:gridCol w:w="1447"/>
        <w:gridCol w:w="1452"/>
        <w:gridCol w:w="206"/>
        <w:gridCol w:w="776"/>
        <w:gridCol w:w="114"/>
        <w:gridCol w:w="114"/>
        <w:gridCol w:w="114"/>
        <w:gridCol w:w="114"/>
        <w:gridCol w:w="206"/>
        <w:gridCol w:w="681"/>
        <w:gridCol w:w="114"/>
        <w:gridCol w:w="109"/>
        <w:gridCol w:w="109"/>
        <w:gridCol w:w="109"/>
        <w:gridCol w:w="196"/>
        <w:gridCol w:w="736"/>
        <w:gridCol w:w="109"/>
        <w:gridCol w:w="109"/>
        <w:gridCol w:w="109"/>
        <w:gridCol w:w="109"/>
        <w:gridCol w:w="196"/>
        <w:gridCol w:w="736"/>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Donation of common stock</w:t>
            </w:r>
            <w:r>
              <w:rPr>
                <w:rFonts w:ascii="Times New Roman;serif" w:hAnsi="Times New Roman;serif"/>
                <w:b w:val="false"/>
                <w:color w:val="000000"/>
                <w:sz w:val="12"/>
              </w:rPr>
              <w:t>(1)</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 expense, net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Restructuring and other costs</w:t>
            </w:r>
            <w:r>
              <w:rPr>
                <w:rFonts w:ascii="Times New Roman;serif" w:hAnsi="Times New Roman;serif"/>
                <w:b w:val="false"/>
                <w:color w:val="000000"/>
                <w:sz w:val="12"/>
              </w:rPr>
              <w:t>(2)</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114,742 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63,997 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Refer to Note 11. </w:t>
      </w:r>
      <w:r>
        <w:rPr>
          <w:rFonts w:ascii="Times New Roman;serif" w:hAnsi="Times New Roman;serif"/>
          <w:b w:val="false"/>
          <w:i/>
          <w:color w:val="000000"/>
          <w:sz w:val="16"/>
        </w:rPr>
        <w:t>Common Stock</w:t>
      </w:r>
      <w:r>
        <w:rPr>
          <w:color w:val="000000"/>
        </w:rPr>
        <w:t xml:space="preserve"> </w:t>
      </w:r>
      <w:r>
        <w:rPr>
          <w:rFonts w:ascii="Times New Roman;serif" w:hAnsi="Times New Roman;serif"/>
          <w:b w:val="false"/>
          <w:color w:val="000000"/>
          <w:sz w:val="16"/>
        </w:rPr>
        <w:t>within the notes to the condensed consolidated financial statements included in Part I, Item 1 of this Quarterly Report on Form 10-Q for further detail on the donation of common stock.</w:t>
      </w:r>
    </w:p>
    <w:p>
      <w:pPr>
        <w:pStyle w:val="TextBody"/>
        <w:bidi w:val="0"/>
        <w:spacing w:lineRule="auto" w:line="288" w:before="0" w:after="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Restructuring and other costs for the three and six months ended June 30, 2026 and June 30, 2025 consisted primarily of termination benefits. These costs are not indicative of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Sources of Liquidity and Material Future Cash Requirements</w:t>
      </w:r>
    </w:p>
    <w:p>
      <w:pPr>
        <w:pStyle w:val="TextBody"/>
        <w:bidi w:val="0"/>
        <w:spacing w:lineRule="auto" w:line="288" w:before="0" w:after="180"/>
        <w:jc w:val="left"/>
        <w:rPr/>
      </w:pPr>
      <w:r>
        <w:rPr>
          <w:rFonts w:ascii="Times New Roman;serif" w:hAnsi="Times New Roman;serif"/>
          <w:b w:val="false"/>
          <w:color w:val="000000"/>
          <w:sz w:val="18"/>
        </w:rPr>
        <w:t xml:space="preserve">As of June 30, 2026 and December 31, 2025, our principal sources of liquidity were cash and cash equivalents of $676.4 million and $542.4 million, respectively, as well as funds available under the 2025 Revolving Credit Facility, which we entered into in June 2025. The </w:t>
      </w:r>
      <w:r>
        <w:rPr>
          <w:rFonts w:ascii="Times New Roman;serif" w:hAnsi="Times New Roman;serif"/>
          <w:b w:val="false"/>
          <w:color w:val="000000"/>
          <w:sz w:val="18"/>
          <w:shd w:fill="FFFFFF" w:val="clear"/>
        </w:rPr>
        <w:t xml:space="preserve">2025 Revolving Credit Facility has revolving commitments up to </w:t>
      </w:r>
      <w:r>
        <w:rPr>
          <w:rFonts w:ascii="Times New Roman;serif" w:hAnsi="Times New Roman;serif"/>
          <w:b w:val="false"/>
          <w:color w:val="000000"/>
          <w:sz w:val="18"/>
        </w:rPr>
        <w:t>$550.0 million</w:t>
      </w:r>
      <w:r>
        <w:rPr>
          <w:color w:val="000000"/>
          <w:shd w:fill="FFFFFF" w:val="clear"/>
        </w:rPr>
        <w:t xml:space="preserve"> </w:t>
      </w:r>
      <w:r>
        <w:rPr>
          <w:rFonts w:ascii="Times New Roman;serif" w:hAnsi="Times New Roman;serif"/>
          <w:b w:val="false"/>
          <w:color w:val="000000"/>
          <w:sz w:val="18"/>
          <w:shd w:fill="FFFFFF" w:val="clear"/>
        </w:rPr>
        <w:t xml:space="preserve">(including a </w:t>
      </w:r>
      <w:r>
        <w:rPr>
          <w:rFonts w:ascii="Times New Roman;serif" w:hAnsi="Times New Roman;serif"/>
          <w:b w:val="false"/>
          <w:color w:val="000000"/>
          <w:sz w:val="18"/>
        </w:rPr>
        <w:t>$200.0 million</w:t>
      </w:r>
      <w:r>
        <w:rPr>
          <w:color w:val="000000"/>
          <w:shd w:fill="FFFFFF" w:val="clear"/>
        </w:rPr>
        <w:t xml:space="preserve"> </w:t>
      </w:r>
      <w:r>
        <w:rPr>
          <w:rFonts w:ascii="Times New Roman;serif" w:hAnsi="Times New Roman;serif"/>
          <w:b w:val="false"/>
          <w:color w:val="000000"/>
          <w:sz w:val="18"/>
          <w:shd w:fill="FFFFFF" w:val="clear"/>
        </w:rPr>
        <w:t xml:space="preserve">letter of credit sub-facility). </w:t>
      </w:r>
      <w:r>
        <w:rPr>
          <w:rFonts w:ascii="Times New Roman;serif" w:hAnsi="Times New Roman;serif"/>
          <w:b w:val="false"/>
          <w:color w:val="000000"/>
          <w:sz w:val="18"/>
        </w:rPr>
        <w:t>We have historically financed our operations and capital expenditures primarily through cash generated from operations, including transaction fees and foreign exchange spreads. In recent periods, we have supplemented those cash flows with borrowings on our 2025 Revolving Credit Facility, primarily to support customer transaction volumes during peak periods and weekends, which we expect to continue to do in the future. During the six months ended June 30, 2026 and 2025, the average term of outstanding borrowings under our Revolving Credit Facility was approximately four days. Operations continue to be substantially funded by the existing cash we have on hand and ongoing utilization of the 2025 Revolving Credit Facility (including the letter of credit sub-facility). During the six months ended June 30, 2026, we borrowed $5.8 billion and repaid $6.0 billion against the credit facility. As of June 30, 2026, we had no outstanding borrowings under the 2025 Revolving Credit Facility. As of June 30, 2026, we had unused borrowing capacity of $474.7 million.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July 2025, our board of directors approved a share repurchase program that provides for the repurchase of up to an aggregate of $200.0 million of our outstanding common stock. The program allows for share repurchases through open market transactions, in privately negotiated transactions, or by other means, in accordance with applicable securities laws and other restrictions, but does not obligate us to acquire any amount of common stock. The timing and total amount of share repurchases will be determined by us in our discretion and will depend on a variety of factors, including business, economic and market conditions, corporate and regulatory requirements, prevailing stock prices, alternative investment opportunities, and other considerations. During the six months ended June 30, 2026, we repurchased $65.6 million of our common stock in open market transactions.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that our cash, cash equivalents, and funds available under the 2025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1005"/>
                <wp:effectExtent l="0" t="0" r="0" b="0"/>
                <wp:wrapNone/>
                <wp:docPr id="33" name="Frame3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share repurchases, and other strategic investments. Furthermore, certain jurisdictions where we operate require us to hold eligible liquid assets, based on regulatory or legal requirements, equal to the aggregate amount of all customer balances that have not yet been disbursed.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and compliance-application related arrangements, which are generally entered into in the ordinary course of business, and that can include minimum service quantities, requiring us to utilize cash on hand to fulfill these amounts. Refer to “Contractual Obligations and Commitments” discussed further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shows a summary of our Condensed Consolidated Statements of Cash Flows for the periods presented:</w:t>
      </w:r>
    </w:p>
    <w:tbl>
      <w:tblPr>
        <w:tblW w:w="8589" w:type="dxa"/>
        <w:jc w:val="left"/>
        <w:tblInd w:w="0" w:type="dxa"/>
        <w:tblLayout w:type="fixed"/>
        <w:tblCellMar>
          <w:top w:w="28" w:type="dxa"/>
          <w:left w:w="28" w:type="dxa"/>
          <w:bottom w:w="28" w:type="dxa"/>
          <w:right w:w="28" w:type="dxa"/>
        </w:tblCellMar>
      </w:tblPr>
      <w:tblGrid>
        <w:gridCol w:w="2222"/>
        <w:gridCol w:w="1954"/>
        <w:gridCol w:w="1959"/>
        <w:gridCol w:w="196"/>
        <w:gridCol w:w="736"/>
        <w:gridCol w:w="109"/>
        <w:gridCol w:w="109"/>
        <w:gridCol w:w="109"/>
        <w:gridCol w:w="109"/>
        <w:gridCol w:w="196"/>
        <w:gridCol w:w="736"/>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2025</w:t>
            </w:r>
            <w:r>
              <w:rPr>
                <w:rFonts w:ascii="Times New Roman;serif" w:hAnsi="Times New Roman;serif"/>
                <w:b/>
                <w:color w:val="000000"/>
                <w:sz w:val="12"/>
              </w:rPr>
              <w:t>(1)</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Beginning in the fourth quarter of 2025, the Company changed the presentation of certain cash activity related to disbursement prefunding, customer funds receivable, customer liabilities, and trade settlement liability, from cash flows from operating activities to cash flows from financing activities within the line item ‘</w:t>
      </w:r>
      <w:r>
        <w:rPr>
          <w:rFonts w:ascii="Times New Roman;serif" w:hAnsi="Times New Roman;serif"/>
          <w:b w:val="false"/>
          <w:i/>
          <w:color w:val="000000"/>
          <w:sz w:val="16"/>
        </w:rPr>
        <w:t>Net change in customer funds assets and liabilities</w:t>
      </w:r>
      <w:r>
        <w:rPr>
          <w:rFonts w:ascii="Times New Roman;serif" w:hAnsi="Times New Roman;serif"/>
          <w:b w:val="false"/>
          <w:color w:val="000000"/>
          <w:sz w:val="16"/>
        </w:rPr>
        <w:t xml:space="preserve">.’ Prior period statements of cash flows and any commentary below have been conformed to the current period presentation to enhance transparency and provide comparability. For additional information, refer to Note 2. </w:t>
      </w:r>
      <w:r>
        <w:rPr>
          <w:rFonts w:ascii="Times New Roman;serif" w:hAnsi="Times New Roman;serif"/>
          <w:b w:val="false"/>
          <w:i/>
          <w:color w:val="000000"/>
          <w:sz w:val="16"/>
        </w:rPr>
        <w:t>Basis of Presentation and Summary of Significant Accounting Policies</w:t>
      </w:r>
      <w:r>
        <w:rPr>
          <w:color w:val="000000"/>
        </w:rPr>
        <w:t xml:space="preserve"> </w:t>
      </w:r>
      <w:r>
        <w:rPr>
          <w:rFonts w:ascii="Times New Roman;serif" w:hAnsi="Times New Roman;serif"/>
          <w:b w:val="false"/>
          <w:color w:val="000000"/>
          <w:sz w:val="16"/>
        </w:rPr>
        <w:t>in the notes to the condensed consolidated financial statements included in Part I, Item 1 of this Quarterly Report on Form 10-Q</w:t>
      </w:r>
      <w:r>
        <w:rPr>
          <w:rFonts w:ascii="Times New Roman;serif" w:hAnsi="Times New Roman;serif"/>
          <w:b w:val="false"/>
          <w:i/>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Cash Flows</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Operating Activities</w:t>
      </w:r>
    </w:p>
    <w:p>
      <w:pPr>
        <w:pStyle w:val="TextBody"/>
        <w:bidi w:val="0"/>
        <w:spacing w:lineRule="auto" w:line="288" w:before="0" w:after="18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Our main sources of operating cash are transaction fees charged to customers and foreign exchange spreads on transactions. Our primary uses of cash from operating activities have been for transaction expenses that include fees paid to payment processors and disbursement partners, advertising expenses used to attract new customers, personnel-related costs, technology expenses, and other general corporate expenditures.</w:t>
      </w:r>
    </w:p>
    <w:p>
      <w:pPr>
        <w:pStyle w:val="TextBody"/>
        <w:bidi w:val="0"/>
        <w:spacing w:lineRule="auto" w:line="288" w:before="0" w:after="180"/>
        <w:jc w:val="left"/>
        <w:rPr/>
      </w:pPr>
      <w:r>
        <w:rPr>
          <w:rFonts w:ascii="Times New Roman;serif" w:hAnsi="Times New Roman;serif"/>
          <w:b w:val="false"/>
          <w:color w:val="000000"/>
          <w:sz w:val="18"/>
          <w:shd w:fill="FFFFFF" w:val="clear"/>
        </w:rPr>
        <w:t xml:space="preserve">Net cash provided by operating activities for the </w:t>
      </w:r>
      <w:r>
        <w:rPr>
          <w:rFonts w:ascii="Times New Roman;serif" w:hAnsi="Times New Roman;serif"/>
          <w:b w:val="false"/>
          <w:color w:val="000000"/>
          <w:sz w:val="18"/>
        </w:rPr>
        <w:t>six months ended</w:t>
      </w:r>
      <w:r>
        <w:rPr>
          <w:color w:val="000000"/>
          <w:shd w:fill="FFFFFF" w:val="clear"/>
        </w:rPr>
        <w:t xml:space="preserve"> </w:t>
      </w:r>
      <w:r>
        <w:rPr>
          <w:rFonts w:ascii="Times New Roman;serif" w:hAnsi="Times New Roman;serif"/>
          <w:b w:val="false"/>
          <w:color w:val="000000"/>
          <w:sz w:val="18"/>
        </w:rPr>
        <w:t xml:space="preserve">June 30, 2026 was $216.5 million, an increase of $81.0 million compared to net cash provided by operating activities for the six months ended June 30, 2025. The increase was driven primarily by a $237.1 million increase in net income, partially offset by a $143.9 million increase in deferred income taxes in addition to other changes in working capital. </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Investing Activities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 consists primarily of purchases of property and equipment, net originations from consumer receivables, and the capitalization of internal-use software.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investing activities for the six months ended June 30, 2026 was $20.3 million, a decrease of $12.3 million compared to net cash used in investing activities for the six months ended June 30, 2025. This change was primarily driven by an $11.3 million decrease in purchases of property and equipment, primarily related to leasehold improvements for our corporate headquarters, and a $1.5 million decrease in originations from consumer receivables, net of collections.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1005"/>
                <wp:effectExtent l="0" t="0" r="0" b="0"/>
                <wp:wrapNone/>
                <wp:docPr id="34" name="Frame3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Financing Activities</w:t>
      </w:r>
    </w:p>
    <w:p>
      <w:pPr>
        <w:pStyle w:val="TextBody"/>
        <w:bidi w:val="0"/>
        <w:spacing w:lineRule="auto" w:line="288" w:before="0" w:after="180"/>
        <w:jc w:val="left"/>
        <w:rPr/>
      </w:pPr>
      <w:r>
        <w:rPr>
          <w:rFonts w:ascii="Times New Roman;serif" w:hAnsi="Times New Roman;serif"/>
          <w:b w:val="false"/>
          <w:color w:val="000000"/>
          <w:sz w:val="18"/>
          <w:shd w:fill="FFFFFF" w:val="clear"/>
        </w:rPr>
        <w:t>Cash flows from financing activities consists primarily of borrowings on our revolving credit facility,</w:t>
      </w:r>
      <w:r>
        <w:rPr>
          <w:color w:val="000000"/>
        </w:rPr>
        <w:t xml:space="preserve"> </w:t>
      </w:r>
      <w:r>
        <w:rPr>
          <w:rFonts w:ascii="Times New Roman;serif" w:hAnsi="Times New Roman;serif"/>
          <w:b w:val="false"/>
          <w:color w:val="000000"/>
          <w:sz w:val="18"/>
        </w:rPr>
        <w:t>proceeds from the exercise of stock options,</w:t>
      </w:r>
      <w:r>
        <w:rPr>
          <w:color w:val="000000"/>
          <w:shd w:fill="FFFFFF" w:val="clear"/>
        </w:rPr>
        <w:t xml:space="preserve"> </w:t>
      </w:r>
      <w:r>
        <w:rPr>
          <w:rFonts w:ascii="Times New Roman;serif" w:hAnsi="Times New Roman;serif"/>
          <w:b w:val="false"/>
          <w:color w:val="000000"/>
          <w:sz w:val="18"/>
          <w:shd w:fill="FFFFFF" w:val="clear"/>
        </w:rPr>
        <w:t>the net change in customer funds assets and liabilities (exclusive of the operating activity portion of such accounts), and proceeds from the issuance of common stock in connection with the ESPP, offset by repayments of our revolving credit facility borrowings, cash paid for repurchase of common stock, and cash paid for taxes related to net share settlement of equity awards. Activity in the customer funds assets and liabilities is heavily impacted by the timing of customer transactions and, in particular, the day of the week that the year end falls on, including holidays and long weekends. For example, we generally have higher prefunding amounts if the year closes on a weekend or in advance of a long weekend, such as a holiday, which creates variability in customer transaction related balances period over period and can reduce our cash position at a particular point in time.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for the six months ended June 30, 2026 was $60.6 million, a decrease of $95.4 million, compared to net cash provided by financing activities for the six months ended June 30, 2025 of $34.7 million. The change was primarily driven by a $155.0 million decrease in net borrowings on our revolving credit facility as well as a $65.2 million increase in cash paid for the repurchase of common stock, offset by a $116.8 million increase in cash flows from customer funds assets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Contractual Obligations and Commitments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w:t>
      </w:r>
    </w:p>
    <w:p>
      <w:pPr>
        <w:pStyle w:val="TextBody"/>
        <w:bidi w:val="0"/>
        <w:spacing w:lineRule="auto" w:line="288" w:before="0" w:after="180"/>
        <w:jc w:val="left"/>
        <w:rPr/>
      </w:pPr>
      <w:r>
        <w:rPr>
          <w:rFonts w:ascii="Times New Roman;serif" w:hAnsi="Times New Roman;serif"/>
          <w:b w:val="false"/>
          <w:color w:val="000000"/>
          <w:sz w:val="18"/>
        </w:rPr>
        <w:t xml:space="preserve">During the six months ended June 30, 2026, other than software, cloud infrastructure, marketing, compliance-tool related contracts, and leases entered into in the normal course of business, there were no other material changes to the contractual obligations and contingencies as disclosed in Note 16.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 xml:space="preserve">and Note 18. </w:t>
      </w:r>
      <w:r>
        <w:rPr>
          <w:rFonts w:ascii="Times New Roman;serif" w:hAnsi="Times New Roman;serif"/>
          <w:b w:val="false"/>
          <w:i/>
          <w:color w:val="000000"/>
          <w:sz w:val="18"/>
        </w:rPr>
        <w:t>Leases</w:t>
      </w:r>
      <w:r>
        <w:rPr>
          <w:color w:val="000000"/>
        </w:rPr>
        <w:t xml:space="preserve"> </w:t>
      </w:r>
      <w:r>
        <w:rPr>
          <w:rFonts w:ascii="Times New Roman;serif" w:hAnsi="Times New Roman;serif"/>
          <w:b w:val="false"/>
          <w:color w:val="000000"/>
          <w:sz w:val="18"/>
        </w:rPr>
        <w:t xml:space="preserve">in the notes to the consolidated financial statements included in Part II, Item 8 in our Annual Report on Form 10-K for the year ended December 31, 2025. For further discussion of commitments and contingencies, also refer to Note 15.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w:t>
      </w:r>
      <w:r>
        <w:rPr>
          <w:rFonts w:ascii="Times New Roman;serif" w:hAnsi="Times New Roman;serif"/>
          <w:b w:val="false"/>
          <w:i/>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Off-Balance Sheet Arrangements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June 30, 2026, we had no material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twelve months, and are typically month-to-month in nature. As described in the notes to the consolidated financial statements in our Annual Report on Form 10-K, we elected not to record leases on our Condensed Consolidated Balance Sheets if the lease term is twelve months or less. For further information on our lease arrangements, refer to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Critical Accounting Estimates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Our estimates are based on historical experience and on various other factors that we believe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288" w:before="0" w:after="180"/>
        <w:jc w:val="left"/>
        <w:rPr/>
      </w:pPr>
      <w:r>
        <w:rPr>
          <w:rFonts w:ascii="Times New Roman;serif" w:hAnsi="Times New Roman;serif"/>
          <w:b w:val="false"/>
          <w:color w:val="000000"/>
          <w:sz w:val="18"/>
        </w:rPr>
        <w:t xml:space="preserve">There have been no material changes, other than as described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to the critical accounting policies and estimates as compared to those described in “Management’s Discussion and Analysis of Financial Condition and Results of Operations” set forth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Recently Issued Accounting Pronouncements</w:t>
      </w:r>
    </w:p>
    <w:p>
      <w:pPr>
        <w:pStyle w:val="TextBody"/>
        <w:bidi w:val="0"/>
        <w:spacing w:lineRule="auto" w:line="288" w:before="0" w:after="180"/>
        <w:jc w:val="left"/>
        <w:rPr/>
      </w:pPr>
      <w:r>
        <w:rPr>
          <w:rFonts w:ascii="Times New Roman;serif" w:hAnsi="Times New Roman;serif"/>
          <w:b w:val="false"/>
          <w:color w:val="000000"/>
          <w:sz w:val="18"/>
        </w:rPr>
        <w:t xml:space="preserve">See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1005"/>
                <wp:effectExtent l="0" t="0" r="0" b="0"/>
                <wp:wrapNone/>
                <wp:docPr id="35" name="Frame3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Credit Risk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partner with pay-in payment providers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our banking partners where we hold assets, our disbursement partners when we prefund or remit funds in advance of having collected funds from our customers through our pay-in payment processors, if our disbursement partners fail to disburse funds according to our instructions (for example, due to their insufficient capital), and our consumer receivables. We mitigate these credit exposures by engaging with reputable disbursement partners and performing a credit review before onboarding each disbursement partner, by negotiating for postfunding arrangements where circumstances permit, and by managing eligibility related to our consumer receivables. We also periodically review credit ratings, or, if unavailable, other financial documentation, of both our pay-in payment providers and disbursement partners. We have not experienced significant losses during the periods presented.</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Foreign Currency Exchange Rate Risk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Given the nature of our business, we are exposed to foreign exchange rate risk in a number of ways. Our principal exposure to foreign exchange rate risk includes: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8"/>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partially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18"/>
        </w:rPr>
        <w:t>While the majority of our revenue and expenses are denominated in the U.S. dollar, certain of our international operations are conducted in foreign currencies, a significant portion of which occur in Canada.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June 30, 2026 and December 31, 2025, a hypothetical uniform 10% strengthening or weakening in the value of the U.S. dollar relative to other currencies in which our net income was generated would have resulted in a decrease or increase to the fair value of our customer transaction-related assets and liabilities denominated in currencies other than the subsidiaries’ functional currencies of approximately $27.5 million and $37.9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global money movement transactions. For example, an increase in the value of a send currency against a receive currency may accelerate the timing or amount of global money movement transactions.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 the extent practicable, we minimize our foreign currency exposures by maintaining natural hedges between our current assets and current liabilities in similarly denominated foreign currencies. We also deploy derivatives and other financial instruments to reduce foreign currency exchange risk due to the timing difference between purchase of foreign currency and remittance initiation. These foreign exchange contracts have not had a material impact on our operations in the period. We do not use derivative financial instruments for trading 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1005"/>
                <wp:effectExtent l="0" t="0" r="0" b="0"/>
                <wp:wrapNone/>
                <wp:docPr id="36" name="Frame3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Item 4. Controls and Procedures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Evaluation of Disclosure Controls and Procedures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Based on their evaluation as of June 30, 2026,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as defined in the Exchange Act Rule 13a-15(f)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21005"/>
                <wp:effectExtent l="0" t="0" r="0" b="0"/>
                <wp:wrapNone/>
                <wp:docPr id="37" name="Frame3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lineRule="auto" w:line="288" w:before="0" w:after="180"/>
        <w:jc w:val="left"/>
        <w:rPr/>
      </w:pPr>
      <w:r>
        <w:rPr>
          <w:rFonts w:ascii="Times New Roman;serif" w:hAnsi="Times New Roman;serif"/>
          <w:b w:val="false"/>
          <w:color w:val="000000"/>
          <w:sz w:val="18"/>
        </w:rPr>
        <w:t xml:space="preserve">In the normal course of business, the Company occasionally becomes involved in various legal proceedings. In the opinion of management, any liability from such proceedings would not have a material adverse effect on the business or financial condition of the Company. Refer to Note 15.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within the notes to the condensed consolidated financial statements included in Part I, Item 1 of this Quarterly Report on Form 10-Q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addition to the other information set forth in this Quarterly Report on Form 10-Q, you should carefully consider the factors discussed in Part I, Item 1A, “Risk Factors,” in our Annual Report on Form 10-K for the year ended December 31, 2025, which could materially affect our business, financial condition, operating results, reputation, future prospects, or the trading price of the Company’s stock. These are not the only risks facing the Company. Additional risks and uncertainties that we are unaware of or that we deem immaterial may also become important factors that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Recent Sales of Unregistered Equity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Issuer Purchase of Equity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Share repurchase activity during the three months ended June 30, 2026 was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460"/>
        <w:gridCol w:w="460"/>
        <w:gridCol w:w="462"/>
        <w:gridCol w:w="109"/>
        <w:gridCol w:w="109"/>
        <w:gridCol w:w="109"/>
        <w:gridCol w:w="287"/>
        <w:gridCol w:w="814"/>
        <w:gridCol w:w="159"/>
        <w:gridCol w:w="109"/>
        <w:gridCol w:w="109"/>
        <w:gridCol w:w="109"/>
        <w:gridCol w:w="810"/>
        <w:gridCol w:w="810"/>
        <w:gridCol w:w="812"/>
        <w:gridCol w:w="109"/>
        <w:gridCol w:w="109"/>
        <w:gridCol w:w="109"/>
        <w:gridCol w:w="493"/>
        <w:gridCol w:w="1854"/>
        <w:gridCol w:w="39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Number of Shares Purchased as part of Publicly Announced Plans or Programs</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Approximate Dollar Value of Shares that May Yet Be Purchased Under the Plans or Programs</w:t>
            </w:r>
            <w:r>
              <w:rPr>
                <w:rFonts w:ascii="Times New Roman;serif" w:hAnsi="Times New Roman;serif"/>
                <w:b/>
                <w:color w:val="000000"/>
                <w:sz w:val="12"/>
              </w:rPr>
              <w:t>(2)</w:t>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125,627 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120,596 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110,543 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Average price paid per share includes related commissions paid by us.</w:t>
      </w:r>
    </w:p>
    <w:p>
      <w:pPr>
        <w:pStyle w:val="TextBody"/>
        <w:bidi w:val="0"/>
        <w:spacing w:lineRule="auto" w:line="288" w:before="0" w:after="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On August 6, 2025, we announced that our board of directors had authorized a share repurchase program to repurchase up to $200.0 million of our outstanding common stock, with no expiration date. Refer to Note 11. </w:t>
      </w:r>
      <w:r>
        <w:rPr>
          <w:rFonts w:ascii="Times New Roman;serif" w:hAnsi="Times New Roman;serif"/>
          <w:b w:val="false"/>
          <w:i/>
          <w:color w:val="000000"/>
          <w:sz w:val="16"/>
        </w:rPr>
        <w:t>Common Stock</w:t>
      </w:r>
      <w:r>
        <w:rPr>
          <w:color w:val="000000"/>
        </w:rPr>
        <w:t xml:space="preserve"> </w:t>
      </w:r>
      <w:r>
        <w:rPr>
          <w:rFonts w:ascii="Times New Roman;serif" w:hAnsi="Times New Roman;serif"/>
          <w:b w:val="false"/>
          <w:color w:val="000000"/>
          <w:sz w:val="16"/>
        </w:rPr>
        <w:t>within the notes to the condensed consolidated financial statements included in Part I, Item 1 of this Quarterly Report on Form 10-Q for further details regarding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Rule 10b5-1 and Non-Rule 10b5-1 Trading Arrangements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2026, none of our officers or directors adopted, modified, or terminated any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21005"/>
                <wp:effectExtent l="0" t="0" r="0" b="0"/>
                <wp:wrapNone/>
                <wp:docPr id="38" name="Frame3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310"/>
        <w:gridCol w:w="273"/>
        <w:gridCol w:w="275"/>
        <w:gridCol w:w="109"/>
        <w:gridCol w:w="109"/>
        <w:gridCol w:w="109"/>
        <w:gridCol w:w="1794"/>
        <w:gridCol w:w="1664"/>
        <w:gridCol w:w="1682"/>
        <w:gridCol w:w="308"/>
        <w:gridCol w:w="308"/>
        <w:gridCol w:w="309"/>
        <w:gridCol w:w="191"/>
        <w:gridCol w:w="191"/>
        <w:gridCol w:w="157"/>
        <w:gridCol w:w="248"/>
        <w:gridCol w:w="238"/>
        <w:gridCol w:w="160"/>
        <w:gridCol w:w="225"/>
        <w:gridCol w:w="225"/>
        <w:gridCol w:w="226"/>
        <w:gridCol w:w="337"/>
        <w:gridCol w:w="337"/>
        <w:gridCol w:w="420"/>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12"/>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9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Filed Herewith</w:t>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0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Filing Date</w:t>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erif" w:hAnsi="Times New Roman;serif"/>
                  <w:b w:val="false"/>
                  <w:color w:val="0000FF"/>
                  <w:sz w:val="18"/>
                  <w:u w:val="single"/>
                </w:rPr>
                <w:t>Amended and Restated Certificate of Incorporation</w:t>
              </w:r>
            </w:hyperlink>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10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12, 2021</w:t>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Amended and Restated Bylaws</w:t>
              </w:r>
            </w:hyperlink>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0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March 20, 2024</w:t>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Certificate of Change of Registered Agent</w:t>
              </w:r>
            </w:hyperlink>
          </w:p>
        </w:tc>
        <w:tc>
          <w:tcPr>
            <w:tcW w:w="92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10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2025rcfamendmen.htm">
              <w:r>
                <w:rPr>
                  <w:rStyle w:val="InternetLink"/>
                  <w:rFonts w:ascii="Times New Roman;serif" w:hAnsi="Times New Roman;serif"/>
                  <w:b w:val="false"/>
                  <w:color w:val="000080"/>
                  <w:sz w:val="18"/>
                  <w:u w:val="single"/>
                </w:rPr>
                <w:t>Amendment No. 1</w:t>
              </w:r>
            </w:hyperlink>
            <w:hyperlink w:anchor="exhibit101-2025rcfamendmen.htm">
              <w:r>
                <w:rPr>
                  <w:rStyle w:val="InternetLink"/>
                  <w:rFonts w:ascii="Times New Roman;serif" w:hAnsi="Times New Roman;serif"/>
                  <w:b w:val="false"/>
                  <w:color w:val="000080"/>
                  <w:sz w:val="18"/>
                  <w:u w:val="single"/>
                </w:rPr>
                <w:t xml:space="preserve">, dated June 15, 2026, to </w:t>
              </w:r>
            </w:hyperlink>
            <w:hyperlink w:anchor="exhibit101-2025rcfamendmen.htm">
              <w:r>
                <w:rPr>
                  <w:rStyle w:val="InternetLink"/>
                  <w:rFonts w:ascii="Times New Roman;serif" w:hAnsi="Times New Roman;serif"/>
                  <w:b w:val="false"/>
                  <w:color w:val="000080"/>
                  <w:sz w:val="18"/>
                  <w:u w:val="single"/>
                </w:rPr>
                <w:t>Credit Agreement dated as of June 24, 2025, among Remitly Global, Inc., the financial institutions party thereto, and JPMorgan Chase Bank, N.A., as administrative agent</w:t>
              </w:r>
            </w:hyperlink>
          </w:p>
        </w:tc>
        <w:tc>
          <w:tcPr>
            <w:tcW w:w="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saemasomalyatra.htm">
              <w:r>
                <w:rPr>
                  <w:rStyle w:val="InternetLink"/>
                  <w:rFonts w:ascii="Times New Roman;serif" w:hAnsi="Times New Roman;serif"/>
                  <w:b w:val="false"/>
                  <w:color w:val="000080"/>
                  <w:sz w:val="18"/>
                  <w:u w:val="single"/>
                </w:rPr>
                <w:t xml:space="preserve">Transition Agreement, dated as of </w:t>
              </w:r>
            </w:hyperlink>
            <w:hyperlink w:anchor="exhibit102-saemasomalyatra.htm">
              <w:r>
                <w:rPr>
                  <w:rStyle w:val="InternetLink"/>
                  <w:rFonts w:ascii="Times New Roman;serif" w:hAnsi="Times New Roman;serif"/>
                  <w:b w:val="false"/>
                  <w:color w:val="000080"/>
                  <w:sz w:val="18"/>
                  <w:u w:val="single"/>
                </w:rPr>
                <w:t>April 2, 2026</w:t>
              </w:r>
            </w:hyperlink>
            <w:hyperlink w:anchor="exhibit102-saemasomalyatra.htm">
              <w:r>
                <w:rPr>
                  <w:rStyle w:val="InternetLink"/>
                  <w:rFonts w:ascii="Times New Roman;serif" w:hAnsi="Times New Roman;serif"/>
                  <w:b w:val="false"/>
                  <w:color w:val="000080"/>
                  <w:sz w:val="18"/>
                  <w:u w:val="single"/>
                </w:rPr>
                <w:t>, by and between the Registra</w:t>
              </w:r>
            </w:hyperlink>
            <w:hyperlink w:anchor="exhibit102-saemasomalyatra.htm">
              <w:r>
                <w:rPr>
                  <w:rStyle w:val="InternetLink"/>
                  <w:rFonts w:ascii="Times New Roman;serif" w:hAnsi="Times New Roman;serif"/>
                  <w:b w:val="false"/>
                  <w:color w:val="000080"/>
                  <w:sz w:val="18"/>
                  <w:u w:val="single"/>
                </w:rPr>
                <w:t>nt and Saema Somalya</w:t>
              </w:r>
            </w:hyperlink>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2q26-exhibit311.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2q26-exhibit312.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2q26-exhibit321.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2q26-exhibit322.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21005"/>
                <wp:effectExtent l="0" t="0" r="0" b="0"/>
                <wp:wrapNone/>
                <wp:docPr id="39" name="Frame3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SIGNATURES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180"/>
        <w:jc w:val="left"/>
        <w:rPr/>
      </w:pPr>
      <w:r>
        <w:rPr/>
      </w:r>
    </w:p>
    <w:tbl>
      <w:tblPr>
        <w:tblW w:w="5092" w:type="dxa"/>
        <w:jc w:val="left"/>
        <w:tblInd w:w="0" w:type="dxa"/>
        <w:tblLayout w:type="fixed"/>
        <w:tblCellMar>
          <w:top w:w="28" w:type="dxa"/>
          <w:left w:w="28" w:type="dxa"/>
          <w:bottom w:w="28" w:type="dxa"/>
          <w:right w:w="28" w:type="dxa"/>
        </w:tblCellMar>
      </w:tblPr>
      <w:tblGrid>
        <w:gridCol w:w="195"/>
        <w:gridCol w:w="171"/>
        <w:gridCol w:w="173"/>
        <w:gridCol w:w="404"/>
        <w:gridCol w:w="404"/>
        <w:gridCol w:w="406"/>
        <w:gridCol w:w="120"/>
        <w:gridCol w:w="120"/>
        <w:gridCol w:w="120"/>
        <w:gridCol w:w="759"/>
        <w:gridCol w:w="759"/>
        <w:gridCol w:w="762"/>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Remitly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 </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Sebastian Gunningham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Sebastian Gunningham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Vikas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Vikas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(Principal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Tai-Hong Fung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Tai-Hong Fung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21005"/>
                <wp:effectExtent l="0" t="0" r="0" b="0"/>
                <wp:wrapNone/>
                <wp:docPr id="40" name="Frame4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AMENDMENT NO. 1 TO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AMENDMENT NO. 1 TO CREDIT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June 15, 2026, is entered into among Remitly Global,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Remitly, Inc., a Delaware corporation (“</w:t>
      </w:r>
      <w:r>
        <w:rPr>
          <w:rFonts w:ascii="Times New Roman;serif" w:hAnsi="Times New Roman;serif"/>
          <w:b w:val="false"/>
          <w:color w:val="000000"/>
          <w:sz w:val="22"/>
          <w:u w:val="single"/>
        </w:rPr>
        <w:t>Remitly</w:t>
      </w:r>
      <w:r>
        <w:rPr>
          <w:color w:val="000000"/>
        </w:rPr>
        <w:t xml:space="preserve">” </w:t>
      </w:r>
      <w:r>
        <w:rPr>
          <w:rFonts w:ascii="Times New Roman;serif" w:hAnsi="Times New Roman;serif"/>
          <w:b w:val="false"/>
          <w:color w:val="000000"/>
          <w:sz w:val="22"/>
        </w:rPr>
        <w:t>and, together with the Company,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and each individually a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as borrowers, the lenders party hereto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the Issuing Banks and JPMorgan Chase Bank, N.A.,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xml:space="preserve">) and the Swingline Lender. </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Borrowers, the lenders from time to time party thereto, and JPMorgan Chase Bank, N.A., as Administrative Agent and Collateral Agent, are party to that certain Credit Agreement, dated as of June 24, 2025 (as amended, modified, extended, restated, replaced, or supplemented from time to time prior to the date hereof,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the Credit Agreement as amended by this Agreement, the “</w:t>
      </w:r>
      <w:r>
        <w:rPr>
          <w:rFonts w:ascii="Times New Roman;serif" w:hAnsi="Times New Roman;serif"/>
          <w:b w:val="false"/>
          <w:color w:val="000000"/>
          <w:sz w:val="22"/>
          <w:u w:val="single"/>
        </w:rPr>
        <w:t>Amended Credit Agreement</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Borrowers have requested certain amendments to the Credit Agreement;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w:t>
      </w:r>
      <w:r>
        <w:rPr>
          <w:color w:val="000000"/>
        </w:rPr>
        <w:t xml:space="preserve"> </w:t>
      </w:r>
      <w:r>
        <w:rPr>
          <w:rFonts w:ascii="Times New Roman;serif" w:hAnsi="Times New Roman;serif"/>
          <w:b w:val="false"/>
          <w:color w:val="000000"/>
          <w:sz w:val="22"/>
        </w:rPr>
        <w:t>in connection with the foregoing, the Borrowers, the Administrative Agent, the Lenders signatory hereto (such Lenders constituting the Required Lenders), the Issuing Banks and the Swingline Lender are willing to amend certain provisions of the Credit Agreement as set forth herein in accordance with Section 10.1(a) of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Capitalized terms used herein but not otherwise defined herein shall have the meanings provided to such terms in the Amended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Agreement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The Credit Agreement is hereby amended to delete the stricken text (indicated textually in the same manner as the following example: </w:t>
      </w:r>
      <w:r>
        <w:rPr>
          <w:rFonts w:ascii="Times New Roman;serif" w:hAnsi="Times New Roman;serif"/>
          <w:b w:val="false"/>
          <w:strike/>
          <w:color w:val="FF0000"/>
          <w:sz w:val="22"/>
        </w:rPr>
        <w:t>stricken text</w:t>
      </w:r>
      <w:r>
        <w:rPr>
          <w:rFonts w:ascii="Times New Roman;serif" w:hAnsi="Times New Roman;serif"/>
          <w:b w:val="false"/>
          <w:color w:val="000000"/>
          <w:sz w:val="22"/>
        </w:rPr>
        <w:t xml:space="preserve">) and to add the double-underlined text (indicated textually in the same manner as the following example: </w:t>
      </w:r>
      <w:r>
        <w:rPr>
          <w:rFonts w:ascii="Times New Roman;serif" w:hAnsi="Times New Roman;serif"/>
          <w:b w:val="false"/>
          <w:color w:val="0070C0"/>
          <w:sz w:val="22"/>
          <w:u w:val="single"/>
        </w:rPr>
        <w:t>double-underlined text</w:t>
      </w:r>
      <w:r>
        <w:rPr>
          <w:rFonts w:ascii="Times New Roman;serif" w:hAnsi="Times New Roman;serif"/>
          <w:b w:val="false"/>
          <w:color w:val="000000"/>
          <w:sz w:val="22"/>
        </w:rPr>
        <w:t>) as set forth in the pages attached as Exhibit A 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Schedule 1.1E to the Credit Agreement is hereby amended and restated in its entirety in the form attached hereto as Exhibit B.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Exhibit B to the Credit Agreement is hereby amended and restated in its entirety in the form attached hereto as Exhibit C.</w:t>
      </w:r>
    </w:p>
    <w:p>
      <w:pPr>
        <w:pStyle w:val="TextBody"/>
        <w:bidi w:val="0"/>
        <w:spacing w:lineRule="auto" w:line="288" w:before="0" w:after="24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Payment of Expenses</w:t>
      </w:r>
      <w:r>
        <w:rPr>
          <w:rFonts w:ascii="Times New Roman;serif" w:hAnsi="Times New Roman;serif"/>
          <w:b w:val="false"/>
          <w:color w:val="000000"/>
          <w:sz w:val="22"/>
        </w:rPr>
        <w:t xml:space="preserve">. The Borrowers agree to reimburse the Administrative Agent for all reasonable fees, charges and disbursements of the Administrative Agent in connection with the preparation, execution and delivery of this Agreement, including all reasonable fees, charges and disbursements of Simpson Thacher &amp; Bartlett LLP, counsel to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Conditions Precedent</w:t>
      </w:r>
      <w:r>
        <w:rPr>
          <w:rFonts w:ascii="Times New Roman;serif" w:hAnsi="Times New Roman;serif"/>
          <w:b w:val="false"/>
          <w:color w:val="000000"/>
          <w:sz w:val="22"/>
        </w:rPr>
        <w:t>. This effectiveness of this Agreement is subject to the satisfaction of the following condition (the date of the satisfaction of such condition, the “</w:t>
      </w:r>
      <w:r>
        <w:rPr>
          <w:rFonts w:ascii="Times New Roman;serif" w:hAnsi="Times New Roman;serif"/>
          <w:b w:val="false"/>
          <w:color w:val="000000"/>
          <w:sz w:val="22"/>
          <w:u w:val="single"/>
        </w:rPr>
        <w:t>Amendment No. 1 Effective Date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Administrative Agent (or its counsel) shall have received from each of the Borrowers, Lenders constituting the Required Lenders, the Issuing Banks and the Swingline Lender either (x) a counterpart of this Agreement signed on behalf of such party or (y) written evidence reasonably satisfactory to the Administrative Agent (which may include delivery of a signed signature page of this Agreement by facsimile or other means of electronic transmission (e.g., “pdf.”)) that such party has signed a counterpart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Each Borrower, on behalf of itself and the other Loan Parties, represents and warrants to the Administrative Agent and the Lenders that, as of the date 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has been duly authorized, executed and delivered by such Borrower and constitutes the legal, valid and binding obligation of such Borrower enforceable against each such Borrower in accordance with its terms, subject to (i) applicable bankruptcy, insolvency, reorganization, moratorium or other laws affecting creditors’ rights generally, (ii) general principles of equity, regardless of whether considered in a proceeding in equity or at law and (iii) implied covenants of good faith and fair dealing; and</w:t>
      </w:r>
    </w:p>
    <w:p>
      <w:pPr>
        <w:pStyle w:val="TextBody"/>
        <w:bidi w:val="0"/>
        <w:spacing w:lineRule="auto" w:line="288"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shd w:fill="FFFFFF" w:val="clear"/>
        </w:rPr>
        <w:t xml:space="preserve">the execution, delivery and performance by each </w:t>
      </w:r>
      <w:r>
        <w:rPr>
          <w:rFonts w:ascii="Times New Roman;serif" w:hAnsi="Times New Roman;serif"/>
          <w:b w:val="false"/>
          <w:color w:val="000000"/>
          <w:sz w:val="22"/>
        </w:rPr>
        <w:t xml:space="preserve">Borrower </w:t>
      </w:r>
      <w:r>
        <w:rPr>
          <w:rFonts w:ascii="Times New Roman;serif" w:hAnsi="Times New Roman;serif"/>
          <w:b w:val="false"/>
          <w:color w:val="000000"/>
          <w:sz w:val="22"/>
          <w:shd w:fill="FFFFFF" w:val="clear"/>
        </w:rPr>
        <w:t xml:space="preserve">of this Agreement (i) do not require any consent or authorization of, </w:t>
      </w:r>
      <w:r>
        <w:rPr>
          <w:rFonts w:ascii="Times New Roman;serif" w:hAnsi="Times New Roman;serif"/>
          <w:b w:val="false"/>
          <w:color w:val="000000"/>
          <w:sz w:val="22"/>
        </w:rPr>
        <w:t>filing with, notice to or other act by or in respect of</w:t>
      </w:r>
      <w:r>
        <w:rPr>
          <w:rFonts w:ascii="Times New Roman;serif" w:hAnsi="Times New Roman;serif"/>
          <w:b w:val="false"/>
          <w:color w:val="000000"/>
          <w:sz w:val="22"/>
          <w:shd w:fill="FFFFFF" w:val="clear"/>
        </w:rPr>
        <w:t xml:space="preserve">, any Governmental Authority, except (A) such as have been obtained or made and are in full force and effect and (B) those approvals, consents, registrations, filings or other actions, the failure of which to obtain or make has not had and could not reasonably be expected to have a Material Adverse Effect, (ii) except as has not had and could not reasonably be expected to have a Material Adverse Effect, will not violate any applicable law or regulation or any order of any Governmental Authority, (iii) will not violate any charter, by-laws or other organizational document of </w:t>
      </w:r>
      <w:r>
        <w:rPr>
          <w:rFonts w:ascii="Times New Roman;serif" w:hAnsi="Times New Roman;serif"/>
          <w:b w:val="false"/>
          <w:color w:val="000000"/>
          <w:sz w:val="22"/>
        </w:rPr>
        <w:t>the Company or any of its Subsidiaries</w:t>
      </w:r>
      <w:r>
        <w:rPr>
          <w:rFonts w:ascii="Times New Roman;serif" w:hAnsi="Times New Roman;serif"/>
          <w:b w:val="false"/>
          <w:color w:val="000000"/>
          <w:sz w:val="22"/>
          <w:shd w:fill="FFFFFF" w:val="clear"/>
        </w:rPr>
        <w:t xml:space="preserve">, (iv) except as has not had and could not reasonably be expected to have a Material Adverse Effect, will not violate or result in a default under any Contractual Obligation binding upon </w:t>
      </w:r>
      <w:r>
        <w:rPr>
          <w:rFonts w:ascii="Times New Roman;serif" w:hAnsi="Times New Roman;serif"/>
          <w:b w:val="false"/>
          <w:color w:val="000000"/>
          <w:sz w:val="22"/>
        </w:rPr>
        <w:t>the Company or any of its Subsidiaries</w:t>
      </w:r>
      <w:r>
        <w:rPr>
          <w:color w:val="000000"/>
          <w:shd w:fill="FFFFFF" w:val="clear"/>
        </w:rPr>
        <w:t xml:space="preserve"> </w:t>
      </w:r>
      <w:r>
        <w:rPr>
          <w:rFonts w:ascii="Times New Roman;serif" w:hAnsi="Times New Roman;serif"/>
          <w:b w:val="false"/>
          <w:color w:val="000000"/>
          <w:sz w:val="22"/>
          <w:shd w:fill="FFFFFF" w:val="clear"/>
        </w:rPr>
        <w:t xml:space="preserve">or its assets and (v) except as has not had and could not reasonably be expected to have a Material Adverse Effect, will not result in the creation or imposition of any Lien on any asset of </w:t>
      </w:r>
      <w:r>
        <w:rPr>
          <w:rFonts w:ascii="Times New Roman;serif" w:hAnsi="Times New Roman;serif"/>
          <w:b w:val="false"/>
          <w:color w:val="000000"/>
          <w:sz w:val="22"/>
        </w:rPr>
        <w:t>the Company or any of its Subsidiaries</w:t>
      </w:r>
      <w:r>
        <w:rPr>
          <w:color w:val="000000"/>
          <w:shd w:fill="FFFFFF" w:val="clear"/>
        </w:rPr>
        <w:t xml:space="preserve"> </w:t>
      </w:r>
      <w:r>
        <w:rPr>
          <w:rFonts w:ascii="Times New Roman;serif" w:hAnsi="Times New Roman;serif"/>
          <w:b w:val="false"/>
          <w:color w:val="000000"/>
          <w:sz w:val="22"/>
          <w:shd w:fill="FFFFFF" w:val="clear"/>
        </w:rPr>
        <w:t xml:space="preserve">(other than the Liens created pursuant to the Security Documents).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6.     </w:t>
      </w:r>
      <w:r>
        <w:rPr>
          <w:rFonts w:ascii="Times New Roman;serif" w:hAnsi="Times New Roman;serif"/>
          <w:b w:val="false"/>
          <w:color w:val="000000"/>
          <w:sz w:val="22"/>
          <w:u w:val="single"/>
          <w:shd w:fill="FFFFFF" w:val="clear"/>
        </w:rPr>
        <w:t>Reaffirmation; Reference to and Effect on the Loan Documents</w:t>
      </w:r>
      <w:r>
        <w:rPr>
          <w:rFonts w:ascii="Times New Roman;serif" w:hAnsi="Times New Roman;serif"/>
          <w:b w:val="false"/>
          <w:color w:val="000000"/>
          <w:sz w:val="22"/>
          <w:shd w:fill="FFFFFF" w:val="clear"/>
        </w:rPr>
        <w:t xml:space="preserve">. </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From and after the Amendment No. 1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Amended Credit Agreement. This Agreement is a Loan Document.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Loan Documents, and the obligations of the Borrowers and the Guarantors</w:t>
      </w:r>
      <w:r>
        <w:rPr>
          <w:color w:val="000000"/>
        </w:rPr>
        <w:t xml:space="preserve"> </w:t>
      </w:r>
      <w:r>
        <w:rPr>
          <w:rFonts w:ascii="Times New Roman;serif" w:hAnsi="Times New Roman;serif"/>
          <w:b w:val="false"/>
          <w:color w:val="000000"/>
          <w:sz w:val="22"/>
        </w:rPr>
        <w:t xml:space="preserve">under the Loan Documents, are hereby ratified and confirmed and shall remain in full force and effect according to their terms.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of the Borrowers, on behalf of itself and the other Loan Parties, (i) acknowledges and consents to all of the terms and conditions of this Agreement, (ii) affirms all of its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under the Loan Documents, (iii) agrees that this Agreement and all documents executed in connection herewith do not operate to reduce or discharge its obligations under the Loan Documents, (iv) agrees that the Guaranty and the Security Documents continue to be in full force and effect and are not impaired or adversely affected in any manner whatsoever, (v) confirms its grant of security interests pursuant to the Security Documents to which it is a party as Collateral for the Obligations, (vi) acknowledges that all Liens granted (or purported to be granted) pursuant to the Security Documents remain and continue in full force and effect in respect of, and to secure, the Obligations and (vii) reaffirms its obligations under the Guaranty, and agrees that its obligation to guarantee the Obligations is in full force and effect as of the date 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 This Agreement shall not extinguish the obligations for the payment of money outstanding under the Credit Agreement or any other Loan Document or discharge or release the Lien or priority of any Security Document or any other security therefor. Nothing herein contained shall be construed as a substitution or novation of the obligations outstanding under the Credit Agreement, the Security Documents or the other Loan Documents or a novation of the Credit Agreement or any other Loan Document. The obligations outstanding under or of the Credit Agreement and instruments securing the same shall remain in full force and effect, except to any extent expressly modified hereby. Nothing implied in this Agreement or in any other document contemplated hereby shall be construed as a release or other discharge of any of the Loan Parties under any Loan Document from any of its obligations and liabilities as a borrower, guarantor, grantor or pledgor under any of the Loan Documents.</w:t>
      </w:r>
    </w:p>
    <w:p>
      <w:pPr>
        <w:pStyle w:val="TextBody"/>
        <w:bidi w:val="0"/>
        <w:spacing w:lineRule="auto" w:line="288" w:before="0" w:after="0"/>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Governing Law; Jurisdiction; Consent to Service of Process; Waiver of Jury Trial, Etc</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THIS AGREEMENT AND THE RIGHTS AND OBLIGATIONS OF THE PARTIES UNDER THIS AGREEMENT AND ANY CLAIM, CONTROVERSY OR DISPUTE ARISING UNDER OR RELATED TO THIS AGREEMENT WHETHER IN TORT, CONTRACT (AT LAW OR IN EQUITY) OR OTHERWISE, SHALL BE GOVERNED BY, AND CONSTRUED AND INTERPRETED IN ACCORDANCE WITH, THE LAWS OF THE STATE OF NEW YORK.</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color w:val="000000"/>
          <w:sz w:val="22"/>
        </w:rPr>
        <w:t>(b)    EACH PARTY HERETO HEREBY AGREES AS SET FORTH IN SECTIONS 10.11, 10.12 AND 10.15 OF THE AMENDED CREDIT AGREEMENT AS IF SUCH SECTIONS WERE SET FORTH IN FULL HEREIN</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Headings; Severability</w:t>
      </w:r>
      <w:r>
        <w:rPr>
          <w:rFonts w:ascii="Times New Roman;serif" w:hAnsi="Times New Roman;serif"/>
          <w:b w:val="false"/>
          <w:color w:val="000000"/>
          <w:sz w:val="22"/>
        </w:rPr>
        <w:t>. Section headings used herein are for convenience of reference only, are not part of this Agreement and shall not affect the construction of, or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before="0" w:after="0"/>
        <w:ind w:left="0" w:right="0" w:hanging="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Execution in Counterparts; Electronic Signatures</w:t>
      </w:r>
      <w:r>
        <w:rPr>
          <w:rFonts w:ascii="Times New Roman;serif" w:hAnsi="Times New Roman;serif"/>
          <w:b w:val="false"/>
          <w:color w:val="000000"/>
          <w:sz w:val="22"/>
        </w:rPr>
        <w:t xml:space="preserve">. This Agreement may be executed in counterparts (and by different parties hereto on different counterparts), each of which shall constitute an original, but all of which when taken together shall constitute a single contract. Delivery of an executed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counterpart of a signature page of this Agreement that is an Electronic Signature transmitted by telecopy, emailed pdf. or any other electronic means shall be effective as delivery of a manually executed counterpart of this Agreement. The words “execution,” “signed,” “signature,” “delivery,” and words of like import in or relating to this Agreement shall be deemed to include Electronic Signatures, deliveries or the keeping of records in any electronic form (including deliveries by telecopy, emailed pdf. or any other electronic means), each of which shall be of the same legal effect, validity or enforceability as a manually executed signature, physical delivery thereof or the use of a paper-based recordkeeping system, as the case may be;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herein shall require the Administrative Agent to accept Electronic Signatures in any form or format without its prior written consent and pursuant to procedures approved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hereunder shall be given in accordance with the provisions of Section 10.2 of the Amended Credit Agreement.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parties hereto has caused a counterpart of this Agreement to be duly executed and delivered as of the date first above written.</w:t>
      </w:r>
    </w:p>
    <w:tbl>
      <w:tblPr>
        <w:tblW w:w="4304" w:type="dxa"/>
        <w:jc w:val="left"/>
        <w:tblInd w:w="0" w:type="dxa"/>
        <w:tblLayout w:type="fixed"/>
        <w:tblCellMar>
          <w:top w:w="28" w:type="dxa"/>
          <w:left w:w="28" w:type="dxa"/>
          <w:bottom w:w="28" w:type="dxa"/>
          <w:right w:w="28" w:type="dxa"/>
        </w:tblCellMar>
      </w:tblPr>
      <w:tblGrid>
        <w:gridCol w:w="467"/>
        <w:gridCol w:w="411"/>
        <w:gridCol w:w="411"/>
        <w:gridCol w:w="879"/>
        <w:gridCol w:w="879"/>
        <w:gridCol w:w="1257"/>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4304" w:type="dxa"/>
            <w:gridSpan w:val="6"/>
            <w:tcBorders/>
            <w:tcMar>
              <w:top w:w="0" w:type="dxa"/>
              <w:left w:w="0" w:type="dxa"/>
              <w:bottom w:w="0" w:type="dxa"/>
              <w:right w:w="0" w:type="dxa"/>
            </w:tcMar>
            <w:vAlign w:val="center"/>
          </w:tcPr>
          <w:p>
            <w:pPr>
              <w:pStyle w:val="TableContents"/>
              <w:bidi w:val="0"/>
              <w:spacing w:before="0" w:after="480"/>
              <w:jc w:val="left"/>
              <w:rPr/>
            </w:pPr>
            <w:r>
              <w:rPr/>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REMITLY GLOBAL, INC.</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Vikas Mehta</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Vikas Mehta</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r>
    </w:tbl>
    <w:p>
      <w:pPr>
        <w:pStyle w:val="TextBody"/>
        <w:bidi w:val="0"/>
        <w:spacing w:before="0" w:after="240"/>
        <w:ind w:left="0" w:right="0" w:firstLine="720"/>
        <w:jc w:val="left"/>
        <w:rPr/>
      </w:pPr>
      <w:r>
        <w:rPr/>
      </w:r>
    </w:p>
    <w:p>
      <w:pPr>
        <w:pStyle w:val="TextBody"/>
        <w:bidi w:val="0"/>
        <w:spacing w:before="0" w:after="600"/>
        <w:ind w:left="0" w:right="0" w:hanging="3600"/>
        <w:jc w:val="left"/>
        <w:rPr/>
      </w:pPr>
      <w:r>
        <w:rPr/>
      </w:r>
    </w:p>
    <w:p>
      <w:pPr>
        <w:pStyle w:val="TextBody"/>
        <w:bidi w:val="0"/>
        <w:spacing w:before="0" w:after="600"/>
        <w:ind w:left="0" w:right="0" w:hanging="3600"/>
        <w:jc w:val="left"/>
        <w:rPr/>
      </w:pPr>
      <w:r>
        <w:rPr/>
      </w:r>
    </w:p>
    <w:tbl>
      <w:tblPr>
        <w:tblW w:w="4167" w:type="dxa"/>
        <w:jc w:val="left"/>
        <w:tblInd w:w="0" w:type="dxa"/>
        <w:tblLayout w:type="fixed"/>
        <w:tblCellMar>
          <w:top w:w="28" w:type="dxa"/>
          <w:left w:w="28" w:type="dxa"/>
          <w:bottom w:w="28" w:type="dxa"/>
          <w:right w:w="28" w:type="dxa"/>
        </w:tblCellMar>
      </w:tblPr>
      <w:tblGrid>
        <w:gridCol w:w="299"/>
        <w:gridCol w:w="262"/>
        <w:gridCol w:w="262"/>
        <w:gridCol w:w="970"/>
        <w:gridCol w:w="970"/>
        <w:gridCol w:w="140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4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REMITLY, INC.</w:t>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Spyro Karetsos</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Spyro Karetsos</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Compliance Officer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2740"/>
                <wp:effectExtent l="0" t="0" r="0" b="0"/>
                <wp:wrapNone/>
                <wp:docPr id="45" name="Frame4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68"/>
        <w:gridCol w:w="1557"/>
        <w:gridCol w:w="1557"/>
        <w:gridCol w:w="1562"/>
        <w:gridCol w:w="1557"/>
        <w:gridCol w:w="2204"/>
      </w:tblGrid>
      <w:tr>
        <w:trPr/>
        <w:tc>
          <w:tcPr>
            <w:tcW w:w="176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JPMORGAN CHASE BANK, N.A., as Administrative Agent, a Lender, Issuing Bank and Swingline Lender</w:t>
            </w:r>
          </w:p>
        </w:tc>
      </w:tr>
      <w:tr>
        <w:trPr/>
        <w:tc>
          <w:tcPr>
            <w:tcW w:w="4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Lucas Menendez</w:t>
            </w:r>
          </w:p>
        </w:tc>
      </w:tr>
      <w:tr>
        <w:trPr/>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Lucas Menendez</w:t>
            </w:r>
          </w:p>
        </w:tc>
      </w:tr>
      <w:tr>
        <w:trPr/>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Executive Director</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08000"/>
                <wp:effectExtent l="0" t="0" r="0" b="0"/>
                <wp:wrapNone/>
                <wp:docPr id="46" name="Frame46"/>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5834" w:type="dxa"/>
        <w:jc w:val="left"/>
        <w:tblInd w:w="0" w:type="dxa"/>
        <w:tblLayout w:type="fixed"/>
        <w:tblCellMar>
          <w:top w:w="28" w:type="dxa"/>
          <w:left w:w="28" w:type="dxa"/>
          <w:bottom w:w="28" w:type="dxa"/>
          <w:right w:w="28" w:type="dxa"/>
        </w:tblCellMar>
      </w:tblPr>
      <w:tblGrid>
        <w:gridCol w:w="1010"/>
        <w:gridCol w:w="887"/>
        <w:gridCol w:w="887"/>
        <w:gridCol w:w="887"/>
        <w:gridCol w:w="887"/>
        <w:gridCol w:w="1276"/>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58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BANK OF AMERICA N.A. as a Lender and Issuing Bank</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Thomas M. Paulk</w:t>
            </w:r>
          </w:p>
        </w:tc>
      </w:tr>
      <w:tr>
        <w:trPr/>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Thomas M. Paulk</w:t>
            </w:r>
          </w:p>
        </w:tc>
      </w:tr>
      <w:tr>
        <w:trPr/>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2740"/>
                <wp:effectExtent l="0" t="0" r="0" b="0"/>
                <wp:wrapNone/>
                <wp:docPr id="47" name="Frame4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p>
                    <w:p>
                      <w:pPr>
                        <w:pStyle w:val="TextBody"/>
                        <w:bidi w:val="0"/>
                        <w:spacing w:before="0" w:after="0"/>
                        <w:jc w:val="left"/>
                        <w:rPr/>
                      </w:pPr>
                      <w:r>
                        <w:rPr/>
                      </w:r>
                    </w:p>
                  </w:txbxContent>
                </v:textbox>
                <w10:wrap type="none"/>
              </v:rect>
            </w:pict>
          </mc:Fallback>
        </mc:AlternateContent>
      </w:r>
    </w:p>
    <w:tbl>
      <w:tblPr>
        <w:tblW w:w="6868" w:type="dxa"/>
        <w:jc w:val="left"/>
        <w:tblInd w:w="0" w:type="dxa"/>
        <w:tblLayout w:type="fixed"/>
        <w:tblCellMar>
          <w:top w:w="28" w:type="dxa"/>
          <w:left w:w="28" w:type="dxa"/>
          <w:bottom w:w="28" w:type="dxa"/>
          <w:right w:w="28" w:type="dxa"/>
        </w:tblCellMar>
      </w:tblPr>
      <w:tblGrid>
        <w:gridCol w:w="1191"/>
        <w:gridCol w:w="1045"/>
        <w:gridCol w:w="1045"/>
        <w:gridCol w:w="1045"/>
        <w:gridCol w:w="1045"/>
        <w:gridCol w:w="1497"/>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r>
      <w:tr>
        <w:trPr/>
        <w:tc>
          <w:tcPr>
            <w:tcW w:w="68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Wells Fargo Bank, National Association, as a Lender and Issuing Bank </w:t>
            </w:r>
          </w:p>
        </w:tc>
      </w:tr>
      <w:tr>
        <w:trPr/>
        <w:tc>
          <w:tcPr>
            <w:tcW w:w="3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Benjamin Schwartz</w:t>
            </w:r>
          </w:p>
        </w:tc>
      </w:tr>
      <w:tr>
        <w:trPr/>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Benjamin Schwartz</w:t>
            </w:r>
          </w:p>
        </w:tc>
      </w:tr>
      <w:tr>
        <w:trPr/>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2740"/>
                <wp:effectExtent l="0" t="0" r="0" b="0"/>
                <wp:wrapNone/>
                <wp:docPr id="48" name="Frame4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p>
                    <w:p>
                      <w:pPr>
                        <w:pStyle w:val="TextBody"/>
                        <w:bidi w:val="0"/>
                        <w:spacing w:before="0" w:after="0"/>
                        <w:jc w:val="left"/>
                        <w:rPr/>
                      </w:pPr>
                      <w:r>
                        <w:rPr/>
                      </w:r>
                    </w:p>
                  </w:txbxContent>
                </v:textbox>
                <w10:wrap type="none"/>
              </v:rect>
            </w:pict>
          </mc:Fallback>
        </mc:AlternateContent>
      </w:r>
    </w:p>
    <w:tbl>
      <w:tblPr>
        <w:tblW w:w="4640" w:type="dxa"/>
        <w:jc w:val="left"/>
        <w:tblInd w:w="0" w:type="dxa"/>
        <w:tblLayout w:type="fixed"/>
        <w:tblCellMar>
          <w:top w:w="28" w:type="dxa"/>
          <w:left w:w="28" w:type="dxa"/>
          <w:bottom w:w="28" w:type="dxa"/>
          <w:right w:w="28" w:type="dxa"/>
        </w:tblCellMar>
      </w:tblPr>
      <w:tblGrid>
        <w:gridCol w:w="553"/>
        <w:gridCol w:w="484"/>
        <w:gridCol w:w="484"/>
        <w:gridCol w:w="902"/>
        <w:gridCol w:w="902"/>
        <w:gridCol w:w="1315"/>
      </w:tblGrid>
      <w:tr>
        <w:trPr/>
        <w:tc>
          <w:tcPr>
            <w:tcW w:w="5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4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Barclays Bank PLC, as a Lender</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Joseph Tauro</w:t>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Joseph Tauro</w:t>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Assistant Vice President</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2740"/>
                <wp:effectExtent l="0" t="0" r="0" b="0"/>
                <wp:wrapNone/>
                <wp:docPr id="49" name="Frame4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p>
                    <w:p>
                      <w:pPr>
                        <w:pStyle w:val="TextBody"/>
                        <w:bidi w:val="0"/>
                        <w:spacing w:before="0" w:after="0"/>
                        <w:jc w:val="left"/>
                        <w:rPr/>
                      </w:pPr>
                      <w:r>
                        <w:rPr/>
                      </w:r>
                    </w:p>
                  </w:txbxContent>
                </v:textbox>
                <w10:wrap type="none"/>
              </v:rect>
            </w:pict>
          </mc:Fallback>
        </mc:AlternateContent>
      </w:r>
    </w:p>
    <w:tbl>
      <w:tblPr>
        <w:tblW w:w="4611" w:type="dxa"/>
        <w:jc w:val="left"/>
        <w:tblInd w:w="0" w:type="dxa"/>
        <w:tblLayout w:type="fixed"/>
        <w:tblCellMar>
          <w:top w:w="28" w:type="dxa"/>
          <w:left w:w="28" w:type="dxa"/>
          <w:bottom w:w="28" w:type="dxa"/>
          <w:right w:w="28" w:type="dxa"/>
        </w:tblCellMar>
      </w:tblPr>
      <w:tblGrid>
        <w:gridCol w:w="628"/>
        <w:gridCol w:w="552"/>
        <w:gridCol w:w="552"/>
        <w:gridCol w:w="838"/>
        <w:gridCol w:w="838"/>
        <w:gridCol w:w="1203"/>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46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CITIZENS BANK, N.A., as a Lender</w:t>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Bryan L. Bains</w:t>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Bryan L. Bains</w:t>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2740"/>
                <wp:effectExtent l="0" t="0" r="0" b="0"/>
                <wp:wrapNone/>
                <wp:docPr id="50" name="Frame5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p>
                    <w:p>
                      <w:pPr>
                        <w:pStyle w:val="TextBody"/>
                        <w:bidi w:val="0"/>
                        <w:spacing w:before="0" w:after="0"/>
                        <w:jc w:val="left"/>
                        <w:rPr/>
                      </w:pPr>
                      <w:r>
                        <w:rPr/>
                      </w:r>
                    </w:p>
                  </w:txbxContent>
                </v:textbox>
                <w10:wrap type="none"/>
              </v:rect>
            </w:pict>
          </mc:Fallback>
        </mc:AlternateContent>
      </w:r>
    </w:p>
    <w:tbl>
      <w:tblPr>
        <w:tblW w:w="5252" w:type="dxa"/>
        <w:jc w:val="left"/>
        <w:tblInd w:w="0" w:type="dxa"/>
        <w:tblLayout w:type="fixed"/>
        <w:tblCellMar>
          <w:top w:w="28" w:type="dxa"/>
          <w:left w:w="28" w:type="dxa"/>
          <w:bottom w:w="28" w:type="dxa"/>
          <w:right w:w="28" w:type="dxa"/>
        </w:tblCellMar>
      </w:tblPr>
      <w:tblGrid>
        <w:gridCol w:w="858"/>
        <w:gridCol w:w="757"/>
        <w:gridCol w:w="757"/>
        <w:gridCol w:w="841"/>
        <w:gridCol w:w="841"/>
        <w:gridCol w:w="1198"/>
      </w:tblGrid>
      <w:tr>
        <w:trPr/>
        <w:tc>
          <w:tcPr>
            <w:tcW w:w="85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52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Goldman Sachs Lending Partners LLC, as a Lender</w:t>
            </w:r>
          </w:p>
        </w:tc>
      </w:tr>
      <w:tr>
        <w:trPr/>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Elizabeth Tosin</w:t>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Elizabeth Tosin</w:t>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32740"/>
                <wp:effectExtent l="0" t="0" r="0" b="0"/>
                <wp:wrapNone/>
                <wp:docPr id="51" name="Frame5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p>
                    <w:p>
                      <w:pPr>
                        <w:pStyle w:val="TextBody"/>
                        <w:bidi w:val="0"/>
                        <w:spacing w:before="0" w:after="0"/>
                        <w:jc w:val="left"/>
                        <w:rPr/>
                      </w:pPr>
                      <w:r>
                        <w:rPr/>
                      </w:r>
                    </w:p>
                  </w:txbxContent>
                </v:textbox>
                <w10:wrap type="none"/>
              </v:rect>
            </w:pict>
          </mc:Fallback>
        </mc:AlternateContent>
      </w:r>
    </w:p>
    <w:tbl>
      <w:tblPr>
        <w:tblW w:w="3860" w:type="dxa"/>
        <w:jc w:val="left"/>
        <w:tblInd w:w="0" w:type="dxa"/>
        <w:tblLayout w:type="fixed"/>
        <w:tblCellMar>
          <w:top w:w="28" w:type="dxa"/>
          <w:left w:w="28" w:type="dxa"/>
          <w:bottom w:w="28" w:type="dxa"/>
          <w:right w:w="28" w:type="dxa"/>
        </w:tblCellMar>
      </w:tblPr>
      <w:tblGrid>
        <w:gridCol w:w="529"/>
        <w:gridCol w:w="466"/>
        <w:gridCol w:w="466"/>
        <w:gridCol w:w="701"/>
        <w:gridCol w:w="701"/>
        <w:gridCol w:w="997"/>
      </w:tblGrid>
      <w:tr>
        <w:trPr/>
        <w:tc>
          <w:tcPr>
            <w:tcW w:w="5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38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MUFG Bank, Ltd., as a Lender</w:t>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Soren Peterson</w:t>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Soren Peterson</w:t>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32740"/>
                <wp:effectExtent l="0" t="0" r="0" b="0"/>
                <wp:wrapNone/>
                <wp:docPr id="52" name="Frame5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p>
                    <w:p>
                      <w:pPr>
                        <w:pStyle w:val="TextBody"/>
                        <w:bidi w:val="0"/>
                        <w:spacing w:before="0" w:after="0"/>
                        <w:jc w:val="left"/>
                        <w:rPr/>
                      </w:pPr>
                      <w:r>
                        <w:rPr/>
                      </w:r>
                    </w:p>
                  </w:txbxContent>
                </v:textbox>
                <w10:wrap type="none"/>
              </v:rect>
            </w:pict>
          </mc:Fallback>
        </mc:AlternateContent>
      </w:r>
    </w:p>
    <w:tbl>
      <w:tblPr>
        <w:tblW w:w="4903" w:type="dxa"/>
        <w:jc w:val="left"/>
        <w:tblInd w:w="0" w:type="dxa"/>
        <w:tblLayout w:type="fixed"/>
        <w:tblCellMar>
          <w:top w:w="28" w:type="dxa"/>
          <w:left w:w="28" w:type="dxa"/>
          <w:bottom w:w="28" w:type="dxa"/>
          <w:right w:w="28" w:type="dxa"/>
        </w:tblCellMar>
      </w:tblPr>
      <w:tblGrid>
        <w:gridCol w:w="850"/>
        <w:gridCol w:w="748"/>
        <w:gridCol w:w="748"/>
        <w:gridCol w:w="748"/>
        <w:gridCol w:w="748"/>
        <w:gridCol w:w="1061"/>
      </w:tblGrid>
      <w:tr>
        <w:trPr/>
        <w:tc>
          <w:tcPr>
            <w:tcW w:w="85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49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First-Citizens Bank &amp; Trust Company, as a Lender</w:t>
            </w:r>
          </w:p>
        </w:tc>
      </w:tr>
      <w:tr>
        <w:trPr/>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Jake Yennaco</w:t>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Jake Yennaco</w:t>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32740"/>
                <wp:effectExtent l="0" t="0" r="0" b="0"/>
                <wp:wrapNone/>
                <wp:docPr id="53" name="Frame5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Amendment No.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A</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Attached hereto</w:t>
      </w:r>
      <w:r>
        <w:rPr>
          <w:rFonts w:ascii="Times New Roman;serif" w:hAnsi="Times New Roman;serif"/>
          <w:b w:val="false"/>
          <w:color w:val="000000"/>
          <w:sz w:val="22"/>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6.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center"/>
        <w:rPr>
          <w:rFonts w:ascii="Times New Roman;serif" w:hAnsi="Times New Roman;serif"/>
          <w:b w:val="false"/>
          <w:color w:val="000000"/>
          <w:sz w:val="22"/>
        </w:rPr>
      </w:pPr>
      <w:r>
        <w:rPr>
          <w:rFonts w:ascii="Times New Roman;serif" w:hAnsi="Times New Roman;serif"/>
          <w:b w:val="false"/>
          <w:color w:val="000000"/>
          <w:sz w:val="22"/>
        </w:rPr>
        <w:t>CREDIT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among</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REMITLY GLOBAL, INC.</w:t>
        <w:br/>
        <w:t>and</w:t>
        <w:br/>
        <w:t xml:space="preserve">REMITLY, INC., </w:t>
        <w:br/>
        <w:t>as Borrowers</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The Several Lenders </w:t>
        <w:br/>
        <w:t>from Time to Time Parties Hereto,</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and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JPMORGAN CHASE BANK, N.A.,</w:t>
        <w:br/>
        <w:t>as Administrative Agent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Dated as of June 24,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JPMORGAN CHASE BANK, N.A.,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BANK OF AMERICA, N.A. and WELLS FARGO SECURITIES, LLC,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br/>
        <w:t xml:space="preserve">as Joint Lead Arrangers and Bookrunners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p>
      <w:pPr>
        <w:pStyle w:val="TextBody"/>
        <w:bidi w:val="0"/>
        <w:spacing w:lineRule="auto" w:line="288" w:before="240" w:after="240"/>
        <w:jc w:val="left"/>
        <w:rPr/>
      </w:pPr>
      <w:r>
        <w:rPr>
          <w:rFonts w:ascii="Times New Roman;serif" w:hAnsi="Times New Roman;serif"/>
          <w:b w:val="false"/>
          <w:color w:val="010000"/>
          <w:sz w:val="22"/>
        </w:rPr>
        <w:t>SECTION 1.</w:t>
      </w:r>
      <w:r>
        <w:rPr>
          <w:color w:val="000000"/>
        </w:rPr>
        <w:t>    </w:t>
      </w:r>
      <w:r>
        <w:rPr>
          <w:rFonts w:ascii="Times New Roman;serif" w:hAnsi="Times New Roman;serif"/>
          <w:b w:val="false"/>
          <w:color w:val="000000"/>
          <w:sz w:val="22"/>
        </w:rPr>
        <w:t>DEFINITIONS    1</w:t>
      </w:r>
    </w:p>
    <w:p>
      <w:pPr>
        <w:pStyle w:val="TextBody"/>
        <w:bidi w:val="0"/>
        <w:spacing w:lineRule="auto" w:line="288" w:before="0" w:after="0"/>
        <w:ind w:left="0" w:right="0" w:hanging="965"/>
        <w:jc w:val="left"/>
        <w:rPr/>
      </w:pPr>
      <w:r>
        <w:rPr>
          <w:rFonts w:ascii="Times New Roman;serif" w:hAnsi="Times New Roman;serif"/>
          <w:b w:val="false"/>
          <w:color w:val="000000"/>
          <w:sz w:val="22"/>
        </w:rPr>
        <w:t>1.1.</w:t>
      </w:r>
      <w:r>
        <w:rPr>
          <w:color w:val="000000"/>
        </w:rPr>
        <w:t>    </w:t>
      </w:r>
      <w:r>
        <w:rPr>
          <w:rFonts w:ascii="Times New Roman;serif" w:hAnsi="Times New Roman;serif"/>
          <w:b w:val="false"/>
          <w:color w:val="000000"/>
          <w:sz w:val="22"/>
        </w:rPr>
        <w:t>Defined Terms    1</w:t>
      </w:r>
    </w:p>
    <w:p>
      <w:pPr>
        <w:pStyle w:val="TextBody"/>
        <w:bidi w:val="0"/>
        <w:spacing w:lineRule="auto" w:line="288" w:before="0" w:after="0"/>
        <w:ind w:left="0" w:right="0" w:hanging="965"/>
        <w:jc w:val="left"/>
        <w:rPr/>
      </w:pPr>
      <w:r>
        <w:rPr>
          <w:rFonts w:ascii="Times New Roman;serif" w:hAnsi="Times New Roman;serif"/>
          <w:b w:val="false"/>
          <w:color w:val="000000"/>
          <w:sz w:val="22"/>
        </w:rPr>
        <w:t>1.2.</w:t>
      </w:r>
      <w:r>
        <w:rPr>
          <w:color w:val="000000"/>
        </w:rPr>
        <w:t>    </w:t>
      </w:r>
      <w:r>
        <w:rPr>
          <w:rFonts w:ascii="Times New Roman;serif" w:hAnsi="Times New Roman;serif"/>
          <w:b w:val="false"/>
          <w:color w:val="000000"/>
          <w:sz w:val="22"/>
        </w:rPr>
        <w:t>Other Definitional Provisions    </w:t>
      </w:r>
      <w:r>
        <w:rPr>
          <w:rFonts w:ascii="Times New Roman;serif" w:hAnsi="Times New Roman;serif"/>
          <w:b w:val="false"/>
          <w:strike/>
          <w:color w:val="FF0000"/>
          <w:sz w:val="22"/>
        </w:rPr>
        <w:t>46</w:t>
      </w:r>
      <w:r>
        <w:rPr>
          <w:rFonts w:ascii="Times New Roman;serif" w:hAnsi="Times New Roman;serif"/>
          <w:b w:val="false"/>
          <w:color w:val="0000FF"/>
          <w:sz w:val="22"/>
          <w:u w:val="single"/>
        </w:rPr>
        <w:t>47</w:t>
      </w:r>
    </w:p>
    <w:p>
      <w:pPr>
        <w:pStyle w:val="TextBody"/>
        <w:bidi w:val="0"/>
        <w:spacing w:lineRule="auto" w:line="288" w:before="0" w:after="0"/>
        <w:ind w:left="0" w:right="0" w:hanging="965"/>
        <w:jc w:val="left"/>
        <w:rPr/>
      </w:pPr>
      <w:r>
        <w:rPr>
          <w:rFonts w:ascii="Times New Roman;serif" w:hAnsi="Times New Roman;serif"/>
          <w:b w:val="false"/>
          <w:color w:val="000000"/>
          <w:sz w:val="22"/>
        </w:rPr>
        <w:t>1.3.</w:t>
      </w:r>
      <w:r>
        <w:rPr>
          <w:color w:val="000000"/>
        </w:rPr>
        <w:t>    </w:t>
      </w:r>
      <w:r>
        <w:rPr>
          <w:rFonts w:ascii="Times New Roman;serif" w:hAnsi="Times New Roman;serif"/>
          <w:b w:val="false"/>
          <w:color w:val="000000"/>
          <w:sz w:val="22"/>
        </w:rPr>
        <w:t>Currency Conversion</w:t>
      </w:r>
      <w:r>
        <w:rPr>
          <w:rFonts w:ascii="Times New Roman;serif" w:hAnsi="Times New Roman;serif"/>
          <w:b w:val="false"/>
          <w:color w:val="0000FF"/>
          <w:sz w:val="22"/>
          <w:u w:val="single"/>
        </w:rPr>
        <w:t>; Currency Equivalents; Exchange Rates</w:t>
      </w:r>
      <w:r>
        <w:rPr>
          <w:color w:val="000000"/>
        </w:rPr>
        <w:t>    </w:t>
      </w:r>
      <w:r>
        <w:rPr>
          <w:rFonts w:ascii="Times New Roman;serif" w:hAnsi="Times New Roman;serif"/>
          <w:b w:val="false"/>
          <w:strike/>
          <w:color w:val="FF0000"/>
          <w:sz w:val="22"/>
        </w:rPr>
        <w:t>48</w:t>
      </w:r>
      <w:r>
        <w:rPr>
          <w:rFonts w:ascii="Times New Roman;serif" w:hAnsi="Times New Roman;serif"/>
          <w:b w:val="false"/>
          <w:color w:val="0000FF"/>
          <w:sz w:val="22"/>
          <w:u w:val="single"/>
        </w:rPr>
        <w:t>49</w:t>
      </w:r>
    </w:p>
    <w:p>
      <w:pPr>
        <w:pStyle w:val="TextBody"/>
        <w:bidi w:val="0"/>
        <w:spacing w:lineRule="auto" w:line="288" w:before="0" w:after="0"/>
        <w:ind w:left="0" w:right="0" w:hanging="965"/>
        <w:jc w:val="left"/>
        <w:rPr/>
      </w:pPr>
      <w:r>
        <w:rPr>
          <w:rFonts w:ascii="Times New Roman;serif" w:hAnsi="Times New Roman;serif"/>
          <w:b w:val="false"/>
          <w:color w:val="000000"/>
          <w:sz w:val="22"/>
        </w:rPr>
        <w:t>1.4.</w:t>
      </w:r>
      <w:r>
        <w:rPr>
          <w:color w:val="000000"/>
        </w:rPr>
        <w:t>    </w:t>
      </w:r>
      <w:r>
        <w:rPr>
          <w:rFonts w:ascii="Times New Roman;serif" w:hAnsi="Times New Roman;serif"/>
          <w:b w:val="false"/>
          <w:color w:val="000000"/>
          <w:sz w:val="22"/>
        </w:rPr>
        <w:t>Terms Generally; Pro Forma Calculations    </w:t>
      </w:r>
      <w:r>
        <w:rPr>
          <w:rFonts w:ascii="Times New Roman;serif" w:hAnsi="Times New Roman;serif"/>
          <w:b w:val="false"/>
          <w:strike/>
          <w:color w:val="FF0000"/>
          <w:sz w:val="22"/>
        </w:rPr>
        <w:t>48</w:t>
      </w:r>
      <w:r>
        <w:rPr>
          <w:rFonts w:ascii="Times New Roman;serif" w:hAnsi="Times New Roman;serif"/>
          <w:b w:val="false"/>
          <w:color w:val="0000FF"/>
          <w:sz w:val="22"/>
          <w:u w:val="single"/>
        </w:rPr>
        <w:t>49</w:t>
      </w:r>
    </w:p>
    <w:p>
      <w:pPr>
        <w:pStyle w:val="TextBody"/>
        <w:bidi w:val="0"/>
        <w:spacing w:lineRule="auto" w:line="288" w:before="0" w:after="0"/>
        <w:ind w:left="0" w:right="0" w:hanging="965"/>
        <w:jc w:val="left"/>
        <w:rPr/>
      </w:pPr>
      <w:r>
        <w:rPr>
          <w:rFonts w:ascii="Times New Roman;serif" w:hAnsi="Times New Roman;serif"/>
          <w:b w:val="false"/>
          <w:color w:val="000000"/>
          <w:sz w:val="22"/>
        </w:rPr>
        <w:t>1.5.</w:t>
      </w:r>
      <w:r>
        <w:rPr>
          <w:color w:val="000000"/>
        </w:rPr>
        <w:t>    </w:t>
      </w:r>
      <w:r>
        <w:rPr>
          <w:rFonts w:ascii="Times New Roman;serif" w:hAnsi="Times New Roman;serif"/>
          <w:b w:val="false"/>
          <w:color w:val="000000"/>
          <w:sz w:val="22"/>
        </w:rPr>
        <w:t>Classification of Loans and Borrowings    </w:t>
      </w:r>
      <w:r>
        <w:rPr>
          <w:rFonts w:ascii="Times New Roman;serif" w:hAnsi="Times New Roman;serif"/>
          <w:b w:val="false"/>
          <w:strike/>
          <w:color w:val="FF0000"/>
          <w:sz w:val="22"/>
        </w:rPr>
        <w:t>51</w:t>
      </w:r>
      <w:r>
        <w:rPr>
          <w:rFonts w:ascii="Times New Roman;serif" w:hAnsi="Times New Roman;serif"/>
          <w:b w:val="false"/>
          <w:color w:val="0000FF"/>
          <w:sz w:val="22"/>
          <w:u w:val="single"/>
        </w:rPr>
        <w:t>52</w:t>
      </w:r>
    </w:p>
    <w:p>
      <w:pPr>
        <w:pStyle w:val="TextBody"/>
        <w:bidi w:val="0"/>
        <w:spacing w:lineRule="auto" w:line="288" w:before="0" w:after="0"/>
        <w:ind w:left="0" w:right="0" w:hanging="965"/>
        <w:jc w:val="left"/>
        <w:rPr/>
      </w:pPr>
      <w:r>
        <w:rPr>
          <w:rFonts w:ascii="Times New Roman;serif" w:hAnsi="Times New Roman;serif"/>
          <w:b w:val="false"/>
          <w:color w:val="000000"/>
          <w:sz w:val="22"/>
        </w:rPr>
        <w:t>1.6.</w:t>
      </w:r>
      <w:r>
        <w:rPr>
          <w:color w:val="000000"/>
        </w:rPr>
        <w:t>    </w:t>
      </w:r>
      <w:r>
        <w:rPr>
          <w:rFonts w:ascii="Times New Roman;serif" w:hAnsi="Times New Roman;serif"/>
          <w:b w:val="false"/>
          <w:color w:val="000000"/>
          <w:sz w:val="22"/>
        </w:rPr>
        <w:t>Interest Rates; Benchmark Notification    51</w:t>
      </w:r>
    </w:p>
    <w:p>
      <w:pPr>
        <w:pStyle w:val="TextBody"/>
        <w:bidi w:val="0"/>
        <w:spacing w:lineRule="auto" w:line="288" w:before="0" w:after="0"/>
        <w:ind w:left="0" w:right="0" w:hanging="965"/>
        <w:jc w:val="left"/>
        <w:rPr/>
      </w:pPr>
      <w:r>
        <w:rPr>
          <w:rFonts w:ascii="Times New Roman;serif" w:hAnsi="Times New Roman;serif"/>
          <w:b w:val="false"/>
          <w:color w:val="0000FF"/>
          <w:sz w:val="22"/>
          <w:u w:val="single"/>
        </w:rPr>
        <w:t>1.7.</w:t>
      </w:r>
      <w:r>
        <w:rPr>
          <w:color w:val="0000FF"/>
          <w:u w:val="single"/>
        </w:rPr>
        <w:t>    </w:t>
      </w:r>
      <w:r>
        <w:rPr>
          <w:rFonts w:ascii="Times New Roman;serif" w:hAnsi="Times New Roman;serif"/>
          <w:b w:val="false"/>
          <w:color w:val="0000FF"/>
          <w:sz w:val="22"/>
          <w:u w:val="single"/>
        </w:rPr>
        <w:t>Letter of Credit Amounts    53</w:t>
      </w:r>
    </w:p>
    <w:p>
      <w:pPr>
        <w:pStyle w:val="TextBody"/>
        <w:bidi w:val="0"/>
        <w:spacing w:before="0" w:after="0"/>
        <w:jc w:val="left"/>
        <w:rPr/>
      </w:pPr>
      <w:r>
        <w:rPr/>
      </w:r>
    </w:p>
    <w:p>
      <w:pPr>
        <w:pStyle w:val="TextBody"/>
        <w:bidi w:val="0"/>
        <w:spacing w:lineRule="auto" w:line="288" w:before="240" w:after="240"/>
        <w:jc w:val="left"/>
        <w:rPr/>
      </w:pPr>
      <w:r>
        <w:rPr>
          <w:rFonts w:ascii="Times New Roman;serif" w:hAnsi="Times New Roman;serif"/>
          <w:b w:val="false"/>
          <w:color w:val="010000"/>
          <w:sz w:val="22"/>
        </w:rPr>
        <w:t>SECTION 2.</w:t>
      </w:r>
      <w:r>
        <w:rPr>
          <w:color w:val="000000"/>
        </w:rPr>
        <w:t>    </w:t>
      </w:r>
      <w:r>
        <w:rPr>
          <w:rFonts w:ascii="Times New Roman;serif" w:hAnsi="Times New Roman;serif"/>
          <w:b w:val="false"/>
          <w:color w:val="000000"/>
          <w:sz w:val="22"/>
        </w:rPr>
        <w:t>AMOUNT AND TERMS OF LOANS AND COMMITMENTS    </w:t>
      </w:r>
      <w:r>
        <w:rPr>
          <w:rFonts w:ascii="Times New Roman;serif" w:hAnsi="Times New Roman;serif"/>
          <w:b w:val="false"/>
          <w:strike/>
          <w:color w:val="FF0000"/>
          <w:sz w:val="22"/>
        </w:rPr>
        <w:t>52</w:t>
      </w:r>
      <w:r>
        <w:rPr>
          <w:rFonts w:ascii="Times New Roman;serif" w:hAnsi="Times New Roman;serif"/>
          <w:b w:val="false"/>
          <w:color w:val="0000FF"/>
          <w:sz w:val="22"/>
          <w:u w:val="single"/>
        </w:rPr>
        <w:t>53</w:t>
      </w:r>
    </w:p>
    <w:p>
      <w:pPr>
        <w:pStyle w:val="TextBody"/>
        <w:bidi w:val="0"/>
        <w:spacing w:lineRule="auto" w:line="288" w:before="0" w:after="0"/>
        <w:ind w:left="0" w:right="0" w:hanging="965"/>
        <w:jc w:val="left"/>
        <w:rPr/>
      </w:pPr>
      <w:r>
        <w:rPr>
          <w:rFonts w:ascii="Times New Roman;serif" w:hAnsi="Times New Roman;serif"/>
          <w:b w:val="false"/>
          <w:color w:val="000000"/>
          <w:sz w:val="22"/>
        </w:rPr>
        <w:t>2.1.</w:t>
      </w:r>
      <w:r>
        <w:rPr>
          <w:color w:val="000000"/>
        </w:rPr>
        <w:t>    </w:t>
      </w:r>
      <w:r>
        <w:rPr>
          <w:rFonts w:ascii="Times New Roman;serif" w:hAnsi="Times New Roman;serif"/>
          <w:b w:val="false"/>
          <w:color w:val="000000"/>
          <w:sz w:val="22"/>
        </w:rPr>
        <w:t>[Reserved]    </w:t>
      </w:r>
      <w:r>
        <w:rPr>
          <w:rFonts w:ascii="Times New Roman;serif" w:hAnsi="Times New Roman;serif"/>
          <w:b w:val="false"/>
          <w:strike/>
          <w:color w:val="FF0000"/>
          <w:sz w:val="22"/>
        </w:rPr>
        <w:t>52</w:t>
      </w:r>
      <w:r>
        <w:rPr>
          <w:rFonts w:ascii="Times New Roman;serif" w:hAnsi="Times New Roman;serif"/>
          <w:b w:val="false"/>
          <w:color w:val="0000FF"/>
          <w:sz w:val="22"/>
          <w:u w:val="single"/>
        </w:rPr>
        <w:t>53</w:t>
      </w:r>
    </w:p>
    <w:p>
      <w:pPr>
        <w:pStyle w:val="TextBody"/>
        <w:bidi w:val="0"/>
        <w:spacing w:lineRule="auto" w:line="288" w:before="0" w:after="0"/>
        <w:ind w:left="0" w:right="0" w:hanging="965"/>
        <w:jc w:val="left"/>
        <w:rPr/>
      </w:pPr>
      <w:r>
        <w:rPr>
          <w:rFonts w:ascii="Times New Roman;serif" w:hAnsi="Times New Roman;serif"/>
          <w:b w:val="false"/>
          <w:color w:val="000000"/>
          <w:sz w:val="22"/>
        </w:rPr>
        <w:t>2.2.</w:t>
      </w:r>
      <w:r>
        <w:rPr>
          <w:color w:val="000000"/>
        </w:rPr>
        <w:t>    </w:t>
      </w:r>
      <w:r>
        <w:rPr>
          <w:rFonts w:ascii="Times New Roman;serif" w:hAnsi="Times New Roman;serif"/>
          <w:b w:val="false"/>
          <w:color w:val="000000"/>
          <w:sz w:val="22"/>
        </w:rPr>
        <w:t>[Reserved]    </w:t>
      </w:r>
      <w:r>
        <w:rPr>
          <w:rFonts w:ascii="Times New Roman;serif" w:hAnsi="Times New Roman;serif"/>
          <w:b w:val="false"/>
          <w:strike/>
          <w:color w:val="FF0000"/>
          <w:sz w:val="22"/>
        </w:rPr>
        <w:t>52</w:t>
      </w:r>
      <w:r>
        <w:rPr>
          <w:rFonts w:ascii="Times New Roman;serif" w:hAnsi="Times New Roman;serif"/>
          <w:b w:val="false"/>
          <w:color w:val="0000FF"/>
          <w:sz w:val="22"/>
          <w:u w:val="single"/>
        </w:rPr>
        <w:t>53</w:t>
      </w:r>
    </w:p>
    <w:p>
      <w:pPr>
        <w:pStyle w:val="TextBody"/>
        <w:bidi w:val="0"/>
        <w:spacing w:lineRule="auto" w:line="288" w:before="0" w:after="0"/>
        <w:ind w:left="0" w:right="0" w:hanging="965"/>
        <w:jc w:val="left"/>
        <w:rPr/>
      </w:pPr>
      <w:r>
        <w:rPr>
          <w:rFonts w:ascii="Times New Roman;serif" w:hAnsi="Times New Roman;serif"/>
          <w:b w:val="false"/>
          <w:color w:val="000000"/>
          <w:sz w:val="22"/>
        </w:rPr>
        <w:t>2.3.</w:t>
      </w:r>
      <w:r>
        <w:rPr>
          <w:color w:val="000000"/>
        </w:rPr>
        <w:t>    </w:t>
      </w:r>
      <w:r>
        <w:rPr>
          <w:rFonts w:ascii="Times New Roman;serif" w:hAnsi="Times New Roman;serif"/>
          <w:b w:val="false"/>
          <w:color w:val="000000"/>
          <w:sz w:val="22"/>
        </w:rPr>
        <w:t>[Reserved]    </w:t>
      </w:r>
      <w:r>
        <w:rPr>
          <w:rFonts w:ascii="Times New Roman;serif" w:hAnsi="Times New Roman;serif"/>
          <w:b w:val="false"/>
          <w:strike/>
          <w:color w:val="FF0000"/>
          <w:sz w:val="22"/>
        </w:rPr>
        <w:t>52</w:t>
      </w:r>
      <w:r>
        <w:rPr>
          <w:rFonts w:ascii="Times New Roman;serif" w:hAnsi="Times New Roman;serif"/>
          <w:b w:val="false"/>
          <w:color w:val="0000FF"/>
          <w:sz w:val="22"/>
          <w:u w:val="single"/>
        </w:rPr>
        <w:t>53</w:t>
      </w:r>
    </w:p>
    <w:p>
      <w:pPr>
        <w:pStyle w:val="TextBody"/>
        <w:bidi w:val="0"/>
        <w:spacing w:lineRule="auto" w:line="288" w:before="0" w:after="0"/>
        <w:ind w:left="0" w:right="0" w:hanging="965"/>
        <w:jc w:val="left"/>
        <w:rPr/>
      </w:pPr>
      <w:r>
        <w:rPr>
          <w:rFonts w:ascii="Times New Roman;serif" w:hAnsi="Times New Roman;serif"/>
          <w:b w:val="false"/>
          <w:color w:val="000000"/>
          <w:sz w:val="22"/>
        </w:rPr>
        <w:t>2.4.</w:t>
      </w:r>
      <w:r>
        <w:rPr>
          <w:color w:val="000000"/>
        </w:rPr>
        <w:t>    </w:t>
      </w:r>
      <w:r>
        <w:rPr>
          <w:rFonts w:ascii="Times New Roman;serif" w:hAnsi="Times New Roman;serif"/>
          <w:b w:val="false"/>
          <w:color w:val="000000"/>
          <w:sz w:val="22"/>
        </w:rPr>
        <w:t>Revolving Commitments    </w:t>
      </w:r>
      <w:r>
        <w:rPr>
          <w:rFonts w:ascii="Times New Roman;serif" w:hAnsi="Times New Roman;serif"/>
          <w:b w:val="false"/>
          <w:strike/>
          <w:color w:val="FF0000"/>
          <w:sz w:val="22"/>
        </w:rPr>
        <w:t>52</w:t>
      </w:r>
      <w:r>
        <w:rPr>
          <w:rFonts w:ascii="Times New Roman;serif" w:hAnsi="Times New Roman;serif"/>
          <w:b w:val="false"/>
          <w:color w:val="0000FF"/>
          <w:sz w:val="22"/>
          <w:u w:val="single"/>
        </w:rPr>
        <w:t>53</w:t>
      </w:r>
    </w:p>
    <w:p>
      <w:pPr>
        <w:pStyle w:val="TextBody"/>
        <w:bidi w:val="0"/>
        <w:spacing w:lineRule="auto" w:line="288" w:before="0" w:after="0"/>
        <w:ind w:left="0" w:right="0" w:hanging="965"/>
        <w:jc w:val="left"/>
        <w:rPr/>
      </w:pPr>
      <w:r>
        <w:rPr>
          <w:rFonts w:ascii="Times New Roman;serif" w:hAnsi="Times New Roman;serif"/>
          <w:b w:val="false"/>
          <w:color w:val="000000"/>
          <w:sz w:val="22"/>
        </w:rPr>
        <w:t>2.5.</w:t>
      </w:r>
      <w:r>
        <w:rPr>
          <w:color w:val="000000"/>
        </w:rPr>
        <w:t>    </w:t>
      </w:r>
      <w:r>
        <w:rPr>
          <w:rFonts w:ascii="Times New Roman;serif" w:hAnsi="Times New Roman;serif"/>
          <w:b w:val="false"/>
          <w:color w:val="000000"/>
          <w:sz w:val="22"/>
        </w:rPr>
        <w:t>Procedure for Revolving Loan Borrowing    </w:t>
      </w:r>
      <w:r>
        <w:rPr>
          <w:rFonts w:ascii="Times New Roman;serif" w:hAnsi="Times New Roman;serif"/>
          <w:b w:val="false"/>
          <w:strike/>
          <w:color w:val="FF0000"/>
          <w:sz w:val="22"/>
        </w:rPr>
        <w:t>52</w:t>
      </w:r>
      <w:r>
        <w:rPr>
          <w:rFonts w:ascii="Times New Roman;serif" w:hAnsi="Times New Roman;serif"/>
          <w:b w:val="false"/>
          <w:color w:val="0000FF"/>
          <w:sz w:val="22"/>
          <w:u w:val="single"/>
        </w:rPr>
        <w:t>54</w:t>
      </w:r>
    </w:p>
    <w:p>
      <w:pPr>
        <w:pStyle w:val="TextBody"/>
        <w:bidi w:val="0"/>
        <w:spacing w:lineRule="auto" w:line="288" w:before="0" w:after="0"/>
        <w:ind w:left="0" w:right="0" w:hanging="965"/>
        <w:jc w:val="left"/>
        <w:rPr/>
      </w:pPr>
      <w:r>
        <w:rPr>
          <w:rFonts w:ascii="Times New Roman;serif" w:hAnsi="Times New Roman;serif"/>
          <w:b w:val="false"/>
          <w:color w:val="000000"/>
          <w:sz w:val="22"/>
        </w:rPr>
        <w:t>2.6.</w:t>
      </w:r>
      <w:r>
        <w:rPr>
          <w:color w:val="000000"/>
        </w:rPr>
        <w:t>    </w:t>
      </w:r>
      <w:r>
        <w:rPr>
          <w:rFonts w:ascii="Times New Roman;serif" w:hAnsi="Times New Roman;serif"/>
          <w:b w:val="false"/>
          <w:color w:val="000000"/>
          <w:sz w:val="22"/>
        </w:rPr>
        <w:t>Commitment Fees    </w:t>
      </w:r>
      <w:r>
        <w:rPr>
          <w:rFonts w:ascii="Times New Roman;serif" w:hAnsi="Times New Roman;serif"/>
          <w:b w:val="false"/>
          <w:strike/>
          <w:color w:val="FF0000"/>
          <w:sz w:val="22"/>
        </w:rPr>
        <w:t>53</w:t>
      </w:r>
      <w:r>
        <w:rPr>
          <w:rFonts w:ascii="Times New Roman;serif" w:hAnsi="Times New Roman;serif"/>
          <w:b w:val="false"/>
          <w:color w:val="0000FF"/>
          <w:sz w:val="22"/>
          <w:u w:val="single"/>
        </w:rPr>
        <w:t>54</w:t>
      </w:r>
    </w:p>
    <w:p>
      <w:pPr>
        <w:pStyle w:val="TextBody"/>
        <w:bidi w:val="0"/>
        <w:spacing w:lineRule="auto" w:line="288" w:before="0" w:after="0"/>
        <w:ind w:left="0" w:right="0" w:hanging="965"/>
        <w:jc w:val="left"/>
        <w:rPr/>
      </w:pPr>
      <w:r>
        <w:rPr>
          <w:rFonts w:ascii="Times New Roman;serif" w:hAnsi="Times New Roman;serif"/>
          <w:b w:val="false"/>
          <w:color w:val="000000"/>
          <w:sz w:val="22"/>
        </w:rPr>
        <w:t>2.7.</w:t>
      </w:r>
      <w:r>
        <w:rPr>
          <w:color w:val="000000"/>
        </w:rPr>
        <w:t>    </w:t>
      </w:r>
      <w:r>
        <w:rPr>
          <w:rFonts w:ascii="Times New Roman;serif" w:hAnsi="Times New Roman;serif"/>
          <w:b w:val="false"/>
          <w:color w:val="000000"/>
          <w:sz w:val="22"/>
        </w:rPr>
        <w:t>Termination or Reduction of Revolving Commitments    </w:t>
      </w:r>
      <w:r>
        <w:rPr>
          <w:rFonts w:ascii="Times New Roman;serif" w:hAnsi="Times New Roman;serif"/>
          <w:b w:val="false"/>
          <w:strike/>
          <w:color w:val="FF0000"/>
          <w:sz w:val="22"/>
        </w:rPr>
        <w:t>53</w:t>
      </w:r>
      <w:r>
        <w:rPr>
          <w:rFonts w:ascii="Times New Roman;serif" w:hAnsi="Times New Roman;serif"/>
          <w:b w:val="false"/>
          <w:color w:val="0000FF"/>
          <w:sz w:val="22"/>
          <w:u w:val="single"/>
        </w:rPr>
        <w:t>55</w:t>
      </w:r>
    </w:p>
    <w:p>
      <w:pPr>
        <w:pStyle w:val="TextBody"/>
        <w:bidi w:val="0"/>
        <w:spacing w:lineRule="auto" w:line="288" w:before="0" w:after="0"/>
        <w:ind w:left="0" w:right="0" w:hanging="965"/>
        <w:jc w:val="left"/>
        <w:rPr/>
      </w:pPr>
      <w:r>
        <w:rPr>
          <w:rFonts w:ascii="Times New Roman;serif" w:hAnsi="Times New Roman;serif"/>
          <w:b w:val="false"/>
          <w:color w:val="000000"/>
          <w:sz w:val="22"/>
        </w:rPr>
        <w:t>2.8.</w:t>
      </w:r>
      <w:r>
        <w:rPr>
          <w:color w:val="000000"/>
        </w:rPr>
        <w:t>    </w:t>
      </w:r>
      <w:r>
        <w:rPr>
          <w:rFonts w:ascii="Times New Roman;serif" w:hAnsi="Times New Roman;serif"/>
          <w:b w:val="false"/>
          <w:color w:val="000000"/>
          <w:sz w:val="22"/>
        </w:rPr>
        <w:t>Fees, etc.    </w:t>
      </w:r>
      <w:r>
        <w:rPr>
          <w:rFonts w:ascii="Times New Roman;serif" w:hAnsi="Times New Roman;serif"/>
          <w:b w:val="false"/>
          <w:strike/>
          <w:color w:val="FF0000"/>
          <w:sz w:val="22"/>
        </w:rPr>
        <w:t>53</w:t>
      </w:r>
      <w:r>
        <w:rPr>
          <w:rFonts w:ascii="Times New Roman;serif" w:hAnsi="Times New Roman;serif"/>
          <w:b w:val="false"/>
          <w:color w:val="0000FF"/>
          <w:sz w:val="22"/>
          <w:u w:val="single"/>
        </w:rPr>
        <w:t>55</w:t>
      </w:r>
    </w:p>
    <w:p>
      <w:pPr>
        <w:pStyle w:val="TextBody"/>
        <w:bidi w:val="0"/>
        <w:spacing w:lineRule="auto" w:line="288" w:before="0" w:after="0"/>
        <w:ind w:left="0" w:right="0" w:hanging="965"/>
        <w:jc w:val="left"/>
        <w:rPr/>
      </w:pPr>
      <w:r>
        <w:rPr>
          <w:rFonts w:ascii="Times New Roman;serif" w:hAnsi="Times New Roman;serif"/>
          <w:b w:val="false"/>
          <w:color w:val="000000"/>
          <w:sz w:val="22"/>
        </w:rPr>
        <w:t>2.9.</w:t>
      </w:r>
      <w:r>
        <w:rPr>
          <w:color w:val="000000"/>
        </w:rPr>
        <w:t>    </w:t>
      </w:r>
      <w:r>
        <w:rPr>
          <w:rFonts w:ascii="Times New Roman;serif" w:hAnsi="Times New Roman;serif"/>
          <w:b w:val="false"/>
          <w:color w:val="000000"/>
          <w:sz w:val="22"/>
        </w:rPr>
        <w:t>Swingline Loans    </w:t>
      </w:r>
      <w:r>
        <w:rPr>
          <w:rFonts w:ascii="Times New Roman;serif" w:hAnsi="Times New Roman;serif"/>
          <w:b w:val="false"/>
          <w:strike/>
          <w:color w:val="FF0000"/>
          <w:sz w:val="22"/>
        </w:rPr>
        <w:t>53</w:t>
      </w:r>
      <w:r>
        <w:rPr>
          <w:rFonts w:ascii="Times New Roman;serif" w:hAnsi="Times New Roman;serif"/>
          <w:b w:val="false"/>
          <w:color w:val="0000FF"/>
          <w:sz w:val="22"/>
          <w:u w:val="single"/>
        </w:rPr>
        <w:t>55</w:t>
      </w:r>
    </w:p>
    <w:p>
      <w:pPr>
        <w:pStyle w:val="TextBody"/>
        <w:bidi w:val="0"/>
        <w:spacing w:lineRule="auto" w:line="288" w:before="0" w:after="0"/>
        <w:ind w:left="0" w:right="0" w:hanging="965"/>
        <w:jc w:val="left"/>
        <w:rPr/>
      </w:pPr>
      <w:r>
        <w:rPr>
          <w:rFonts w:ascii="Times New Roman;serif" w:hAnsi="Times New Roman;serif"/>
          <w:b w:val="false"/>
          <w:color w:val="000000"/>
          <w:sz w:val="22"/>
        </w:rPr>
        <w:t>2.10.</w:t>
      </w:r>
      <w:r>
        <w:rPr>
          <w:color w:val="000000"/>
        </w:rPr>
        <w:t>    </w:t>
      </w:r>
      <w:r>
        <w:rPr>
          <w:rFonts w:ascii="Times New Roman;serif" w:hAnsi="Times New Roman;serif"/>
          <w:b w:val="false"/>
          <w:color w:val="000000"/>
          <w:sz w:val="22"/>
        </w:rPr>
        <w:t>Optional Prepayments    </w:t>
      </w:r>
      <w:r>
        <w:rPr>
          <w:rFonts w:ascii="Times New Roman;serif" w:hAnsi="Times New Roman;serif"/>
          <w:b w:val="false"/>
          <w:strike/>
          <w:color w:val="FF0000"/>
          <w:sz w:val="22"/>
        </w:rPr>
        <w:t>55</w:t>
      </w:r>
      <w:r>
        <w:rPr>
          <w:rFonts w:ascii="Times New Roman;serif" w:hAnsi="Times New Roman;serif"/>
          <w:b w:val="false"/>
          <w:color w:val="0000FF"/>
          <w:sz w:val="22"/>
          <w:u w:val="single"/>
        </w:rPr>
        <w:t>56</w:t>
      </w:r>
    </w:p>
    <w:p>
      <w:pPr>
        <w:pStyle w:val="TextBody"/>
        <w:bidi w:val="0"/>
        <w:spacing w:lineRule="auto" w:line="288" w:before="0" w:after="0"/>
        <w:ind w:left="0" w:right="0" w:hanging="965"/>
        <w:jc w:val="left"/>
        <w:rPr/>
      </w:pPr>
      <w:r>
        <w:rPr>
          <w:rFonts w:ascii="Times New Roman;serif" w:hAnsi="Times New Roman;serif"/>
          <w:b w:val="false"/>
          <w:color w:val="000000"/>
          <w:sz w:val="22"/>
        </w:rPr>
        <w:t>2.11.</w:t>
      </w:r>
      <w:r>
        <w:rPr>
          <w:color w:val="000000"/>
        </w:rPr>
        <w:t>    </w:t>
      </w:r>
      <w:r>
        <w:rPr>
          <w:rFonts w:ascii="Times New Roman;serif" w:hAnsi="Times New Roman;serif"/>
          <w:b w:val="false"/>
          <w:color w:val="000000"/>
          <w:sz w:val="22"/>
        </w:rPr>
        <w:t>Mandatory Prepayments    </w:t>
      </w:r>
      <w:r>
        <w:rPr>
          <w:rFonts w:ascii="Times New Roman;serif" w:hAnsi="Times New Roman;serif"/>
          <w:b w:val="false"/>
          <w:strike/>
          <w:color w:val="FF0000"/>
          <w:sz w:val="22"/>
        </w:rPr>
        <w:t>55</w:t>
      </w:r>
      <w:r>
        <w:rPr>
          <w:rFonts w:ascii="Times New Roman;serif" w:hAnsi="Times New Roman;serif"/>
          <w:b w:val="false"/>
          <w:color w:val="0000FF"/>
          <w:sz w:val="22"/>
          <w:u w:val="single"/>
        </w:rPr>
        <w:t>57</w:t>
      </w:r>
    </w:p>
    <w:p>
      <w:pPr>
        <w:pStyle w:val="TextBody"/>
        <w:bidi w:val="0"/>
        <w:spacing w:lineRule="auto" w:line="288" w:before="0" w:after="0"/>
        <w:ind w:left="0" w:right="0" w:hanging="965"/>
        <w:jc w:val="left"/>
        <w:rPr/>
      </w:pPr>
      <w:r>
        <w:rPr>
          <w:rFonts w:ascii="Times New Roman;serif" w:hAnsi="Times New Roman;serif"/>
          <w:b w:val="false"/>
          <w:color w:val="000000"/>
          <w:sz w:val="22"/>
        </w:rPr>
        <w:t>2.12.</w:t>
      </w:r>
      <w:r>
        <w:rPr>
          <w:color w:val="000000"/>
        </w:rPr>
        <w:t>    </w:t>
      </w:r>
      <w:r>
        <w:rPr>
          <w:rFonts w:ascii="Times New Roman;serif" w:hAnsi="Times New Roman;serif"/>
          <w:b w:val="false"/>
          <w:color w:val="000000"/>
          <w:sz w:val="22"/>
        </w:rPr>
        <w:t>Continuation Options    </w:t>
      </w:r>
      <w:r>
        <w:rPr>
          <w:rFonts w:ascii="Times New Roman;serif" w:hAnsi="Times New Roman;serif"/>
          <w:b w:val="false"/>
          <w:strike/>
          <w:color w:val="FF0000"/>
          <w:sz w:val="22"/>
        </w:rPr>
        <w:t>56</w:t>
      </w:r>
      <w:r>
        <w:rPr>
          <w:rFonts w:ascii="Times New Roman;serif" w:hAnsi="Times New Roman;serif"/>
          <w:b w:val="false"/>
          <w:color w:val="0000FF"/>
          <w:sz w:val="22"/>
          <w:u w:val="single"/>
        </w:rPr>
        <w:t>57</w:t>
      </w:r>
    </w:p>
    <w:p>
      <w:pPr>
        <w:pStyle w:val="TextBody"/>
        <w:bidi w:val="0"/>
        <w:spacing w:lineRule="auto" w:line="288" w:before="0" w:after="0"/>
        <w:ind w:left="0" w:right="0" w:hanging="965"/>
        <w:jc w:val="left"/>
        <w:rPr/>
      </w:pPr>
      <w:r>
        <w:rPr>
          <w:rFonts w:ascii="Times New Roman;serif" w:hAnsi="Times New Roman;serif"/>
          <w:b w:val="false"/>
          <w:color w:val="000000"/>
          <w:sz w:val="22"/>
        </w:rPr>
        <w:t>2.13.</w:t>
      </w:r>
      <w:r>
        <w:rPr>
          <w:color w:val="000000"/>
        </w:rPr>
        <w:t>    </w:t>
      </w:r>
      <w:r>
        <w:rPr>
          <w:rFonts w:ascii="Times New Roman;serif" w:hAnsi="Times New Roman;serif"/>
          <w:b w:val="false"/>
          <w:color w:val="000000"/>
          <w:sz w:val="22"/>
        </w:rPr>
        <w:t>Letters of Credit    </w:t>
      </w:r>
      <w:r>
        <w:rPr>
          <w:rFonts w:ascii="Times New Roman;serif" w:hAnsi="Times New Roman;serif"/>
          <w:b w:val="false"/>
          <w:strike/>
          <w:color w:val="FF0000"/>
          <w:sz w:val="22"/>
        </w:rPr>
        <w:t>56</w:t>
      </w:r>
      <w:r>
        <w:rPr>
          <w:rFonts w:ascii="Times New Roman;serif" w:hAnsi="Times New Roman;serif"/>
          <w:b w:val="false"/>
          <w:color w:val="0000FF"/>
          <w:sz w:val="22"/>
          <w:u w:val="single"/>
        </w:rPr>
        <w:t>58</w:t>
      </w:r>
    </w:p>
    <w:p>
      <w:pPr>
        <w:pStyle w:val="TextBody"/>
        <w:bidi w:val="0"/>
        <w:spacing w:lineRule="auto" w:line="288" w:before="0" w:after="0"/>
        <w:ind w:left="0" w:right="0" w:hanging="965"/>
        <w:jc w:val="left"/>
        <w:rPr/>
      </w:pPr>
      <w:r>
        <w:rPr>
          <w:rFonts w:ascii="Times New Roman;serif" w:hAnsi="Times New Roman;serif"/>
          <w:b w:val="false"/>
          <w:color w:val="000000"/>
          <w:sz w:val="22"/>
        </w:rPr>
        <w:t>2.14.</w:t>
      </w:r>
      <w:r>
        <w:rPr>
          <w:color w:val="000000"/>
        </w:rPr>
        <w:t>    </w:t>
      </w:r>
      <w:r>
        <w:rPr>
          <w:rFonts w:ascii="Times New Roman;serif" w:hAnsi="Times New Roman;serif"/>
          <w:b w:val="false"/>
          <w:color w:val="000000"/>
          <w:sz w:val="22"/>
        </w:rPr>
        <w:t>Interest Rates and Payment Dates    </w:t>
      </w:r>
      <w:r>
        <w:rPr>
          <w:rFonts w:ascii="Times New Roman;serif" w:hAnsi="Times New Roman;serif"/>
          <w:b w:val="false"/>
          <w:strike/>
          <w:color w:val="FF0000"/>
          <w:sz w:val="22"/>
        </w:rPr>
        <w:t>61</w:t>
      </w:r>
      <w:r>
        <w:rPr>
          <w:rFonts w:ascii="Times New Roman;serif" w:hAnsi="Times New Roman;serif"/>
          <w:b w:val="false"/>
          <w:color w:val="0000FF"/>
          <w:sz w:val="22"/>
          <w:u w:val="single"/>
        </w:rPr>
        <w:t>63</w:t>
      </w:r>
    </w:p>
    <w:p>
      <w:pPr>
        <w:pStyle w:val="TextBody"/>
        <w:bidi w:val="0"/>
        <w:spacing w:lineRule="auto" w:line="288" w:before="0" w:after="0"/>
        <w:ind w:left="0" w:right="0" w:hanging="965"/>
        <w:jc w:val="left"/>
        <w:rPr/>
      </w:pPr>
      <w:r>
        <w:rPr>
          <w:rFonts w:ascii="Times New Roman;serif" w:hAnsi="Times New Roman;serif"/>
          <w:b w:val="false"/>
          <w:color w:val="000000"/>
          <w:sz w:val="22"/>
        </w:rPr>
        <w:t>2.15.</w:t>
      </w:r>
      <w:r>
        <w:rPr>
          <w:color w:val="000000"/>
        </w:rPr>
        <w:t>    </w:t>
      </w:r>
      <w:r>
        <w:rPr>
          <w:rFonts w:ascii="Times New Roman;serif" w:hAnsi="Times New Roman;serif"/>
          <w:b w:val="false"/>
          <w:color w:val="000000"/>
          <w:sz w:val="22"/>
        </w:rPr>
        <w:t>Computation of Interest and Fees; Interest Elections    </w:t>
      </w:r>
      <w:r>
        <w:rPr>
          <w:rFonts w:ascii="Times New Roman;serif" w:hAnsi="Times New Roman;serif"/>
          <w:b w:val="false"/>
          <w:strike/>
          <w:color w:val="FF0000"/>
          <w:sz w:val="22"/>
        </w:rPr>
        <w:t>61</w:t>
      </w:r>
      <w:r>
        <w:rPr>
          <w:rFonts w:ascii="Times New Roman;serif" w:hAnsi="Times New Roman;serif"/>
          <w:b w:val="false"/>
          <w:color w:val="0000FF"/>
          <w:sz w:val="22"/>
          <w:u w:val="single"/>
        </w:rPr>
        <w:t>63</w:t>
      </w:r>
    </w:p>
    <w:p>
      <w:pPr>
        <w:pStyle w:val="TextBody"/>
        <w:bidi w:val="0"/>
        <w:spacing w:lineRule="auto" w:line="288" w:before="0" w:after="0"/>
        <w:ind w:left="0" w:right="0" w:hanging="965"/>
        <w:jc w:val="left"/>
        <w:rPr/>
      </w:pPr>
      <w:r>
        <w:rPr>
          <w:rFonts w:ascii="Times New Roman;serif" w:hAnsi="Times New Roman;serif"/>
          <w:b w:val="false"/>
          <w:color w:val="000000"/>
          <w:sz w:val="22"/>
        </w:rPr>
        <w:t>2.16.</w:t>
      </w:r>
      <w:r>
        <w:rPr>
          <w:color w:val="000000"/>
        </w:rPr>
        <w:t>    </w:t>
      </w:r>
      <w:r>
        <w:rPr>
          <w:rFonts w:ascii="Times New Roman;serif" w:hAnsi="Times New Roman;serif"/>
          <w:b w:val="false"/>
          <w:color w:val="000000"/>
          <w:sz w:val="22"/>
        </w:rPr>
        <w:t>Inability to Determine Interest Rate    </w:t>
      </w:r>
      <w:r>
        <w:rPr>
          <w:rFonts w:ascii="Times New Roman;serif" w:hAnsi="Times New Roman;serif"/>
          <w:b w:val="false"/>
          <w:strike/>
          <w:color w:val="FF0000"/>
          <w:sz w:val="22"/>
        </w:rPr>
        <w:t>62</w:t>
      </w:r>
      <w:r>
        <w:rPr>
          <w:rFonts w:ascii="Times New Roman;serif" w:hAnsi="Times New Roman;serif"/>
          <w:b w:val="false"/>
          <w:color w:val="0000FF"/>
          <w:sz w:val="22"/>
          <w:u w:val="single"/>
        </w:rPr>
        <w:t>64</w:t>
      </w:r>
    </w:p>
    <w:p>
      <w:pPr>
        <w:pStyle w:val="TextBody"/>
        <w:bidi w:val="0"/>
        <w:spacing w:lineRule="auto" w:line="288" w:before="0" w:after="0"/>
        <w:ind w:left="0" w:right="0" w:hanging="965"/>
        <w:jc w:val="left"/>
        <w:rPr/>
      </w:pPr>
      <w:r>
        <w:rPr>
          <w:rFonts w:ascii="Times New Roman;serif" w:hAnsi="Times New Roman;serif"/>
          <w:b w:val="false"/>
          <w:color w:val="000000"/>
          <w:sz w:val="22"/>
        </w:rPr>
        <w:t>2.17.</w:t>
      </w:r>
      <w:r>
        <w:rPr>
          <w:color w:val="000000"/>
        </w:rPr>
        <w:t>    </w:t>
      </w:r>
      <w:r>
        <w:rPr>
          <w:rFonts w:ascii="Times New Roman;serif" w:hAnsi="Times New Roman;serif"/>
          <w:b w:val="false"/>
          <w:color w:val="000000"/>
          <w:sz w:val="22"/>
        </w:rPr>
        <w:t>Pro Rata Treatment and Payments    </w:t>
      </w:r>
      <w:r>
        <w:rPr>
          <w:rFonts w:ascii="Times New Roman;serif" w:hAnsi="Times New Roman;serif"/>
          <w:b w:val="false"/>
          <w:strike/>
          <w:color w:val="FF0000"/>
          <w:sz w:val="22"/>
        </w:rPr>
        <w:t>64</w:t>
      </w:r>
      <w:r>
        <w:rPr>
          <w:rFonts w:ascii="Times New Roman;serif" w:hAnsi="Times New Roman;serif"/>
          <w:b w:val="false"/>
          <w:color w:val="0000FF"/>
          <w:sz w:val="22"/>
          <w:u w:val="single"/>
        </w:rPr>
        <w:t>66</w:t>
      </w:r>
    </w:p>
    <w:p>
      <w:pPr>
        <w:pStyle w:val="TextBody"/>
        <w:bidi w:val="0"/>
        <w:spacing w:lineRule="auto" w:line="288" w:before="0" w:after="0"/>
        <w:ind w:left="0" w:right="0" w:hanging="965"/>
        <w:jc w:val="left"/>
        <w:rPr/>
      </w:pPr>
      <w:r>
        <w:rPr>
          <w:rFonts w:ascii="Times New Roman;serif" w:hAnsi="Times New Roman;serif"/>
          <w:b w:val="false"/>
          <w:color w:val="000000"/>
          <w:sz w:val="22"/>
        </w:rPr>
        <w:t>2.18.</w:t>
      </w:r>
      <w:r>
        <w:rPr>
          <w:color w:val="000000"/>
        </w:rPr>
        <w:t>    </w:t>
      </w:r>
      <w:r>
        <w:rPr>
          <w:rFonts w:ascii="Times New Roman;serif" w:hAnsi="Times New Roman;serif"/>
          <w:b w:val="false"/>
          <w:color w:val="000000"/>
          <w:sz w:val="22"/>
        </w:rPr>
        <w:t>Requirements of Law    </w:t>
      </w:r>
      <w:r>
        <w:rPr>
          <w:rFonts w:ascii="Times New Roman;serif" w:hAnsi="Times New Roman;serif"/>
          <w:b w:val="false"/>
          <w:strike/>
          <w:color w:val="FF0000"/>
          <w:sz w:val="22"/>
        </w:rPr>
        <w:t>65</w:t>
      </w:r>
      <w:r>
        <w:rPr>
          <w:rFonts w:ascii="Times New Roman;serif" w:hAnsi="Times New Roman;serif"/>
          <w:b w:val="false"/>
          <w:color w:val="0000FF"/>
          <w:sz w:val="22"/>
          <w:u w:val="single"/>
        </w:rPr>
        <w:t>67</w:t>
      </w:r>
    </w:p>
    <w:p>
      <w:pPr>
        <w:pStyle w:val="TextBody"/>
        <w:bidi w:val="0"/>
        <w:spacing w:lineRule="auto" w:line="288" w:before="0" w:after="0"/>
        <w:ind w:left="0" w:right="0" w:hanging="965"/>
        <w:jc w:val="left"/>
        <w:rPr/>
      </w:pPr>
      <w:r>
        <w:rPr>
          <w:rFonts w:ascii="Times New Roman;serif" w:hAnsi="Times New Roman;serif"/>
          <w:b w:val="false"/>
          <w:color w:val="000000"/>
          <w:sz w:val="22"/>
        </w:rPr>
        <w:t>2.19.</w:t>
      </w:r>
      <w:r>
        <w:rPr>
          <w:color w:val="000000"/>
        </w:rPr>
        <w:t>    </w:t>
      </w:r>
      <w:r>
        <w:rPr>
          <w:rFonts w:ascii="Times New Roman;serif" w:hAnsi="Times New Roman;serif"/>
          <w:b w:val="false"/>
          <w:color w:val="000000"/>
          <w:sz w:val="22"/>
        </w:rPr>
        <w:t>Taxes    </w:t>
      </w:r>
      <w:r>
        <w:rPr>
          <w:rFonts w:ascii="Times New Roman;serif" w:hAnsi="Times New Roman;serif"/>
          <w:b w:val="false"/>
          <w:strike/>
          <w:color w:val="FF0000"/>
          <w:sz w:val="22"/>
        </w:rPr>
        <w:t>67</w:t>
      </w:r>
      <w:r>
        <w:rPr>
          <w:rFonts w:ascii="Times New Roman;serif" w:hAnsi="Times New Roman;serif"/>
          <w:b w:val="false"/>
          <w:color w:val="0000FF"/>
          <w:sz w:val="22"/>
          <w:u w:val="single"/>
        </w:rPr>
        <w:t>69</w:t>
      </w:r>
    </w:p>
    <w:p>
      <w:pPr>
        <w:pStyle w:val="TextBody"/>
        <w:bidi w:val="0"/>
        <w:spacing w:lineRule="auto" w:line="288" w:before="0" w:after="0"/>
        <w:ind w:left="0" w:right="0" w:hanging="965"/>
        <w:jc w:val="left"/>
        <w:rPr/>
      </w:pPr>
      <w:r>
        <w:rPr>
          <w:rFonts w:ascii="Times New Roman;serif" w:hAnsi="Times New Roman;serif"/>
          <w:b w:val="false"/>
          <w:color w:val="000000"/>
          <w:sz w:val="22"/>
        </w:rPr>
        <w:t>2.20.</w:t>
      </w:r>
      <w:r>
        <w:rPr>
          <w:color w:val="000000"/>
        </w:rPr>
        <w:t>    </w:t>
      </w:r>
      <w:r>
        <w:rPr>
          <w:rFonts w:ascii="Times New Roman;serif" w:hAnsi="Times New Roman;serif"/>
          <w:b w:val="false"/>
          <w:color w:val="000000"/>
          <w:sz w:val="22"/>
        </w:rPr>
        <w:t>Indemnity    </w:t>
      </w:r>
      <w:r>
        <w:rPr>
          <w:rFonts w:ascii="Times New Roman;serif" w:hAnsi="Times New Roman;serif"/>
          <w:b w:val="false"/>
          <w:strike/>
          <w:color w:val="FF0000"/>
          <w:sz w:val="22"/>
        </w:rPr>
        <w:t>70</w:t>
      </w:r>
      <w:r>
        <w:rPr>
          <w:rFonts w:ascii="Times New Roman;serif" w:hAnsi="Times New Roman;serif"/>
          <w:b w:val="false"/>
          <w:color w:val="0000FF"/>
          <w:sz w:val="22"/>
          <w:u w:val="single"/>
        </w:rPr>
        <w:t>72</w:t>
      </w:r>
    </w:p>
    <w:p>
      <w:pPr>
        <w:pStyle w:val="TextBody"/>
        <w:bidi w:val="0"/>
        <w:spacing w:lineRule="auto" w:line="288" w:before="0" w:after="0"/>
        <w:ind w:left="0" w:right="0" w:hanging="965"/>
        <w:jc w:val="left"/>
        <w:rPr/>
      </w:pPr>
      <w:r>
        <w:rPr>
          <w:rFonts w:ascii="Times New Roman;serif" w:hAnsi="Times New Roman;serif"/>
          <w:b w:val="false"/>
          <w:color w:val="000000"/>
          <w:sz w:val="22"/>
        </w:rPr>
        <w:t>2.21.</w:t>
      </w:r>
      <w:r>
        <w:rPr>
          <w:color w:val="000000"/>
        </w:rPr>
        <w:t>    </w:t>
      </w:r>
      <w:r>
        <w:rPr>
          <w:rFonts w:ascii="Times New Roman;serif" w:hAnsi="Times New Roman;serif"/>
          <w:b w:val="false"/>
          <w:color w:val="000000"/>
          <w:sz w:val="22"/>
        </w:rPr>
        <w:t>Change of Lending Office    </w:t>
      </w:r>
      <w:r>
        <w:rPr>
          <w:rFonts w:ascii="Times New Roman;serif" w:hAnsi="Times New Roman;serif"/>
          <w:b w:val="false"/>
          <w:strike/>
          <w:color w:val="FF0000"/>
          <w:sz w:val="22"/>
        </w:rPr>
        <w:t>71</w:t>
      </w:r>
      <w:r>
        <w:rPr>
          <w:rFonts w:ascii="Times New Roman;serif" w:hAnsi="Times New Roman;serif"/>
          <w:b w:val="false"/>
          <w:color w:val="0000FF"/>
          <w:sz w:val="22"/>
          <w:u w:val="single"/>
        </w:rPr>
        <w:t>73</w:t>
      </w:r>
    </w:p>
    <w:p>
      <w:pPr>
        <w:pStyle w:val="TextBody"/>
        <w:bidi w:val="0"/>
        <w:spacing w:lineRule="auto" w:line="288" w:before="0" w:after="0"/>
        <w:ind w:left="0" w:right="0" w:hanging="965"/>
        <w:jc w:val="left"/>
        <w:rPr/>
      </w:pPr>
      <w:r>
        <w:rPr>
          <w:rFonts w:ascii="Times New Roman;serif" w:hAnsi="Times New Roman;serif"/>
          <w:b w:val="false"/>
          <w:color w:val="000000"/>
          <w:sz w:val="22"/>
        </w:rPr>
        <w:t>2.22.</w:t>
      </w:r>
      <w:r>
        <w:rPr>
          <w:color w:val="000000"/>
        </w:rPr>
        <w:t>    </w:t>
      </w:r>
      <w:r>
        <w:rPr>
          <w:rFonts w:ascii="Times New Roman;serif" w:hAnsi="Times New Roman;serif"/>
          <w:b w:val="false"/>
          <w:color w:val="000000"/>
          <w:sz w:val="22"/>
        </w:rPr>
        <w:t>Replacement of Lenders    </w:t>
      </w:r>
      <w:r>
        <w:rPr>
          <w:rFonts w:ascii="Times New Roman;serif" w:hAnsi="Times New Roman;serif"/>
          <w:b w:val="false"/>
          <w:strike/>
          <w:color w:val="FF0000"/>
          <w:sz w:val="22"/>
        </w:rPr>
        <w:t>71</w:t>
      </w:r>
      <w:r>
        <w:rPr>
          <w:rFonts w:ascii="Times New Roman;serif" w:hAnsi="Times New Roman;serif"/>
          <w:b w:val="false"/>
          <w:color w:val="0000FF"/>
          <w:sz w:val="22"/>
          <w:u w:val="single"/>
        </w:rPr>
        <w:t>73</w:t>
      </w:r>
    </w:p>
    <w:p>
      <w:pPr>
        <w:pStyle w:val="TextBody"/>
        <w:bidi w:val="0"/>
        <w:spacing w:lineRule="auto" w:line="288" w:before="0" w:after="0"/>
        <w:ind w:left="0" w:right="0" w:hanging="965"/>
        <w:jc w:val="left"/>
        <w:rPr/>
      </w:pPr>
      <w:r>
        <w:rPr>
          <w:rFonts w:ascii="Times New Roman;serif" w:hAnsi="Times New Roman;serif"/>
          <w:b w:val="false"/>
          <w:color w:val="000000"/>
          <w:sz w:val="22"/>
        </w:rPr>
        <w:t>2.23.</w:t>
      </w:r>
      <w:r>
        <w:rPr>
          <w:color w:val="000000"/>
        </w:rPr>
        <w:t>    </w:t>
      </w:r>
      <w:r>
        <w:rPr>
          <w:rFonts w:ascii="Times New Roman;serif" w:hAnsi="Times New Roman;serif"/>
          <w:b w:val="false"/>
          <w:color w:val="000000"/>
          <w:sz w:val="22"/>
        </w:rPr>
        <w:t>[Reserved].    </w:t>
      </w:r>
      <w:r>
        <w:rPr>
          <w:rFonts w:ascii="Times New Roman;serif" w:hAnsi="Times New Roman;serif"/>
          <w:b w:val="false"/>
          <w:strike/>
          <w:color w:val="FF0000"/>
          <w:sz w:val="22"/>
        </w:rPr>
        <w:t>72</w:t>
      </w:r>
      <w:r>
        <w:rPr>
          <w:rFonts w:ascii="Times New Roman;serif" w:hAnsi="Times New Roman;serif"/>
          <w:b w:val="false"/>
          <w:color w:val="0000FF"/>
          <w:sz w:val="22"/>
          <w:u w:val="single"/>
        </w:rPr>
        <w:t>74</w:t>
      </w:r>
    </w:p>
    <w:p>
      <w:pPr>
        <w:pStyle w:val="TextBody"/>
        <w:bidi w:val="0"/>
        <w:spacing w:lineRule="auto" w:line="288" w:before="0" w:after="0"/>
        <w:ind w:left="0" w:right="0" w:hanging="965"/>
        <w:jc w:val="left"/>
        <w:rPr/>
      </w:pPr>
      <w:r>
        <w:rPr>
          <w:rFonts w:ascii="Times New Roman;serif" w:hAnsi="Times New Roman;serif"/>
          <w:b w:val="false"/>
          <w:color w:val="000000"/>
          <w:sz w:val="22"/>
        </w:rPr>
        <w:t>2.24.</w:t>
      </w:r>
      <w:r>
        <w:rPr>
          <w:color w:val="000000"/>
        </w:rPr>
        <w:t>    </w:t>
      </w:r>
      <w:r>
        <w:rPr>
          <w:rFonts w:ascii="Times New Roman;serif" w:hAnsi="Times New Roman;serif"/>
          <w:b w:val="false"/>
          <w:color w:val="000000"/>
          <w:sz w:val="22"/>
        </w:rPr>
        <w:t>Extension of the Facilities    </w:t>
      </w:r>
      <w:r>
        <w:rPr>
          <w:rFonts w:ascii="Times New Roman;serif" w:hAnsi="Times New Roman;serif"/>
          <w:b w:val="false"/>
          <w:strike/>
          <w:color w:val="FF0000"/>
          <w:sz w:val="22"/>
        </w:rPr>
        <w:t>72</w:t>
      </w:r>
      <w:r>
        <w:rPr>
          <w:rFonts w:ascii="Times New Roman;serif" w:hAnsi="Times New Roman;serif"/>
          <w:b w:val="false"/>
          <w:color w:val="0000FF"/>
          <w:sz w:val="22"/>
          <w:u w:val="single"/>
        </w:rPr>
        <w:t>74</w:t>
      </w:r>
    </w:p>
    <w:p>
      <w:pPr>
        <w:pStyle w:val="TextBody"/>
        <w:bidi w:val="0"/>
        <w:spacing w:lineRule="auto" w:line="288" w:before="0" w:after="0"/>
        <w:ind w:left="0" w:right="0" w:hanging="965"/>
        <w:jc w:val="left"/>
        <w:rPr/>
      </w:pPr>
      <w:r>
        <w:rPr>
          <w:rFonts w:ascii="Times New Roman;serif" w:hAnsi="Times New Roman;serif"/>
          <w:b w:val="false"/>
          <w:color w:val="000000"/>
          <w:sz w:val="22"/>
        </w:rPr>
        <w:t>2.25.</w:t>
      </w:r>
      <w:r>
        <w:rPr>
          <w:color w:val="000000"/>
        </w:rPr>
        <w:t>    </w:t>
      </w:r>
      <w:r>
        <w:rPr>
          <w:rFonts w:ascii="Times New Roman;serif" w:hAnsi="Times New Roman;serif"/>
          <w:b w:val="false"/>
          <w:color w:val="000000"/>
          <w:sz w:val="22"/>
        </w:rPr>
        <w:t>Incremental Loan Extensions    </w:t>
      </w:r>
      <w:r>
        <w:rPr>
          <w:rFonts w:ascii="Times New Roman;serif" w:hAnsi="Times New Roman;serif"/>
          <w:b w:val="false"/>
          <w:strike/>
          <w:color w:val="FF0000"/>
          <w:sz w:val="22"/>
        </w:rPr>
        <w:t>74</w:t>
      </w:r>
      <w:r>
        <w:rPr>
          <w:rFonts w:ascii="Times New Roman;serif" w:hAnsi="Times New Roman;serif"/>
          <w:b w:val="false"/>
          <w:color w:val="0000FF"/>
          <w:sz w:val="22"/>
          <w:u w:val="single"/>
        </w:rPr>
        <w:t>76</w:t>
      </w:r>
    </w:p>
    <w:p>
      <w:pPr>
        <w:pStyle w:val="TextBody"/>
        <w:bidi w:val="0"/>
        <w:spacing w:lineRule="auto" w:line="288" w:before="0" w:after="0"/>
        <w:ind w:left="0" w:right="0" w:hanging="965"/>
        <w:jc w:val="left"/>
        <w:rPr/>
      </w:pPr>
      <w:r>
        <w:rPr>
          <w:rFonts w:ascii="Times New Roman;serif" w:hAnsi="Times New Roman;serif"/>
          <w:b w:val="false"/>
          <w:color w:val="000000"/>
          <w:sz w:val="22"/>
        </w:rPr>
        <w:t>2.26.</w:t>
      </w:r>
      <w:r>
        <w:rPr>
          <w:color w:val="000000"/>
        </w:rPr>
        <w:t>    </w:t>
      </w:r>
      <w:r>
        <w:rPr>
          <w:rFonts w:ascii="Times New Roman;serif" w:hAnsi="Times New Roman;serif"/>
          <w:b w:val="false"/>
          <w:color w:val="000000"/>
          <w:sz w:val="22"/>
        </w:rPr>
        <w:t>[Reserved]    </w:t>
      </w:r>
      <w:r>
        <w:rPr>
          <w:rFonts w:ascii="Times New Roman;serif" w:hAnsi="Times New Roman;serif"/>
          <w:b w:val="false"/>
          <w:strike/>
          <w:color w:val="FF0000"/>
          <w:sz w:val="22"/>
        </w:rPr>
        <w:t>78</w:t>
      </w:r>
      <w:r>
        <w:rPr>
          <w:rFonts w:ascii="Times New Roman;serif" w:hAnsi="Times New Roman;serif"/>
          <w:b w:val="false"/>
          <w:color w:val="0000FF"/>
          <w:sz w:val="22"/>
          <w:u w:val="single"/>
        </w:rPr>
        <w:t>80</w:t>
      </w:r>
    </w:p>
    <w:p>
      <w:pPr>
        <w:pStyle w:val="TextBody"/>
        <w:bidi w:val="0"/>
        <w:spacing w:lineRule="auto" w:line="288" w:before="0" w:after="0"/>
        <w:ind w:left="0" w:right="0" w:hanging="965"/>
        <w:jc w:val="left"/>
        <w:rPr/>
      </w:pPr>
      <w:r>
        <w:rPr>
          <w:rFonts w:ascii="Times New Roman;serif" w:hAnsi="Times New Roman;serif"/>
          <w:b w:val="false"/>
          <w:color w:val="000000"/>
          <w:sz w:val="22"/>
        </w:rPr>
        <w:t>2.27.</w:t>
      </w:r>
      <w:r>
        <w:rPr>
          <w:color w:val="000000"/>
        </w:rPr>
        <w:t>    </w:t>
      </w:r>
      <w:r>
        <w:rPr>
          <w:rFonts w:ascii="Times New Roman;serif" w:hAnsi="Times New Roman;serif"/>
          <w:b w:val="false"/>
          <w:color w:val="000000"/>
          <w:sz w:val="22"/>
        </w:rPr>
        <w:t>Defaulting Revolving Lenders    </w:t>
      </w:r>
      <w:r>
        <w:rPr>
          <w:rFonts w:ascii="Times New Roman;serif" w:hAnsi="Times New Roman;serif"/>
          <w:b w:val="false"/>
          <w:strike/>
          <w:color w:val="FF0000"/>
          <w:sz w:val="22"/>
        </w:rPr>
        <w:t>78</w:t>
      </w:r>
      <w:r>
        <w:rPr>
          <w:rFonts w:ascii="Times New Roman;serif" w:hAnsi="Times New Roman;serif"/>
          <w:b w:val="false"/>
          <w:color w:val="0000FF"/>
          <w:sz w:val="22"/>
          <w:u w:val="single"/>
        </w:rPr>
        <w:t>80</w:t>
      </w:r>
    </w:p>
    <w:p>
      <w:pPr>
        <w:pStyle w:val="TextBody"/>
        <w:bidi w:val="0"/>
        <w:spacing w:lineRule="auto" w:line="288" w:before="0" w:after="0"/>
        <w:ind w:left="0" w:right="0" w:hanging="965"/>
        <w:jc w:val="left"/>
        <w:rPr/>
      </w:pPr>
      <w:r>
        <w:rPr>
          <w:rFonts w:ascii="Times New Roman;serif" w:hAnsi="Times New Roman;serif"/>
          <w:b w:val="false"/>
          <w:color w:val="000000"/>
          <w:sz w:val="22"/>
        </w:rPr>
        <w:t>2.28.</w:t>
      </w:r>
      <w:r>
        <w:rPr>
          <w:color w:val="000000"/>
        </w:rPr>
        <w:t>    </w:t>
      </w:r>
      <w:r>
        <w:rPr>
          <w:rFonts w:ascii="Times New Roman;serif" w:hAnsi="Times New Roman;serif"/>
          <w:b w:val="false"/>
          <w:color w:val="000000"/>
          <w:sz w:val="22"/>
        </w:rPr>
        <w:t>Refinancing Facilities    </w:t>
      </w:r>
      <w:r>
        <w:rPr>
          <w:rFonts w:ascii="Times New Roman;serif" w:hAnsi="Times New Roman;serif"/>
          <w:b w:val="false"/>
          <w:strike/>
          <w:color w:val="FF0000"/>
          <w:sz w:val="22"/>
        </w:rPr>
        <w:t>81</w:t>
      </w:r>
      <w:r>
        <w:rPr>
          <w:rFonts w:ascii="Times New Roman;serif" w:hAnsi="Times New Roman;serif"/>
          <w:b w:val="false"/>
          <w:color w:val="0000FF"/>
          <w:sz w:val="22"/>
          <w:u w:val="single"/>
        </w:rPr>
        <w:t>83</w:t>
      </w:r>
    </w:p>
    <w:p>
      <w:pPr>
        <w:pStyle w:val="TextBody"/>
        <w:bidi w:val="0"/>
        <w:spacing w:lineRule="auto" w:line="288" w:before="240" w:after="240"/>
        <w:jc w:val="left"/>
        <w:rPr/>
      </w:pPr>
      <w:r>
        <w:rPr>
          <w:rFonts w:ascii="Times New Roman;serif" w:hAnsi="Times New Roman;serif"/>
          <w:b w:val="false"/>
          <w:color w:val="010000"/>
          <w:sz w:val="22"/>
        </w:rPr>
        <w:t>SECTION 3.</w:t>
      </w:r>
      <w:r>
        <w:rPr>
          <w:color w:val="000000"/>
        </w:rPr>
        <w:t>    </w:t>
      </w:r>
      <w:r>
        <w:rPr>
          <w:rFonts w:ascii="Times New Roman;serif" w:hAnsi="Times New Roman;serif"/>
          <w:b w:val="false"/>
          <w:color w:val="000000"/>
          <w:sz w:val="22"/>
        </w:rPr>
        <w:t>[RESERVED]    </w:t>
      </w:r>
      <w:r>
        <w:rPr>
          <w:rFonts w:ascii="Times New Roman;serif" w:hAnsi="Times New Roman;serif"/>
          <w:b w:val="false"/>
          <w:strike/>
          <w:color w:val="FF0000"/>
          <w:sz w:val="22"/>
        </w:rPr>
        <w:t>82</w:t>
      </w:r>
      <w:r>
        <w:rPr>
          <w:rFonts w:ascii="Times New Roman;serif" w:hAnsi="Times New Roman;serif"/>
          <w:b w:val="false"/>
          <w:color w:val="0000FF"/>
          <w:sz w:val="22"/>
          <w:u w:val="single"/>
        </w:rPr>
        <w:t>84</w:t>
      </w:r>
    </w:p>
    <w:p>
      <w:pPr>
        <w:pStyle w:val="TextBody"/>
        <w:bidi w:val="0"/>
        <w:spacing w:lineRule="auto" w:line="288" w:before="240" w:after="240"/>
        <w:jc w:val="left"/>
        <w:rPr/>
      </w:pPr>
      <w:r>
        <w:rPr>
          <w:rFonts w:ascii="Times New Roman;serif" w:hAnsi="Times New Roman;serif"/>
          <w:b w:val="false"/>
          <w:color w:val="010000"/>
          <w:sz w:val="22"/>
        </w:rPr>
        <w:t>SECTION 4.</w:t>
      </w:r>
      <w:r>
        <w:rPr>
          <w:color w:val="000000"/>
        </w:rPr>
        <w:t>    </w:t>
      </w:r>
      <w:r>
        <w:rPr>
          <w:rFonts w:ascii="Times New Roman;serif" w:hAnsi="Times New Roman;serif"/>
          <w:b w:val="false"/>
          <w:color w:val="000000"/>
          <w:sz w:val="22"/>
        </w:rPr>
        <w:t>REPRESENTATIONS AND WARRANTIES    </w:t>
      </w:r>
      <w:r>
        <w:rPr>
          <w:rFonts w:ascii="Times New Roman;serif" w:hAnsi="Times New Roman;serif"/>
          <w:b w:val="false"/>
          <w:strike/>
          <w:color w:val="FF0000"/>
          <w:sz w:val="22"/>
        </w:rPr>
        <w:t>82</w:t>
      </w:r>
      <w:r>
        <w:rPr>
          <w:rFonts w:ascii="Times New Roman;serif" w:hAnsi="Times New Roman;serif"/>
          <w:b w:val="false"/>
          <w:color w:val="0000FF"/>
          <w:sz w:val="22"/>
          <w:u w:val="single"/>
        </w:rPr>
        <w:t>84</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lineRule="auto" w:line="288" w:before="0" w:after="0"/>
        <w:ind w:left="0" w:right="0" w:hanging="965"/>
        <w:jc w:val="left"/>
        <w:rPr/>
      </w:pPr>
      <w:r>
        <w:rPr>
          <w:rFonts w:ascii="Times New Roman;serif" w:hAnsi="Times New Roman;serif"/>
          <w:b w:val="false"/>
          <w:color w:val="000000"/>
          <w:sz w:val="22"/>
        </w:rPr>
        <w:t>4.1.</w:t>
      </w:r>
      <w:r>
        <w:rPr>
          <w:color w:val="000000"/>
        </w:rPr>
        <w:t>    </w:t>
      </w:r>
      <w:r>
        <w:rPr>
          <w:rFonts w:ascii="Times New Roman;serif" w:hAnsi="Times New Roman;serif"/>
          <w:b w:val="false"/>
          <w:color w:val="000000"/>
          <w:sz w:val="22"/>
        </w:rPr>
        <w:t>Financial Condition    </w:t>
      </w:r>
      <w:r>
        <w:rPr>
          <w:rFonts w:ascii="Times New Roman;serif" w:hAnsi="Times New Roman;serif"/>
          <w:b w:val="false"/>
          <w:strike/>
          <w:color w:val="FF0000"/>
          <w:sz w:val="22"/>
        </w:rPr>
        <w:t>82</w:t>
      </w:r>
      <w:r>
        <w:rPr>
          <w:rFonts w:ascii="Times New Roman;serif" w:hAnsi="Times New Roman;serif"/>
          <w:b w:val="false"/>
          <w:color w:val="0000FF"/>
          <w:sz w:val="22"/>
          <w:u w:val="single"/>
        </w:rPr>
        <w:t>84</w:t>
      </w:r>
    </w:p>
    <w:p>
      <w:pPr>
        <w:pStyle w:val="TextBody"/>
        <w:bidi w:val="0"/>
        <w:spacing w:lineRule="auto" w:line="288" w:before="0" w:after="0"/>
        <w:ind w:left="0" w:right="0" w:hanging="965"/>
        <w:jc w:val="left"/>
        <w:rPr/>
      </w:pPr>
      <w:r>
        <w:rPr>
          <w:rFonts w:ascii="Times New Roman;serif" w:hAnsi="Times New Roman;serif"/>
          <w:b w:val="false"/>
          <w:color w:val="000000"/>
          <w:sz w:val="22"/>
        </w:rPr>
        <w:t>4.2.</w:t>
      </w:r>
      <w:r>
        <w:rPr>
          <w:color w:val="000000"/>
        </w:rPr>
        <w:t>    </w:t>
      </w:r>
      <w:r>
        <w:rPr>
          <w:rFonts w:ascii="Times New Roman;serif" w:hAnsi="Times New Roman;serif"/>
          <w:b w:val="false"/>
          <w:color w:val="000000"/>
          <w:sz w:val="22"/>
        </w:rPr>
        <w:t>No Change    </w:t>
      </w:r>
      <w:r>
        <w:rPr>
          <w:rFonts w:ascii="Times New Roman;serif" w:hAnsi="Times New Roman;serif"/>
          <w:b w:val="false"/>
          <w:strike/>
          <w:color w:val="FF0000"/>
          <w:sz w:val="22"/>
        </w:rPr>
        <w:t>82</w:t>
      </w:r>
      <w:r>
        <w:rPr>
          <w:rFonts w:ascii="Times New Roman;serif" w:hAnsi="Times New Roman;serif"/>
          <w:b w:val="false"/>
          <w:color w:val="0000FF"/>
          <w:sz w:val="22"/>
          <w:u w:val="single"/>
        </w:rPr>
        <w:t>84</w:t>
      </w:r>
    </w:p>
    <w:p>
      <w:pPr>
        <w:pStyle w:val="TextBody"/>
        <w:bidi w:val="0"/>
        <w:spacing w:lineRule="auto" w:line="288" w:before="0" w:after="0"/>
        <w:ind w:left="0" w:right="0" w:hanging="965"/>
        <w:jc w:val="left"/>
        <w:rPr/>
      </w:pPr>
      <w:r>
        <w:rPr>
          <w:rFonts w:ascii="Times New Roman;serif" w:hAnsi="Times New Roman;serif"/>
          <w:b w:val="false"/>
          <w:color w:val="000000"/>
          <w:sz w:val="22"/>
        </w:rPr>
        <w:t>4.3.</w:t>
      </w:r>
      <w:r>
        <w:rPr>
          <w:color w:val="000000"/>
        </w:rPr>
        <w:t>    </w:t>
      </w:r>
      <w:r>
        <w:rPr>
          <w:rFonts w:ascii="Times New Roman;serif" w:hAnsi="Times New Roman;serif"/>
          <w:b w:val="false"/>
          <w:color w:val="000000"/>
          <w:sz w:val="22"/>
        </w:rPr>
        <w:t>Existence; Compliance with Law    </w:t>
      </w:r>
      <w:r>
        <w:rPr>
          <w:rFonts w:ascii="Times New Roman;serif" w:hAnsi="Times New Roman;serif"/>
          <w:b w:val="false"/>
          <w:strike/>
          <w:color w:val="FF0000"/>
          <w:sz w:val="22"/>
        </w:rPr>
        <w:t>82</w:t>
      </w:r>
      <w:r>
        <w:rPr>
          <w:rFonts w:ascii="Times New Roman;serif" w:hAnsi="Times New Roman;serif"/>
          <w:b w:val="false"/>
          <w:color w:val="0000FF"/>
          <w:sz w:val="22"/>
          <w:u w:val="single"/>
        </w:rPr>
        <w:t>84</w:t>
      </w:r>
    </w:p>
    <w:p>
      <w:pPr>
        <w:pStyle w:val="TextBody"/>
        <w:bidi w:val="0"/>
        <w:spacing w:lineRule="auto" w:line="288" w:before="0" w:after="0"/>
        <w:ind w:left="0" w:right="0" w:hanging="965"/>
        <w:jc w:val="left"/>
        <w:rPr/>
      </w:pPr>
      <w:r>
        <w:rPr>
          <w:rFonts w:ascii="Times New Roman;serif" w:hAnsi="Times New Roman;serif"/>
          <w:b w:val="false"/>
          <w:color w:val="000000"/>
          <w:sz w:val="22"/>
        </w:rPr>
        <w:t>4.4.</w:t>
      </w:r>
      <w:r>
        <w:rPr>
          <w:color w:val="000000"/>
        </w:rPr>
        <w:t>    </w:t>
      </w:r>
      <w:r>
        <w:rPr>
          <w:rFonts w:ascii="Times New Roman;serif" w:hAnsi="Times New Roman;serif"/>
          <w:b w:val="false"/>
          <w:color w:val="000000"/>
          <w:sz w:val="22"/>
        </w:rPr>
        <w:t>Power; Authorization; Enforceable Obligations    </w:t>
      </w:r>
      <w:r>
        <w:rPr>
          <w:rFonts w:ascii="Times New Roman;serif" w:hAnsi="Times New Roman;serif"/>
          <w:b w:val="false"/>
          <w:strike/>
          <w:color w:val="FF0000"/>
          <w:sz w:val="22"/>
        </w:rPr>
        <w:t>82</w:t>
      </w:r>
      <w:r>
        <w:rPr>
          <w:rFonts w:ascii="Times New Roman;serif" w:hAnsi="Times New Roman;serif"/>
          <w:b w:val="false"/>
          <w:color w:val="0000FF"/>
          <w:sz w:val="22"/>
          <w:u w:val="single"/>
        </w:rPr>
        <w:t>84</w:t>
      </w:r>
    </w:p>
    <w:p>
      <w:pPr>
        <w:pStyle w:val="TextBody"/>
        <w:bidi w:val="0"/>
        <w:spacing w:lineRule="auto" w:line="288" w:before="0" w:after="0"/>
        <w:ind w:left="0" w:right="0" w:hanging="965"/>
        <w:jc w:val="left"/>
        <w:rPr/>
      </w:pPr>
      <w:r>
        <w:rPr>
          <w:rFonts w:ascii="Times New Roman;serif" w:hAnsi="Times New Roman;serif"/>
          <w:b w:val="false"/>
          <w:color w:val="000000"/>
          <w:sz w:val="22"/>
        </w:rPr>
        <w:t>4.5.</w:t>
      </w:r>
      <w:r>
        <w:rPr>
          <w:color w:val="000000"/>
        </w:rPr>
        <w:t>    </w:t>
      </w:r>
      <w:r>
        <w:rPr>
          <w:rFonts w:ascii="Times New Roman;serif" w:hAnsi="Times New Roman;serif"/>
          <w:b w:val="false"/>
          <w:color w:val="000000"/>
          <w:sz w:val="22"/>
        </w:rPr>
        <w:t>No Legal Bar    </w:t>
      </w:r>
      <w:r>
        <w:rPr>
          <w:rFonts w:ascii="Times New Roman;serif" w:hAnsi="Times New Roman;serif"/>
          <w:b w:val="false"/>
          <w:strike/>
          <w:color w:val="FF0000"/>
          <w:sz w:val="22"/>
        </w:rPr>
        <w:t>83</w:t>
      </w:r>
      <w:r>
        <w:rPr>
          <w:rFonts w:ascii="Times New Roman;serif" w:hAnsi="Times New Roman;serif"/>
          <w:b w:val="false"/>
          <w:color w:val="0000FF"/>
          <w:sz w:val="22"/>
          <w:u w:val="single"/>
        </w:rPr>
        <w:t>85</w:t>
      </w:r>
    </w:p>
    <w:p>
      <w:pPr>
        <w:pStyle w:val="TextBody"/>
        <w:bidi w:val="0"/>
        <w:spacing w:lineRule="auto" w:line="288" w:before="0" w:after="0"/>
        <w:ind w:left="0" w:right="0" w:hanging="965"/>
        <w:jc w:val="left"/>
        <w:rPr/>
      </w:pPr>
      <w:r>
        <w:rPr>
          <w:rFonts w:ascii="Times New Roman;serif" w:hAnsi="Times New Roman;serif"/>
          <w:b w:val="false"/>
          <w:color w:val="000000"/>
          <w:sz w:val="22"/>
        </w:rPr>
        <w:t>4.6.</w:t>
      </w:r>
      <w:r>
        <w:rPr>
          <w:color w:val="000000"/>
        </w:rPr>
        <w:t>    </w:t>
      </w:r>
      <w:r>
        <w:rPr>
          <w:rFonts w:ascii="Times New Roman;serif" w:hAnsi="Times New Roman;serif"/>
          <w:b w:val="false"/>
          <w:color w:val="000000"/>
          <w:sz w:val="22"/>
        </w:rPr>
        <w:t>Litigation    </w:t>
      </w:r>
      <w:r>
        <w:rPr>
          <w:rFonts w:ascii="Times New Roman;serif" w:hAnsi="Times New Roman;serif"/>
          <w:b w:val="false"/>
          <w:strike/>
          <w:color w:val="FF0000"/>
          <w:sz w:val="22"/>
        </w:rPr>
        <w:t>83</w:t>
      </w:r>
      <w:r>
        <w:rPr>
          <w:rFonts w:ascii="Times New Roman;serif" w:hAnsi="Times New Roman;serif"/>
          <w:b w:val="false"/>
          <w:color w:val="0000FF"/>
          <w:sz w:val="22"/>
          <w:u w:val="single"/>
        </w:rPr>
        <w:t>85</w:t>
      </w:r>
    </w:p>
    <w:p>
      <w:pPr>
        <w:pStyle w:val="TextBody"/>
        <w:bidi w:val="0"/>
        <w:spacing w:lineRule="auto" w:line="288" w:before="0" w:after="0"/>
        <w:ind w:left="0" w:right="0" w:hanging="965"/>
        <w:jc w:val="left"/>
        <w:rPr/>
      </w:pPr>
      <w:r>
        <w:rPr>
          <w:rFonts w:ascii="Times New Roman;serif" w:hAnsi="Times New Roman;serif"/>
          <w:b w:val="false"/>
          <w:color w:val="000000"/>
          <w:sz w:val="22"/>
        </w:rPr>
        <w:t>4.7.</w:t>
      </w:r>
      <w:r>
        <w:rPr>
          <w:color w:val="000000"/>
        </w:rPr>
        <w:t>    </w:t>
      </w:r>
      <w:r>
        <w:rPr>
          <w:rFonts w:ascii="Times New Roman;serif" w:hAnsi="Times New Roman;serif"/>
          <w:b w:val="false"/>
          <w:color w:val="000000"/>
          <w:sz w:val="22"/>
        </w:rPr>
        <w:t>No Default    </w:t>
      </w:r>
      <w:r>
        <w:rPr>
          <w:rFonts w:ascii="Times New Roman;serif" w:hAnsi="Times New Roman;serif"/>
          <w:b w:val="false"/>
          <w:strike/>
          <w:color w:val="FF0000"/>
          <w:sz w:val="22"/>
        </w:rPr>
        <w:t>83</w:t>
      </w:r>
      <w:r>
        <w:rPr>
          <w:rFonts w:ascii="Times New Roman;serif" w:hAnsi="Times New Roman;serif"/>
          <w:b w:val="false"/>
          <w:color w:val="0000FF"/>
          <w:sz w:val="22"/>
          <w:u w:val="single"/>
        </w:rPr>
        <w:t>85</w:t>
      </w:r>
    </w:p>
    <w:p>
      <w:pPr>
        <w:pStyle w:val="TextBody"/>
        <w:bidi w:val="0"/>
        <w:spacing w:lineRule="auto" w:line="288" w:before="0" w:after="0"/>
        <w:ind w:left="0" w:right="0" w:hanging="965"/>
        <w:jc w:val="left"/>
        <w:rPr/>
      </w:pPr>
      <w:r>
        <w:rPr>
          <w:rFonts w:ascii="Times New Roman;serif" w:hAnsi="Times New Roman;serif"/>
          <w:b w:val="false"/>
          <w:color w:val="000000"/>
          <w:sz w:val="22"/>
        </w:rPr>
        <w:t>4.8.</w:t>
      </w:r>
      <w:r>
        <w:rPr>
          <w:color w:val="000000"/>
        </w:rPr>
        <w:t>    </w:t>
      </w:r>
      <w:r>
        <w:rPr>
          <w:rFonts w:ascii="Times New Roman;serif" w:hAnsi="Times New Roman;serif"/>
          <w:b w:val="false"/>
          <w:color w:val="000000"/>
          <w:sz w:val="22"/>
        </w:rPr>
        <w:t>Ownership of Property    </w:t>
      </w:r>
      <w:r>
        <w:rPr>
          <w:rFonts w:ascii="Times New Roman;serif" w:hAnsi="Times New Roman;serif"/>
          <w:b w:val="false"/>
          <w:strike/>
          <w:color w:val="FF0000"/>
          <w:sz w:val="22"/>
        </w:rPr>
        <w:t>83</w:t>
      </w:r>
      <w:r>
        <w:rPr>
          <w:rFonts w:ascii="Times New Roman;serif" w:hAnsi="Times New Roman;serif"/>
          <w:b w:val="false"/>
          <w:color w:val="0000FF"/>
          <w:sz w:val="22"/>
          <w:u w:val="single"/>
        </w:rPr>
        <w:t>85</w:t>
      </w:r>
    </w:p>
    <w:p>
      <w:pPr>
        <w:pStyle w:val="TextBody"/>
        <w:bidi w:val="0"/>
        <w:spacing w:lineRule="auto" w:line="288" w:before="0" w:after="0"/>
        <w:ind w:left="0" w:right="0" w:hanging="965"/>
        <w:jc w:val="left"/>
        <w:rPr/>
      </w:pPr>
      <w:r>
        <w:rPr>
          <w:rFonts w:ascii="Times New Roman;serif" w:hAnsi="Times New Roman;serif"/>
          <w:b w:val="false"/>
          <w:color w:val="000000"/>
          <w:sz w:val="22"/>
        </w:rPr>
        <w:t>4.9.</w:t>
      </w:r>
      <w:r>
        <w:rPr>
          <w:color w:val="000000"/>
        </w:rPr>
        <w:t>    </w:t>
      </w:r>
      <w:r>
        <w:rPr>
          <w:rFonts w:ascii="Times New Roman;serif" w:hAnsi="Times New Roman;serif"/>
          <w:b w:val="false"/>
          <w:color w:val="000000"/>
          <w:sz w:val="22"/>
        </w:rPr>
        <w:t>Intellectual Property    </w:t>
      </w:r>
      <w:r>
        <w:rPr>
          <w:rFonts w:ascii="Times New Roman;serif" w:hAnsi="Times New Roman;serif"/>
          <w:b w:val="false"/>
          <w:strike/>
          <w:color w:val="FF0000"/>
          <w:sz w:val="22"/>
        </w:rPr>
        <w:t>83</w:t>
      </w:r>
      <w:r>
        <w:rPr>
          <w:rFonts w:ascii="Times New Roman;serif" w:hAnsi="Times New Roman;serif"/>
          <w:b w:val="false"/>
          <w:color w:val="0000FF"/>
          <w:sz w:val="22"/>
          <w:u w:val="single"/>
        </w:rPr>
        <w:t>85</w:t>
      </w:r>
    </w:p>
    <w:p>
      <w:pPr>
        <w:pStyle w:val="TextBody"/>
        <w:bidi w:val="0"/>
        <w:spacing w:lineRule="auto" w:line="288" w:before="0" w:after="0"/>
        <w:ind w:left="0" w:right="0" w:hanging="965"/>
        <w:jc w:val="left"/>
        <w:rPr/>
      </w:pPr>
      <w:r>
        <w:rPr>
          <w:rFonts w:ascii="Times New Roman;serif" w:hAnsi="Times New Roman;serif"/>
          <w:b w:val="false"/>
          <w:color w:val="000000"/>
          <w:sz w:val="22"/>
        </w:rPr>
        <w:t>4.10.</w:t>
      </w:r>
      <w:r>
        <w:rPr>
          <w:color w:val="000000"/>
        </w:rPr>
        <w:t>    </w:t>
      </w:r>
      <w:r>
        <w:rPr>
          <w:rFonts w:ascii="Times New Roman;serif" w:hAnsi="Times New Roman;serif"/>
          <w:b w:val="false"/>
          <w:color w:val="000000"/>
          <w:sz w:val="22"/>
        </w:rPr>
        <w:t>Taxes    </w:t>
      </w:r>
      <w:r>
        <w:rPr>
          <w:rFonts w:ascii="Times New Roman;serif" w:hAnsi="Times New Roman;serif"/>
          <w:b w:val="false"/>
          <w:strike/>
          <w:color w:val="FF0000"/>
          <w:sz w:val="22"/>
        </w:rPr>
        <w:t>84</w:t>
      </w:r>
      <w:r>
        <w:rPr>
          <w:rFonts w:ascii="Times New Roman;serif" w:hAnsi="Times New Roman;serif"/>
          <w:b w:val="false"/>
          <w:color w:val="0000FF"/>
          <w:sz w:val="22"/>
          <w:u w:val="single"/>
        </w:rPr>
        <w:t>86</w:t>
      </w:r>
    </w:p>
    <w:p>
      <w:pPr>
        <w:pStyle w:val="TextBody"/>
        <w:bidi w:val="0"/>
        <w:spacing w:lineRule="auto" w:line="288" w:before="0" w:after="0"/>
        <w:ind w:left="0" w:right="0" w:hanging="965"/>
        <w:jc w:val="left"/>
        <w:rPr/>
      </w:pPr>
      <w:r>
        <w:rPr>
          <w:rFonts w:ascii="Times New Roman;serif" w:hAnsi="Times New Roman;serif"/>
          <w:b w:val="false"/>
          <w:color w:val="000000"/>
          <w:sz w:val="22"/>
        </w:rPr>
        <w:t>4.11.</w:t>
      </w:r>
      <w:r>
        <w:rPr>
          <w:color w:val="000000"/>
        </w:rPr>
        <w:t>    </w:t>
      </w:r>
      <w:r>
        <w:rPr>
          <w:rFonts w:ascii="Times New Roman;serif" w:hAnsi="Times New Roman;serif"/>
          <w:b w:val="false"/>
          <w:color w:val="000000"/>
          <w:sz w:val="22"/>
        </w:rPr>
        <w:t>Federal Regulations    </w:t>
      </w:r>
      <w:r>
        <w:rPr>
          <w:rFonts w:ascii="Times New Roman;serif" w:hAnsi="Times New Roman;serif"/>
          <w:b w:val="false"/>
          <w:strike/>
          <w:color w:val="FF0000"/>
          <w:sz w:val="22"/>
        </w:rPr>
        <w:t>84</w:t>
      </w:r>
      <w:r>
        <w:rPr>
          <w:rFonts w:ascii="Times New Roman;serif" w:hAnsi="Times New Roman;serif"/>
          <w:b w:val="false"/>
          <w:color w:val="0000FF"/>
          <w:sz w:val="22"/>
          <w:u w:val="single"/>
        </w:rPr>
        <w:t>86</w:t>
      </w:r>
    </w:p>
    <w:p>
      <w:pPr>
        <w:pStyle w:val="TextBody"/>
        <w:bidi w:val="0"/>
        <w:spacing w:lineRule="auto" w:line="288" w:before="0" w:after="0"/>
        <w:ind w:left="0" w:right="0" w:hanging="965"/>
        <w:jc w:val="left"/>
        <w:rPr/>
      </w:pPr>
      <w:r>
        <w:rPr>
          <w:rFonts w:ascii="Times New Roman;serif" w:hAnsi="Times New Roman;serif"/>
          <w:b w:val="false"/>
          <w:color w:val="000000"/>
          <w:sz w:val="22"/>
        </w:rPr>
        <w:t>4.12.</w:t>
      </w:r>
      <w:r>
        <w:rPr>
          <w:color w:val="000000"/>
        </w:rPr>
        <w:t>    </w:t>
      </w:r>
      <w:r>
        <w:rPr>
          <w:rFonts w:ascii="Times New Roman;serif" w:hAnsi="Times New Roman;serif"/>
          <w:b w:val="false"/>
          <w:color w:val="000000"/>
          <w:sz w:val="22"/>
        </w:rPr>
        <w:t>Labor Matters    </w:t>
      </w:r>
      <w:r>
        <w:rPr>
          <w:rFonts w:ascii="Times New Roman;serif" w:hAnsi="Times New Roman;serif"/>
          <w:b w:val="false"/>
          <w:strike/>
          <w:color w:val="FF0000"/>
          <w:sz w:val="22"/>
        </w:rPr>
        <w:t>84</w:t>
      </w:r>
      <w:r>
        <w:rPr>
          <w:rFonts w:ascii="Times New Roman;serif" w:hAnsi="Times New Roman;serif"/>
          <w:b w:val="false"/>
          <w:color w:val="0000FF"/>
          <w:sz w:val="22"/>
          <w:u w:val="single"/>
        </w:rPr>
        <w:t>86</w:t>
      </w:r>
    </w:p>
    <w:p>
      <w:pPr>
        <w:pStyle w:val="TextBody"/>
        <w:bidi w:val="0"/>
        <w:spacing w:lineRule="auto" w:line="288" w:before="0" w:after="0"/>
        <w:ind w:left="0" w:right="0" w:hanging="965"/>
        <w:jc w:val="left"/>
        <w:rPr/>
      </w:pPr>
      <w:r>
        <w:rPr>
          <w:rFonts w:ascii="Times New Roman;serif" w:hAnsi="Times New Roman;serif"/>
          <w:b w:val="false"/>
          <w:color w:val="000000"/>
          <w:sz w:val="22"/>
        </w:rPr>
        <w:t>4.13.</w:t>
      </w:r>
      <w:r>
        <w:rPr>
          <w:color w:val="000000"/>
        </w:rPr>
        <w:t>    </w:t>
      </w:r>
      <w:r>
        <w:rPr>
          <w:rFonts w:ascii="Times New Roman;serif" w:hAnsi="Times New Roman;serif"/>
          <w:b w:val="false"/>
          <w:color w:val="000000"/>
          <w:sz w:val="22"/>
        </w:rPr>
        <w:t>ERISA    </w:t>
      </w:r>
      <w:r>
        <w:rPr>
          <w:rFonts w:ascii="Times New Roman;serif" w:hAnsi="Times New Roman;serif"/>
          <w:b w:val="false"/>
          <w:strike/>
          <w:color w:val="FF0000"/>
          <w:sz w:val="22"/>
        </w:rPr>
        <w:t>84</w:t>
      </w:r>
      <w:r>
        <w:rPr>
          <w:rFonts w:ascii="Times New Roman;serif" w:hAnsi="Times New Roman;serif"/>
          <w:b w:val="false"/>
          <w:color w:val="0000FF"/>
          <w:sz w:val="22"/>
          <w:u w:val="single"/>
        </w:rPr>
        <w:t>86</w:t>
      </w:r>
    </w:p>
    <w:p>
      <w:pPr>
        <w:pStyle w:val="TextBody"/>
        <w:bidi w:val="0"/>
        <w:spacing w:lineRule="auto" w:line="288" w:before="0" w:after="0"/>
        <w:ind w:left="0" w:right="0" w:hanging="965"/>
        <w:jc w:val="left"/>
        <w:rPr/>
      </w:pPr>
      <w:r>
        <w:rPr>
          <w:rFonts w:ascii="Times New Roman;serif" w:hAnsi="Times New Roman;serif"/>
          <w:b w:val="false"/>
          <w:color w:val="000000"/>
          <w:sz w:val="22"/>
        </w:rPr>
        <w:t>4.14.</w:t>
      </w:r>
      <w:r>
        <w:rPr>
          <w:color w:val="000000"/>
        </w:rPr>
        <w:t>    </w:t>
      </w:r>
      <w:r>
        <w:rPr>
          <w:rFonts w:ascii="Times New Roman;serif" w:hAnsi="Times New Roman;serif"/>
          <w:b w:val="false"/>
          <w:color w:val="000000"/>
          <w:sz w:val="22"/>
        </w:rPr>
        <w:t>Investment Company Act; Other Regulations    </w:t>
      </w:r>
      <w:r>
        <w:rPr>
          <w:rFonts w:ascii="Times New Roman;serif" w:hAnsi="Times New Roman;serif"/>
          <w:b w:val="false"/>
          <w:strike/>
          <w:color w:val="FF0000"/>
          <w:sz w:val="22"/>
        </w:rPr>
        <w:t>84</w:t>
      </w:r>
      <w:r>
        <w:rPr>
          <w:rFonts w:ascii="Times New Roman;serif" w:hAnsi="Times New Roman;serif"/>
          <w:b w:val="false"/>
          <w:color w:val="0000FF"/>
          <w:sz w:val="22"/>
          <w:u w:val="single"/>
        </w:rPr>
        <w:t>86</w:t>
      </w:r>
    </w:p>
    <w:p>
      <w:pPr>
        <w:pStyle w:val="TextBody"/>
        <w:bidi w:val="0"/>
        <w:spacing w:lineRule="auto" w:line="288" w:before="0" w:after="0"/>
        <w:ind w:left="0" w:right="0" w:hanging="965"/>
        <w:jc w:val="left"/>
        <w:rPr/>
      </w:pPr>
      <w:r>
        <w:rPr>
          <w:rFonts w:ascii="Times New Roman;serif" w:hAnsi="Times New Roman;serif"/>
          <w:b w:val="false"/>
          <w:color w:val="000000"/>
          <w:sz w:val="22"/>
        </w:rPr>
        <w:t>4.15.</w:t>
      </w:r>
      <w:r>
        <w:rPr>
          <w:color w:val="000000"/>
        </w:rPr>
        <w:t>    </w:t>
      </w:r>
      <w:r>
        <w:rPr>
          <w:rFonts w:ascii="Times New Roman;serif" w:hAnsi="Times New Roman;serif"/>
          <w:b w:val="false"/>
          <w:color w:val="000000"/>
          <w:sz w:val="22"/>
        </w:rPr>
        <w:t>Subsidiaries    </w:t>
      </w:r>
      <w:r>
        <w:rPr>
          <w:rFonts w:ascii="Times New Roman;serif" w:hAnsi="Times New Roman;serif"/>
          <w:b w:val="false"/>
          <w:strike/>
          <w:color w:val="FF0000"/>
          <w:sz w:val="22"/>
        </w:rPr>
        <w:t>84</w:t>
      </w:r>
      <w:r>
        <w:rPr>
          <w:rFonts w:ascii="Times New Roman;serif" w:hAnsi="Times New Roman;serif"/>
          <w:b w:val="false"/>
          <w:color w:val="0000FF"/>
          <w:sz w:val="22"/>
          <w:u w:val="single"/>
        </w:rPr>
        <w:t>86</w:t>
      </w:r>
    </w:p>
    <w:p>
      <w:pPr>
        <w:pStyle w:val="TextBody"/>
        <w:bidi w:val="0"/>
        <w:spacing w:lineRule="auto" w:line="288" w:before="0" w:after="0"/>
        <w:ind w:left="0" w:right="0" w:hanging="965"/>
        <w:jc w:val="left"/>
        <w:rPr/>
      </w:pPr>
      <w:r>
        <w:rPr>
          <w:rFonts w:ascii="Times New Roman;serif" w:hAnsi="Times New Roman;serif"/>
          <w:b w:val="false"/>
          <w:color w:val="000000"/>
          <w:sz w:val="22"/>
        </w:rPr>
        <w:t>4.16.</w:t>
      </w:r>
      <w:r>
        <w:rPr>
          <w:color w:val="000000"/>
        </w:rPr>
        <w:t>    </w:t>
      </w:r>
      <w:r>
        <w:rPr>
          <w:rFonts w:ascii="Times New Roman;serif" w:hAnsi="Times New Roman;serif"/>
          <w:b w:val="false"/>
          <w:color w:val="000000"/>
          <w:sz w:val="22"/>
        </w:rPr>
        <w:t>Use of Proceeds    </w:t>
      </w:r>
      <w:r>
        <w:rPr>
          <w:rFonts w:ascii="Times New Roman;serif" w:hAnsi="Times New Roman;serif"/>
          <w:b w:val="false"/>
          <w:strike/>
          <w:color w:val="FF0000"/>
          <w:sz w:val="22"/>
        </w:rPr>
        <w:t>84</w:t>
      </w:r>
      <w:r>
        <w:rPr>
          <w:rFonts w:ascii="Times New Roman;serif" w:hAnsi="Times New Roman;serif"/>
          <w:b w:val="false"/>
          <w:color w:val="0000FF"/>
          <w:sz w:val="22"/>
          <w:u w:val="single"/>
        </w:rPr>
        <w:t>86</w:t>
      </w:r>
    </w:p>
    <w:p>
      <w:pPr>
        <w:pStyle w:val="TextBody"/>
        <w:bidi w:val="0"/>
        <w:spacing w:lineRule="auto" w:line="288" w:before="0" w:after="0"/>
        <w:ind w:left="0" w:right="0" w:hanging="965"/>
        <w:jc w:val="left"/>
        <w:rPr/>
      </w:pPr>
      <w:r>
        <w:rPr>
          <w:rFonts w:ascii="Times New Roman;serif" w:hAnsi="Times New Roman;serif"/>
          <w:b w:val="false"/>
          <w:color w:val="000000"/>
          <w:sz w:val="22"/>
        </w:rPr>
        <w:t>4.17.</w:t>
      </w:r>
      <w:r>
        <w:rPr>
          <w:color w:val="000000"/>
        </w:rPr>
        <w:t>    </w:t>
      </w:r>
      <w:r>
        <w:rPr>
          <w:rFonts w:ascii="Times New Roman;serif" w:hAnsi="Times New Roman;serif"/>
          <w:b w:val="false"/>
          <w:color w:val="000000"/>
          <w:sz w:val="22"/>
        </w:rPr>
        <w:t>Environmental Matters    </w:t>
      </w:r>
      <w:r>
        <w:rPr>
          <w:rFonts w:ascii="Times New Roman;serif" w:hAnsi="Times New Roman;serif"/>
          <w:b w:val="false"/>
          <w:strike/>
          <w:color w:val="FF0000"/>
          <w:sz w:val="22"/>
        </w:rPr>
        <w:t>85</w:t>
      </w:r>
      <w:r>
        <w:rPr>
          <w:rFonts w:ascii="Times New Roman;serif" w:hAnsi="Times New Roman;serif"/>
          <w:b w:val="false"/>
          <w:color w:val="0000FF"/>
          <w:sz w:val="22"/>
          <w:u w:val="single"/>
        </w:rPr>
        <w:t>86</w:t>
      </w:r>
    </w:p>
    <w:p>
      <w:pPr>
        <w:pStyle w:val="TextBody"/>
        <w:bidi w:val="0"/>
        <w:spacing w:lineRule="auto" w:line="288" w:before="0" w:after="0"/>
        <w:ind w:left="0" w:right="0" w:hanging="965"/>
        <w:jc w:val="left"/>
        <w:rPr/>
      </w:pPr>
      <w:r>
        <w:rPr>
          <w:rFonts w:ascii="Times New Roman;serif" w:hAnsi="Times New Roman;serif"/>
          <w:b w:val="false"/>
          <w:color w:val="000000"/>
          <w:sz w:val="22"/>
        </w:rPr>
        <w:t>4.18.</w:t>
      </w:r>
      <w:r>
        <w:rPr>
          <w:color w:val="000000"/>
        </w:rPr>
        <w:t>    </w:t>
      </w:r>
      <w:r>
        <w:rPr>
          <w:rFonts w:ascii="Times New Roman;serif" w:hAnsi="Times New Roman;serif"/>
          <w:b w:val="false"/>
          <w:color w:val="000000"/>
          <w:sz w:val="22"/>
        </w:rPr>
        <w:t>Accuracy of Information, etc.    </w:t>
      </w:r>
      <w:r>
        <w:rPr>
          <w:rFonts w:ascii="Times New Roman;serif" w:hAnsi="Times New Roman;serif"/>
          <w:b w:val="false"/>
          <w:strike/>
          <w:color w:val="FF0000"/>
          <w:sz w:val="22"/>
        </w:rPr>
        <w:t>85</w:t>
      </w:r>
      <w:r>
        <w:rPr>
          <w:rFonts w:ascii="Times New Roman;serif" w:hAnsi="Times New Roman;serif"/>
          <w:b w:val="false"/>
          <w:color w:val="0000FF"/>
          <w:sz w:val="22"/>
          <w:u w:val="single"/>
        </w:rPr>
        <w:t>87</w:t>
      </w:r>
    </w:p>
    <w:p>
      <w:pPr>
        <w:pStyle w:val="TextBody"/>
        <w:bidi w:val="0"/>
        <w:spacing w:lineRule="auto" w:line="288" w:before="0" w:after="0"/>
        <w:ind w:left="0" w:right="0" w:hanging="965"/>
        <w:jc w:val="left"/>
        <w:rPr/>
      </w:pPr>
      <w:r>
        <w:rPr>
          <w:rFonts w:ascii="Times New Roman;serif" w:hAnsi="Times New Roman;serif"/>
          <w:b w:val="false"/>
          <w:color w:val="000000"/>
          <w:sz w:val="22"/>
        </w:rPr>
        <w:t>4.19.</w:t>
      </w:r>
      <w:r>
        <w:rPr>
          <w:color w:val="000000"/>
        </w:rPr>
        <w:t>    </w:t>
      </w:r>
      <w:r>
        <w:rPr>
          <w:rFonts w:ascii="Times New Roman;serif" w:hAnsi="Times New Roman;serif"/>
          <w:b w:val="false"/>
          <w:color w:val="000000"/>
          <w:sz w:val="22"/>
        </w:rPr>
        <w:t>Security Documents    </w:t>
      </w:r>
      <w:r>
        <w:rPr>
          <w:rFonts w:ascii="Times New Roman;serif" w:hAnsi="Times New Roman;serif"/>
          <w:b w:val="false"/>
          <w:strike/>
          <w:color w:val="FF0000"/>
          <w:sz w:val="22"/>
        </w:rPr>
        <w:t>86</w:t>
      </w:r>
      <w:r>
        <w:rPr>
          <w:rFonts w:ascii="Times New Roman;serif" w:hAnsi="Times New Roman;serif"/>
          <w:b w:val="false"/>
          <w:color w:val="0000FF"/>
          <w:sz w:val="22"/>
          <w:u w:val="single"/>
        </w:rPr>
        <w:t>87</w:t>
      </w:r>
    </w:p>
    <w:p>
      <w:pPr>
        <w:pStyle w:val="TextBody"/>
        <w:bidi w:val="0"/>
        <w:spacing w:lineRule="auto" w:line="288" w:before="0" w:after="0"/>
        <w:ind w:left="0" w:right="0" w:hanging="965"/>
        <w:jc w:val="left"/>
        <w:rPr/>
      </w:pPr>
      <w:r>
        <w:rPr>
          <w:rFonts w:ascii="Times New Roman;serif" w:hAnsi="Times New Roman;serif"/>
          <w:b w:val="false"/>
          <w:color w:val="000000"/>
          <w:sz w:val="22"/>
        </w:rPr>
        <w:t>4.20.</w:t>
      </w:r>
      <w:r>
        <w:rPr>
          <w:color w:val="000000"/>
        </w:rPr>
        <w:t>    </w:t>
      </w:r>
      <w:r>
        <w:rPr>
          <w:rFonts w:ascii="Times New Roman;serif" w:hAnsi="Times New Roman;serif"/>
          <w:b w:val="false"/>
          <w:color w:val="000000"/>
          <w:sz w:val="22"/>
        </w:rPr>
        <w:t>Solvency    </w:t>
      </w:r>
      <w:r>
        <w:rPr>
          <w:rFonts w:ascii="Times New Roman;serif" w:hAnsi="Times New Roman;serif"/>
          <w:b w:val="false"/>
          <w:strike/>
          <w:color w:val="FF0000"/>
          <w:sz w:val="22"/>
        </w:rPr>
        <w:t>86</w:t>
      </w:r>
      <w:r>
        <w:rPr>
          <w:rFonts w:ascii="Times New Roman;serif" w:hAnsi="Times New Roman;serif"/>
          <w:b w:val="false"/>
          <w:color w:val="0000FF"/>
          <w:sz w:val="22"/>
          <w:u w:val="single"/>
        </w:rPr>
        <w:t>88</w:t>
      </w:r>
    </w:p>
    <w:p>
      <w:pPr>
        <w:pStyle w:val="TextBody"/>
        <w:bidi w:val="0"/>
        <w:spacing w:lineRule="auto" w:line="288" w:before="0" w:after="0"/>
        <w:ind w:left="0" w:right="0" w:hanging="965"/>
        <w:jc w:val="left"/>
        <w:rPr/>
      </w:pPr>
      <w:r>
        <w:rPr>
          <w:rFonts w:ascii="Times New Roman;serif" w:hAnsi="Times New Roman;serif"/>
          <w:b w:val="false"/>
          <w:color w:val="000000"/>
          <w:sz w:val="22"/>
        </w:rPr>
        <w:t>4.21.</w:t>
      </w:r>
      <w:r>
        <w:rPr>
          <w:color w:val="000000"/>
        </w:rPr>
        <w:t>    </w:t>
      </w:r>
      <w:r>
        <w:rPr>
          <w:rFonts w:ascii="Times New Roman;serif" w:hAnsi="Times New Roman;serif"/>
          <w:b w:val="false"/>
          <w:color w:val="000000"/>
          <w:sz w:val="22"/>
        </w:rPr>
        <w:t>Anti-Corruption Laws; Sanctions and Patriot Act    </w:t>
      </w:r>
      <w:r>
        <w:rPr>
          <w:rFonts w:ascii="Times New Roman;serif" w:hAnsi="Times New Roman;serif"/>
          <w:b w:val="false"/>
          <w:strike/>
          <w:color w:val="FF0000"/>
          <w:sz w:val="22"/>
        </w:rPr>
        <w:t>86</w:t>
      </w:r>
      <w:r>
        <w:rPr>
          <w:rFonts w:ascii="Times New Roman;serif" w:hAnsi="Times New Roman;serif"/>
          <w:b w:val="false"/>
          <w:color w:val="0000FF"/>
          <w:sz w:val="22"/>
          <w:u w:val="single"/>
        </w:rPr>
        <w:t>88</w:t>
      </w:r>
    </w:p>
    <w:p>
      <w:pPr>
        <w:pStyle w:val="TextBody"/>
        <w:bidi w:val="0"/>
        <w:spacing w:lineRule="auto" w:line="288" w:before="0" w:after="0"/>
        <w:ind w:left="0" w:right="0" w:hanging="965"/>
        <w:jc w:val="left"/>
        <w:rPr/>
      </w:pPr>
      <w:r>
        <w:rPr>
          <w:rFonts w:ascii="Times New Roman;serif" w:hAnsi="Times New Roman;serif"/>
          <w:b w:val="false"/>
          <w:color w:val="000000"/>
          <w:sz w:val="22"/>
        </w:rPr>
        <w:t>4.22.</w:t>
      </w:r>
      <w:r>
        <w:rPr>
          <w:color w:val="000000"/>
        </w:rPr>
        <w:t>    </w:t>
      </w:r>
      <w:r>
        <w:rPr>
          <w:rFonts w:ascii="Times New Roman;serif" w:hAnsi="Times New Roman;serif"/>
          <w:b w:val="false"/>
          <w:color w:val="000000"/>
          <w:sz w:val="22"/>
        </w:rPr>
        <w:t>Affected Financial Institutions    </w:t>
      </w:r>
      <w:r>
        <w:rPr>
          <w:rFonts w:ascii="Times New Roman;serif" w:hAnsi="Times New Roman;serif"/>
          <w:b w:val="false"/>
          <w:strike/>
          <w:color w:val="FF0000"/>
          <w:sz w:val="22"/>
        </w:rPr>
        <w:t>87</w:t>
      </w:r>
      <w:r>
        <w:rPr>
          <w:rFonts w:ascii="Times New Roman;serif" w:hAnsi="Times New Roman;serif"/>
          <w:b w:val="false"/>
          <w:color w:val="0000FF"/>
          <w:sz w:val="22"/>
          <w:u w:val="single"/>
        </w:rPr>
        <w:t>88</w:t>
      </w:r>
    </w:p>
    <w:p>
      <w:pPr>
        <w:pStyle w:val="TextBody"/>
        <w:bidi w:val="0"/>
        <w:spacing w:lineRule="auto" w:line="288" w:before="240" w:after="240"/>
        <w:jc w:val="left"/>
        <w:rPr/>
      </w:pPr>
      <w:r>
        <w:rPr>
          <w:rFonts w:ascii="Times New Roman;serif" w:hAnsi="Times New Roman;serif"/>
          <w:b w:val="false"/>
          <w:color w:val="010000"/>
          <w:sz w:val="22"/>
        </w:rPr>
        <w:t>SECTION 5.</w:t>
      </w:r>
      <w:r>
        <w:rPr>
          <w:color w:val="000000"/>
        </w:rPr>
        <w:t>    </w:t>
      </w:r>
      <w:r>
        <w:rPr>
          <w:rFonts w:ascii="Times New Roman;serif" w:hAnsi="Times New Roman;serif"/>
          <w:b w:val="false"/>
          <w:color w:val="000000"/>
          <w:sz w:val="22"/>
        </w:rPr>
        <w:t>CONDITIONS PRECEDENT    </w:t>
      </w:r>
      <w:r>
        <w:rPr>
          <w:rFonts w:ascii="Times New Roman;serif" w:hAnsi="Times New Roman;serif"/>
          <w:b w:val="false"/>
          <w:strike/>
          <w:color w:val="FF0000"/>
          <w:sz w:val="22"/>
        </w:rPr>
        <w:t>87</w:t>
      </w:r>
      <w:r>
        <w:rPr>
          <w:rFonts w:ascii="Times New Roman;serif" w:hAnsi="Times New Roman;serif"/>
          <w:b w:val="false"/>
          <w:color w:val="0000FF"/>
          <w:sz w:val="22"/>
          <w:u w:val="single"/>
        </w:rPr>
        <w:t>89</w:t>
      </w:r>
    </w:p>
    <w:p>
      <w:pPr>
        <w:pStyle w:val="TextBody"/>
        <w:bidi w:val="0"/>
        <w:spacing w:lineRule="auto" w:line="288" w:before="0" w:after="0"/>
        <w:ind w:left="0" w:right="0" w:hanging="965"/>
        <w:jc w:val="left"/>
        <w:rPr/>
      </w:pPr>
      <w:r>
        <w:rPr>
          <w:rFonts w:ascii="Times New Roman;serif" w:hAnsi="Times New Roman;serif"/>
          <w:b w:val="false"/>
          <w:color w:val="000000"/>
          <w:sz w:val="22"/>
        </w:rPr>
        <w:t>5.1.</w:t>
      </w:r>
      <w:r>
        <w:rPr>
          <w:color w:val="000000"/>
        </w:rPr>
        <w:t>    </w:t>
      </w:r>
      <w:r>
        <w:rPr>
          <w:rFonts w:ascii="Times New Roman;serif" w:hAnsi="Times New Roman;serif"/>
          <w:b w:val="false"/>
          <w:color w:val="000000"/>
          <w:sz w:val="22"/>
        </w:rPr>
        <w:t>[Reserved].    </w:t>
      </w:r>
      <w:r>
        <w:rPr>
          <w:rFonts w:ascii="Times New Roman;serif" w:hAnsi="Times New Roman;serif"/>
          <w:b w:val="false"/>
          <w:strike/>
          <w:color w:val="FF0000"/>
          <w:sz w:val="22"/>
        </w:rPr>
        <w:t>87</w:t>
      </w:r>
      <w:r>
        <w:rPr>
          <w:rFonts w:ascii="Times New Roman;serif" w:hAnsi="Times New Roman;serif"/>
          <w:b w:val="false"/>
          <w:color w:val="0000FF"/>
          <w:sz w:val="22"/>
          <w:u w:val="single"/>
        </w:rPr>
        <w:t>89</w:t>
      </w:r>
    </w:p>
    <w:p>
      <w:pPr>
        <w:pStyle w:val="TextBody"/>
        <w:bidi w:val="0"/>
        <w:spacing w:lineRule="auto" w:line="288" w:before="0" w:after="0"/>
        <w:ind w:left="0" w:right="0" w:hanging="965"/>
        <w:jc w:val="left"/>
        <w:rPr/>
      </w:pPr>
      <w:r>
        <w:rPr>
          <w:rFonts w:ascii="Times New Roman;serif" w:hAnsi="Times New Roman;serif"/>
          <w:b w:val="false"/>
          <w:color w:val="000000"/>
          <w:sz w:val="22"/>
        </w:rPr>
        <w:t>5.2.</w:t>
      </w:r>
      <w:r>
        <w:rPr>
          <w:color w:val="000000"/>
        </w:rPr>
        <w:t>    </w:t>
      </w:r>
      <w:r>
        <w:rPr>
          <w:rFonts w:ascii="Times New Roman;serif" w:hAnsi="Times New Roman;serif"/>
          <w:b w:val="false"/>
          <w:color w:val="000000"/>
          <w:sz w:val="22"/>
        </w:rPr>
        <w:t>Conditions to the Closing Date    </w:t>
      </w:r>
      <w:r>
        <w:rPr>
          <w:rFonts w:ascii="Times New Roman;serif" w:hAnsi="Times New Roman;serif"/>
          <w:b w:val="false"/>
          <w:strike/>
          <w:color w:val="FF0000"/>
          <w:sz w:val="22"/>
        </w:rPr>
        <w:t>87</w:t>
      </w:r>
      <w:r>
        <w:rPr>
          <w:rFonts w:ascii="Times New Roman;serif" w:hAnsi="Times New Roman;serif"/>
          <w:b w:val="false"/>
          <w:color w:val="0000FF"/>
          <w:sz w:val="22"/>
          <w:u w:val="single"/>
        </w:rPr>
        <w:t>89</w:t>
      </w:r>
    </w:p>
    <w:p>
      <w:pPr>
        <w:pStyle w:val="TextBody"/>
        <w:bidi w:val="0"/>
        <w:spacing w:lineRule="auto" w:line="288" w:before="0" w:after="0"/>
        <w:ind w:left="0" w:right="0" w:hanging="965"/>
        <w:jc w:val="left"/>
        <w:rPr/>
      </w:pPr>
      <w:r>
        <w:rPr>
          <w:rFonts w:ascii="Times New Roman;serif" w:hAnsi="Times New Roman;serif"/>
          <w:b w:val="false"/>
          <w:color w:val="000000"/>
          <w:sz w:val="22"/>
        </w:rPr>
        <w:t>5.3.</w:t>
      </w:r>
      <w:r>
        <w:rPr>
          <w:color w:val="000000"/>
        </w:rPr>
        <w:t>    </w:t>
      </w:r>
      <w:r>
        <w:rPr>
          <w:rFonts w:ascii="Times New Roman;serif" w:hAnsi="Times New Roman;serif"/>
          <w:b w:val="false"/>
          <w:color w:val="000000"/>
          <w:sz w:val="22"/>
        </w:rPr>
        <w:t>Conditions to Extensions of Credit    </w:t>
      </w:r>
      <w:r>
        <w:rPr>
          <w:rFonts w:ascii="Times New Roman;serif" w:hAnsi="Times New Roman;serif"/>
          <w:b w:val="false"/>
          <w:strike/>
          <w:color w:val="FF0000"/>
          <w:sz w:val="22"/>
        </w:rPr>
        <w:t>89</w:t>
      </w:r>
      <w:r>
        <w:rPr>
          <w:rFonts w:ascii="Times New Roman;serif" w:hAnsi="Times New Roman;serif"/>
          <w:b w:val="false"/>
          <w:color w:val="0000FF"/>
          <w:sz w:val="22"/>
          <w:u w:val="single"/>
        </w:rPr>
        <w:t>90</w:t>
      </w:r>
    </w:p>
    <w:p>
      <w:pPr>
        <w:pStyle w:val="TextBody"/>
        <w:bidi w:val="0"/>
        <w:spacing w:lineRule="auto" w:line="288" w:before="240" w:after="240"/>
        <w:jc w:val="left"/>
        <w:rPr/>
      </w:pPr>
      <w:r>
        <w:rPr>
          <w:rFonts w:ascii="Times New Roman;serif" w:hAnsi="Times New Roman;serif"/>
          <w:b w:val="false"/>
          <w:color w:val="010000"/>
          <w:sz w:val="22"/>
        </w:rPr>
        <w:t>SECTION 6.</w:t>
      </w:r>
      <w:r>
        <w:rPr>
          <w:color w:val="000000"/>
        </w:rPr>
        <w:t>    </w:t>
      </w:r>
      <w:r>
        <w:rPr>
          <w:rFonts w:ascii="Times New Roman;serif" w:hAnsi="Times New Roman;serif"/>
          <w:b w:val="false"/>
          <w:color w:val="000000"/>
          <w:sz w:val="22"/>
        </w:rPr>
        <w:t>AFFIRMATIVE COVENANTS    </w:t>
      </w:r>
      <w:r>
        <w:rPr>
          <w:rFonts w:ascii="Times New Roman;serif" w:hAnsi="Times New Roman;serif"/>
          <w:b w:val="false"/>
          <w:strike/>
          <w:color w:val="FF0000"/>
          <w:sz w:val="22"/>
        </w:rPr>
        <w:t>89</w:t>
      </w:r>
      <w:r>
        <w:rPr>
          <w:rFonts w:ascii="Times New Roman;serif" w:hAnsi="Times New Roman;serif"/>
          <w:b w:val="false"/>
          <w:color w:val="0000FF"/>
          <w:sz w:val="22"/>
          <w:u w:val="single"/>
        </w:rPr>
        <w:t>91</w:t>
      </w:r>
    </w:p>
    <w:p>
      <w:pPr>
        <w:pStyle w:val="TextBody"/>
        <w:bidi w:val="0"/>
        <w:spacing w:lineRule="auto" w:line="288" w:before="0" w:after="0"/>
        <w:ind w:left="0" w:right="0" w:hanging="965"/>
        <w:jc w:val="left"/>
        <w:rPr/>
      </w:pPr>
      <w:r>
        <w:rPr>
          <w:rFonts w:ascii="Times New Roman;serif" w:hAnsi="Times New Roman;serif"/>
          <w:b w:val="false"/>
          <w:color w:val="000000"/>
          <w:sz w:val="22"/>
        </w:rPr>
        <w:t>6.1.</w:t>
      </w:r>
      <w:r>
        <w:rPr>
          <w:color w:val="000000"/>
        </w:rPr>
        <w:t>    </w:t>
      </w:r>
      <w:r>
        <w:rPr>
          <w:rFonts w:ascii="Times New Roman;serif" w:hAnsi="Times New Roman;serif"/>
          <w:b w:val="false"/>
          <w:color w:val="000000"/>
          <w:sz w:val="22"/>
        </w:rPr>
        <w:t>Financial Statements    </w:t>
      </w:r>
      <w:r>
        <w:rPr>
          <w:rFonts w:ascii="Times New Roman;serif" w:hAnsi="Times New Roman;serif"/>
          <w:b w:val="false"/>
          <w:strike/>
          <w:color w:val="FF0000"/>
          <w:sz w:val="22"/>
        </w:rPr>
        <w:t>89</w:t>
      </w:r>
      <w:r>
        <w:rPr>
          <w:rFonts w:ascii="Times New Roman;serif" w:hAnsi="Times New Roman;serif"/>
          <w:b w:val="false"/>
          <w:color w:val="0000FF"/>
          <w:sz w:val="22"/>
          <w:u w:val="single"/>
        </w:rPr>
        <w:t>91</w:t>
      </w:r>
    </w:p>
    <w:p>
      <w:pPr>
        <w:pStyle w:val="TextBody"/>
        <w:bidi w:val="0"/>
        <w:spacing w:lineRule="auto" w:line="288" w:before="0" w:after="0"/>
        <w:ind w:left="0" w:right="0" w:hanging="965"/>
        <w:jc w:val="left"/>
        <w:rPr/>
      </w:pPr>
      <w:r>
        <w:rPr>
          <w:rFonts w:ascii="Times New Roman;serif" w:hAnsi="Times New Roman;serif"/>
          <w:b w:val="false"/>
          <w:color w:val="000000"/>
          <w:sz w:val="22"/>
        </w:rPr>
        <w:t>6.2.</w:t>
      </w:r>
      <w:r>
        <w:rPr>
          <w:color w:val="000000"/>
        </w:rPr>
        <w:t>    </w:t>
      </w:r>
      <w:r>
        <w:rPr>
          <w:rFonts w:ascii="Times New Roman;serif" w:hAnsi="Times New Roman;serif"/>
          <w:b w:val="false"/>
          <w:color w:val="000000"/>
          <w:sz w:val="22"/>
        </w:rPr>
        <w:t>Certificates; Other Information    </w:t>
      </w:r>
      <w:r>
        <w:rPr>
          <w:rFonts w:ascii="Times New Roman;serif" w:hAnsi="Times New Roman;serif"/>
          <w:b w:val="false"/>
          <w:strike/>
          <w:color w:val="FF0000"/>
          <w:sz w:val="22"/>
        </w:rPr>
        <w:t>90</w:t>
      </w:r>
      <w:r>
        <w:rPr>
          <w:rFonts w:ascii="Times New Roman;serif" w:hAnsi="Times New Roman;serif"/>
          <w:b w:val="false"/>
          <w:color w:val="0000FF"/>
          <w:sz w:val="22"/>
          <w:u w:val="single"/>
        </w:rPr>
        <w:t>92</w:t>
      </w:r>
    </w:p>
    <w:p>
      <w:pPr>
        <w:pStyle w:val="TextBody"/>
        <w:bidi w:val="0"/>
        <w:spacing w:lineRule="auto" w:line="288" w:before="0" w:after="0"/>
        <w:ind w:left="0" w:right="0" w:hanging="965"/>
        <w:jc w:val="left"/>
        <w:rPr/>
      </w:pPr>
      <w:r>
        <w:rPr>
          <w:rFonts w:ascii="Times New Roman;serif" w:hAnsi="Times New Roman;serif"/>
          <w:b w:val="false"/>
          <w:color w:val="000000"/>
          <w:sz w:val="22"/>
        </w:rPr>
        <w:t>6.3.</w:t>
      </w:r>
      <w:r>
        <w:rPr>
          <w:color w:val="000000"/>
        </w:rPr>
        <w:t>    </w:t>
      </w:r>
      <w:r>
        <w:rPr>
          <w:rFonts w:ascii="Times New Roman;serif" w:hAnsi="Times New Roman;serif"/>
          <w:b w:val="false"/>
          <w:color w:val="000000"/>
          <w:sz w:val="22"/>
        </w:rPr>
        <w:t>Payment of Taxes    </w:t>
      </w:r>
      <w:r>
        <w:rPr>
          <w:rFonts w:ascii="Times New Roman;serif" w:hAnsi="Times New Roman;serif"/>
          <w:b w:val="false"/>
          <w:strike/>
          <w:color w:val="FF0000"/>
          <w:sz w:val="22"/>
        </w:rPr>
        <w:t>90</w:t>
      </w:r>
      <w:r>
        <w:rPr>
          <w:rFonts w:ascii="Times New Roman;serif" w:hAnsi="Times New Roman;serif"/>
          <w:b w:val="false"/>
          <w:color w:val="0000FF"/>
          <w:sz w:val="22"/>
          <w:u w:val="single"/>
        </w:rPr>
        <w:t>92</w:t>
      </w:r>
    </w:p>
    <w:p>
      <w:pPr>
        <w:pStyle w:val="TextBody"/>
        <w:bidi w:val="0"/>
        <w:spacing w:lineRule="auto" w:line="288" w:before="0" w:after="0"/>
        <w:ind w:left="0" w:right="0" w:hanging="965"/>
        <w:jc w:val="left"/>
        <w:rPr/>
      </w:pPr>
      <w:r>
        <w:rPr>
          <w:rFonts w:ascii="Times New Roman;serif" w:hAnsi="Times New Roman;serif"/>
          <w:b w:val="false"/>
          <w:color w:val="000000"/>
          <w:sz w:val="22"/>
        </w:rPr>
        <w:t>6.4.</w:t>
      </w:r>
      <w:r>
        <w:rPr>
          <w:color w:val="000000"/>
        </w:rPr>
        <w:t>    </w:t>
      </w:r>
      <w:r>
        <w:rPr>
          <w:rFonts w:ascii="Times New Roman;serif" w:hAnsi="Times New Roman;serif"/>
          <w:b w:val="false"/>
          <w:color w:val="000000"/>
          <w:sz w:val="22"/>
        </w:rPr>
        <w:t>Maintenance of Existence; Compliance    </w:t>
      </w:r>
      <w:r>
        <w:rPr>
          <w:rFonts w:ascii="Times New Roman;serif" w:hAnsi="Times New Roman;serif"/>
          <w:b w:val="false"/>
          <w:strike/>
          <w:color w:val="FF0000"/>
          <w:sz w:val="22"/>
        </w:rPr>
        <w:t>90</w:t>
      </w:r>
      <w:r>
        <w:rPr>
          <w:rFonts w:ascii="Times New Roman;serif" w:hAnsi="Times New Roman;serif"/>
          <w:b w:val="false"/>
          <w:color w:val="0000FF"/>
          <w:sz w:val="22"/>
          <w:u w:val="single"/>
        </w:rPr>
        <w:t>92</w:t>
      </w:r>
    </w:p>
    <w:p>
      <w:pPr>
        <w:pStyle w:val="TextBody"/>
        <w:bidi w:val="0"/>
        <w:spacing w:lineRule="auto" w:line="288" w:before="0" w:after="0"/>
        <w:ind w:left="0" w:right="0" w:hanging="965"/>
        <w:jc w:val="left"/>
        <w:rPr/>
      </w:pPr>
      <w:r>
        <w:rPr>
          <w:rFonts w:ascii="Times New Roman;serif" w:hAnsi="Times New Roman;serif"/>
          <w:b w:val="false"/>
          <w:color w:val="000000"/>
          <w:sz w:val="22"/>
        </w:rPr>
        <w:t>6.5.</w:t>
      </w:r>
      <w:r>
        <w:rPr>
          <w:color w:val="000000"/>
        </w:rPr>
        <w:t>    </w:t>
      </w:r>
      <w:r>
        <w:rPr>
          <w:rFonts w:ascii="Times New Roman;serif" w:hAnsi="Times New Roman;serif"/>
          <w:b w:val="false"/>
          <w:color w:val="000000"/>
          <w:sz w:val="22"/>
        </w:rPr>
        <w:t>Maintenance of Property; Insurance    </w:t>
      </w:r>
      <w:r>
        <w:rPr>
          <w:rFonts w:ascii="Times New Roman;serif" w:hAnsi="Times New Roman;serif"/>
          <w:b w:val="false"/>
          <w:strike/>
          <w:color w:val="FF0000"/>
          <w:sz w:val="22"/>
        </w:rPr>
        <w:t>91</w:t>
      </w:r>
      <w:r>
        <w:rPr>
          <w:rFonts w:ascii="Times New Roman;serif" w:hAnsi="Times New Roman;serif"/>
          <w:b w:val="false"/>
          <w:color w:val="0000FF"/>
          <w:sz w:val="22"/>
          <w:u w:val="single"/>
        </w:rPr>
        <w:t>93</w:t>
      </w:r>
    </w:p>
    <w:p>
      <w:pPr>
        <w:pStyle w:val="TextBody"/>
        <w:bidi w:val="0"/>
        <w:spacing w:lineRule="auto" w:line="288" w:before="0" w:after="0"/>
        <w:ind w:left="0" w:right="0" w:hanging="965"/>
        <w:jc w:val="left"/>
        <w:rPr/>
      </w:pPr>
      <w:r>
        <w:rPr>
          <w:rFonts w:ascii="Times New Roman;serif" w:hAnsi="Times New Roman;serif"/>
          <w:b w:val="false"/>
          <w:color w:val="000000"/>
          <w:sz w:val="22"/>
        </w:rPr>
        <w:t>6.6.</w:t>
      </w:r>
      <w:r>
        <w:rPr>
          <w:color w:val="000000"/>
        </w:rPr>
        <w:t>    </w:t>
      </w:r>
      <w:r>
        <w:rPr>
          <w:rFonts w:ascii="Times New Roman;serif" w:hAnsi="Times New Roman;serif"/>
          <w:b w:val="false"/>
          <w:color w:val="000000"/>
          <w:sz w:val="22"/>
        </w:rPr>
        <w:t>Inspection of Property; Books and Records; Discussions    </w:t>
      </w:r>
      <w:r>
        <w:rPr>
          <w:rFonts w:ascii="Times New Roman;serif" w:hAnsi="Times New Roman;serif"/>
          <w:b w:val="false"/>
          <w:strike/>
          <w:color w:val="FF0000"/>
          <w:sz w:val="22"/>
        </w:rPr>
        <w:t>91</w:t>
      </w:r>
      <w:r>
        <w:rPr>
          <w:rFonts w:ascii="Times New Roman;serif" w:hAnsi="Times New Roman;serif"/>
          <w:b w:val="false"/>
          <w:color w:val="0000FF"/>
          <w:sz w:val="22"/>
          <w:u w:val="single"/>
        </w:rPr>
        <w:t>93</w:t>
      </w:r>
    </w:p>
    <w:p>
      <w:pPr>
        <w:pStyle w:val="TextBody"/>
        <w:bidi w:val="0"/>
        <w:spacing w:lineRule="auto" w:line="288" w:before="0" w:after="0"/>
        <w:ind w:left="0" w:right="0" w:hanging="965"/>
        <w:jc w:val="left"/>
        <w:rPr/>
      </w:pPr>
      <w:r>
        <w:rPr>
          <w:rFonts w:ascii="Times New Roman;serif" w:hAnsi="Times New Roman;serif"/>
          <w:b w:val="false"/>
          <w:color w:val="000000"/>
          <w:sz w:val="22"/>
        </w:rPr>
        <w:t>6.7.</w:t>
      </w:r>
      <w:r>
        <w:rPr>
          <w:color w:val="000000"/>
        </w:rPr>
        <w:t>    </w:t>
      </w:r>
      <w:r>
        <w:rPr>
          <w:rFonts w:ascii="Times New Roman;serif" w:hAnsi="Times New Roman;serif"/>
          <w:b w:val="false"/>
          <w:color w:val="000000"/>
          <w:sz w:val="22"/>
        </w:rPr>
        <w:t>Notices    </w:t>
      </w:r>
      <w:r>
        <w:rPr>
          <w:rFonts w:ascii="Times New Roman;serif" w:hAnsi="Times New Roman;serif"/>
          <w:b w:val="false"/>
          <w:strike/>
          <w:color w:val="FF0000"/>
          <w:sz w:val="22"/>
        </w:rPr>
        <w:t>91</w:t>
      </w:r>
      <w:r>
        <w:rPr>
          <w:rFonts w:ascii="Times New Roman;serif" w:hAnsi="Times New Roman;serif"/>
          <w:b w:val="false"/>
          <w:color w:val="0000FF"/>
          <w:sz w:val="22"/>
          <w:u w:val="single"/>
        </w:rPr>
        <w:t>93</w:t>
      </w:r>
    </w:p>
    <w:p>
      <w:pPr>
        <w:pStyle w:val="TextBody"/>
        <w:bidi w:val="0"/>
        <w:spacing w:lineRule="auto" w:line="288" w:before="0" w:after="0"/>
        <w:ind w:left="0" w:right="0" w:hanging="965"/>
        <w:jc w:val="left"/>
        <w:rPr/>
      </w:pPr>
      <w:r>
        <w:rPr>
          <w:rFonts w:ascii="Times New Roman;serif" w:hAnsi="Times New Roman;serif"/>
          <w:b w:val="false"/>
          <w:color w:val="000000"/>
          <w:sz w:val="22"/>
        </w:rPr>
        <w:t>6.8.</w:t>
      </w:r>
      <w:r>
        <w:rPr>
          <w:color w:val="000000"/>
        </w:rPr>
        <w:t>    </w:t>
      </w:r>
      <w:r>
        <w:rPr>
          <w:rFonts w:ascii="Times New Roman;serif" w:hAnsi="Times New Roman;serif"/>
          <w:b w:val="false"/>
          <w:color w:val="000000"/>
          <w:sz w:val="22"/>
        </w:rPr>
        <w:t>Environmental Laws    </w:t>
      </w:r>
      <w:r>
        <w:rPr>
          <w:rFonts w:ascii="Times New Roman;serif" w:hAnsi="Times New Roman;serif"/>
          <w:b w:val="false"/>
          <w:strike/>
          <w:color w:val="FF0000"/>
          <w:sz w:val="22"/>
        </w:rPr>
        <w:t>92</w:t>
      </w:r>
      <w:r>
        <w:rPr>
          <w:rFonts w:ascii="Times New Roman;serif" w:hAnsi="Times New Roman;serif"/>
          <w:b w:val="false"/>
          <w:color w:val="0000FF"/>
          <w:sz w:val="22"/>
          <w:u w:val="single"/>
        </w:rPr>
        <w:t>94</w:t>
      </w:r>
    </w:p>
    <w:p>
      <w:pPr>
        <w:pStyle w:val="TextBody"/>
        <w:bidi w:val="0"/>
        <w:spacing w:lineRule="auto" w:line="288" w:before="0" w:after="0"/>
        <w:ind w:left="0" w:right="0" w:hanging="965"/>
        <w:jc w:val="left"/>
        <w:rPr/>
      </w:pPr>
      <w:r>
        <w:rPr>
          <w:rFonts w:ascii="Times New Roman;serif" w:hAnsi="Times New Roman;serif"/>
          <w:b w:val="false"/>
          <w:color w:val="000000"/>
          <w:sz w:val="22"/>
        </w:rPr>
        <w:t>6.9.</w:t>
      </w:r>
      <w:r>
        <w:rPr>
          <w:color w:val="000000"/>
        </w:rPr>
        <w:t>    </w:t>
      </w:r>
      <w:r>
        <w:rPr>
          <w:rFonts w:ascii="Times New Roman;serif" w:hAnsi="Times New Roman;serif"/>
          <w:b w:val="false"/>
          <w:color w:val="000000"/>
          <w:sz w:val="22"/>
        </w:rPr>
        <w:t>Additional Collateral, etc.    </w:t>
      </w:r>
      <w:r>
        <w:rPr>
          <w:rFonts w:ascii="Times New Roman;serif" w:hAnsi="Times New Roman;serif"/>
          <w:b w:val="false"/>
          <w:strike/>
          <w:color w:val="FF0000"/>
          <w:sz w:val="22"/>
        </w:rPr>
        <w:t>92</w:t>
      </w:r>
      <w:r>
        <w:rPr>
          <w:rFonts w:ascii="Times New Roman;serif" w:hAnsi="Times New Roman;serif"/>
          <w:b w:val="false"/>
          <w:color w:val="0000FF"/>
          <w:sz w:val="22"/>
          <w:u w:val="single"/>
        </w:rPr>
        <w:t>94</w:t>
      </w:r>
    </w:p>
    <w:p>
      <w:pPr>
        <w:pStyle w:val="TextBody"/>
        <w:bidi w:val="0"/>
        <w:spacing w:lineRule="auto" w:line="288" w:before="0" w:after="0"/>
        <w:ind w:left="0" w:right="0" w:hanging="965"/>
        <w:jc w:val="left"/>
        <w:rPr/>
      </w:pPr>
      <w:r>
        <w:rPr>
          <w:rFonts w:ascii="Times New Roman;serif" w:hAnsi="Times New Roman;serif"/>
          <w:b w:val="false"/>
          <w:color w:val="000000"/>
          <w:sz w:val="22"/>
        </w:rPr>
        <w:t>6.10.</w:t>
      </w:r>
      <w:r>
        <w:rPr>
          <w:color w:val="000000"/>
        </w:rPr>
        <w:t>    </w:t>
      </w:r>
      <w:r>
        <w:rPr>
          <w:rFonts w:ascii="Times New Roman;serif" w:hAnsi="Times New Roman;serif"/>
          <w:b w:val="false"/>
          <w:color w:val="000000"/>
          <w:sz w:val="22"/>
        </w:rPr>
        <w:t>Designation of Subsidiaries    </w:t>
      </w:r>
      <w:r>
        <w:rPr>
          <w:rFonts w:ascii="Times New Roman;serif" w:hAnsi="Times New Roman;serif"/>
          <w:b w:val="false"/>
          <w:strike/>
          <w:color w:val="FF0000"/>
          <w:sz w:val="22"/>
        </w:rPr>
        <w:t>94</w:t>
      </w:r>
      <w:r>
        <w:rPr>
          <w:rFonts w:ascii="Times New Roman;serif" w:hAnsi="Times New Roman;serif"/>
          <w:b w:val="false"/>
          <w:color w:val="0000FF"/>
          <w:sz w:val="22"/>
          <w:u w:val="single"/>
        </w:rPr>
        <w:t>96</w:t>
      </w:r>
    </w:p>
    <w:p>
      <w:pPr>
        <w:pStyle w:val="TextBody"/>
        <w:bidi w:val="0"/>
        <w:spacing w:lineRule="auto" w:line="288" w:before="0" w:after="0"/>
        <w:ind w:left="0" w:right="0" w:hanging="965"/>
        <w:jc w:val="left"/>
        <w:rPr/>
      </w:pPr>
      <w:r>
        <w:rPr>
          <w:rFonts w:ascii="Times New Roman;serif" w:hAnsi="Times New Roman;serif"/>
          <w:b w:val="false"/>
          <w:color w:val="000000"/>
          <w:sz w:val="22"/>
        </w:rPr>
        <w:t>6.11.</w:t>
      </w:r>
      <w:r>
        <w:rPr>
          <w:color w:val="000000"/>
        </w:rPr>
        <w:t>    </w:t>
      </w:r>
      <w:r>
        <w:rPr>
          <w:rFonts w:ascii="Times New Roman;serif" w:hAnsi="Times New Roman;serif"/>
          <w:b w:val="false"/>
          <w:color w:val="000000"/>
          <w:sz w:val="22"/>
        </w:rPr>
        <w:t>Post-Closing Real Estate Deliverables    </w:t>
      </w:r>
      <w:r>
        <w:rPr>
          <w:rFonts w:ascii="Times New Roman;serif" w:hAnsi="Times New Roman;serif"/>
          <w:b w:val="false"/>
          <w:strike/>
          <w:color w:val="FF0000"/>
          <w:sz w:val="22"/>
        </w:rPr>
        <w:t>94</w:t>
      </w:r>
      <w:r>
        <w:rPr>
          <w:rFonts w:ascii="Times New Roman;serif" w:hAnsi="Times New Roman;serif"/>
          <w:b w:val="false"/>
          <w:color w:val="0000FF"/>
          <w:sz w:val="22"/>
          <w:u w:val="single"/>
        </w:rPr>
        <w:t>96</w:t>
      </w:r>
    </w:p>
    <w:p>
      <w:pPr>
        <w:pStyle w:val="TextBody"/>
        <w:bidi w:val="0"/>
        <w:spacing w:lineRule="auto" w:line="288" w:before="0" w:after="0"/>
        <w:ind w:left="0" w:right="0" w:hanging="965"/>
        <w:jc w:val="left"/>
        <w:rPr/>
      </w:pPr>
      <w:r>
        <w:rPr>
          <w:rFonts w:ascii="Times New Roman;serif" w:hAnsi="Times New Roman;serif"/>
          <w:b w:val="false"/>
          <w:color w:val="000000"/>
          <w:sz w:val="22"/>
        </w:rPr>
        <w:t>6.12.</w:t>
      </w:r>
      <w:r>
        <w:rPr>
          <w:color w:val="000000"/>
        </w:rPr>
        <w:t>    </w:t>
      </w:r>
      <w:r>
        <w:rPr>
          <w:rFonts w:ascii="Times New Roman;serif" w:hAnsi="Times New Roman;serif"/>
          <w:b w:val="false"/>
          <w:color w:val="000000"/>
          <w:sz w:val="22"/>
        </w:rPr>
        <w:t>Post-Closing Obligations    </w:t>
      </w:r>
      <w:r>
        <w:rPr>
          <w:rFonts w:ascii="Times New Roman;serif" w:hAnsi="Times New Roman;serif"/>
          <w:b w:val="false"/>
          <w:strike/>
          <w:color w:val="FF0000"/>
          <w:sz w:val="22"/>
        </w:rPr>
        <w:t>96</w:t>
      </w:r>
      <w:r>
        <w:rPr>
          <w:rFonts w:ascii="Times New Roman;serif" w:hAnsi="Times New Roman;serif"/>
          <w:b w:val="false"/>
          <w:color w:val="0000FF"/>
          <w:sz w:val="22"/>
          <w:u w:val="single"/>
        </w:rPr>
        <w:t>98</w:t>
      </w:r>
    </w:p>
    <w:p>
      <w:pPr>
        <w:pStyle w:val="TextBody"/>
        <w:bidi w:val="0"/>
        <w:spacing w:lineRule="auto" w:line="288" w:before="0" w:after="0"/>
        <w:ind w:left="0" w:right="0" w:hanging="965"/>
        <w:jc w:val="left"/>
        <w:rPr/>
      </w:pPr>
      <w:r>
        <w:rPr>
          <w:rFonts w:ascii="Times New Roman;serif" w:hAnsi="Times New Roman;serif"/>
          <w:b w:val="false"/>
          <w:color w:val="000000"/>
          <w:sz w:val="22"/>
        </w:rPr>
        <w:t>6.13.</w:t>
      </w:r>
      <w:r>
        <w:rPr>
          <w:color w:val="000000"/>
        </w:rPr>
        <w:t>    </w:t>
      </w:r>
      <w:r>
        <w:rPr>
          <w:rFonts w:ascii="Times New Roman;serif" w:hAnsi="Times New Roman;serif"/>
          <w:b w:val="false"/>
          <w:color w:val="000000"/>
          <w:sz w:val="22"/>
        </w:rPr>
        <w:t>Holding Company Reorganization    </w:t>
      </w:r>
      <w:r>
        <w:rPr>
          <w:rFonts w:ascii="Times New Roman;serif" w:hAnsi="Times New Roman;serif"/>
          <w:b w:val="false"/>
          <w:strike/>
          <w:color w:val="FF0000"/>
          <w:sz w:val="22"/>
        </w:rPr>
        <w:t>96</w:t>
      </w:r>
      <w:r>
        <w:rPr>
          <w:rFonts w:ascii="Times New Roman;serif" w:hAnsi="Times New Roman;serif"/>
          <w:b w:val="false"/>
          <w:color w:val="0000FF"/>
          <w:sz w:val="22"/>
          <w:u w:val="single"/>
        </w:rPr>
        <w:t>98</w:t>
      </w:r>
    </w:p>
    <w:p>
      <w:pPr>
        <w:pStyle w:val="TextBody"/>
        <w:bidi w:val="0"/>
        <w:spacing w:lineRule="auto" w:line="288" w:before="240" w:after="240"/>
        <w:jc w:val="left"/>
        <w:rPr/>
      </w:pPr>
      <w:r>
        <w:rPr>
          <w:rFonts w:ascii="Times New Roman;serif" w:hAnsi="Times New Roman;serif"/>
          <w:b w:val="false"/>
          <w:color w:val="010000"/>
          <w:sz w:val="22"/>
        </w:rPr>
        <w:t>SECTION 7.</w:t>
      </w:r>
      <w:r>
        <w:rPr>
          <w:color w:val="000000"/>
        </w:rPr>
        <w:t>    </w:t>
      </w:r>
      <w:r>
        <w:rPr>
          <w:rFonts w:ascii="Times New Roman;serif" w:hAnsi="Times New Roman;serif"/>
          <w:b w:val="false"/>
          <w:color w:val="000000"/>
          <w:sz w:val="22"/>
        </w:rPr>
        <w:t>NEGATIVE COVENANTS    </w:t>
      </w:r>
      <w:r>
        <w:rPr>
          <w:rFonts w:ascii="Times New Roman;serif" w:hAnsi="Times New Roman;serif"/>
          <w:b w:val="false"/>
          <w:strike/>
          <w:color w:val="FF0000"/>
          <w:sz w:val="22"/>
        </w:rPr>
        <w:t>96</w:t>
      </w:r>
      <w:r>
        <w:rPr>
          <w:rFonts w:ascii="Times New Roman;serif" w:hAnsi="Times New Roman;serif"/>
          <w:b w:val="false"/>
          <w:color w:val="0000FF"/>
          <w:sz w:val="22"/>
          <w:u w:val="single"/>
        </w:rPr>
        <w:t>98</w:t>
      </w:r>
    </w:p>
    <w:p>
      <w:pPr>
        <w:pStyle w:val="TextBody"/>
        <w:bidi w:val="0"/>
        <w:spacing w:lineRule="auto" w:line="288" w:before="0" w:after="0"/>
        <w:ind w:left="0" w:right="0" w:hanging="965"/>
        <w:jc w:val="left"/>
        <w:rPr/>
      </w:pPr>
      <w:r>
        <w:rPr>
          <w:rFonts w:ascii="Times New Roman;serif" w:hAnsi="Times New Roman;serif"/>
          <w:b w:val="false"/>
          <w:color w:val="000000"/>
          <w:sz w:val="22"/>
        </w:rPr>
        <w:t>7.1.</w:t>
      </w:r>
      <w:r>
        <w:rPr>
          <w:color w:val="000000"/>
        </w:rPr>
        <w:t>    </w:t>
      </w:r>
      <w:r>
        <w:rPr>
          <w:rFonts w:ascii="Times New Roman;serif" w:hAnsi="Times New Roman;serif"/>
          <w:b w:val="false"/>
          <w:color w:val="000000"/>
          <w:sz w:val="22"/>
        </w:rPr>
        <w:t>Financial Covenant    </w:t>
      </w:r>
      <w:r>
        <w:rPr>
          <w:rFonts w:ascii="Times New Roman;serif" w:hAnsi="Times New Roman;serif"/>
          <w:b w:val="false"/>
          <w:strike/>
          <w:color w:val="FF0000"/>
          <w:sz w:val="22"/>
        </w:rPr>
        <w:t>96</w:t>
      </w:r>
      <w:r>
        <w:rPr>
          <w:rFonts w:ascii="Times New Roman;serif" w:hAnsi="Times New Roman;serif"/>
          <w:b w:val="false"/>
          <w:color w:val="0000FF"/>
          <w:sz w:val="22"/>
          <w:u w:val="single"/>
        </w:rPr>
        <w:t>98</w:t>
      </w:r>
    </w:p>
    <w:p>
      <w:pPr>
        <w:pStyle w:val="TextBody"/>
        <w:bidi w:val="0"/>
        <w:spacing w:lineRule="auto" w:line="288"/>
        <w:ind w:left="0" w:right="0" w:hanging="965"/>
        <w:jc w:val="left"/>
        <w:rPr/>
      </w:pPr>
      <w:r>
        <w:rPr>
          <w:rFonts w:ascii="Times New Roman;serif" w:hAnsi="Times New Roman;serif"/>
          <w:b w:val="false"/>
          <w:color w:val="000000"/>
          <w:sz w:val="22"/>
        </w:rPr>
        <w:t>7.2.</w:t>
      </w:r>
      <w:r>
        <w:rPr>
          <w:color w:val="000000"/>
        </w:rPr>
        <w:t>    </w:t>
      </w:r>
      <w:r>
        <w:rPr>
          <w:rFonts w:ascii="Times New Roman;serif" w:hAnsi="Times New Roman;serif"/>
          <w:b w:val="false"/>
          <w:color w:val="000000"/>
          <w:sz w:val="22"/>
        </w:rPr>
        <w:t>Indebtedness    </w:t>
      </w:r>
      <w:r>
        <w:rPr>
          <w:rFonts w:ascii="Times New Roman;serif" w:hAnsi="Times New Roman;serif"/>
          <w:b w:val="false"/>
          <w:strike/>
          <w:color w:val="FF0000"/>
          <w:sz w:val="22"/>
        </w:rPr>
        <w:t>97</w:t>
      </w:r>
      <w:r>
        <w:rPr>
          <w:rFonts w:ascii="Times New Roman;serif" w:hAnsi="Times New Roman;serif"/>
          <w:b w:val="false"/>
          <w:color w:val="0000FF"/>
          <w:sz w:val="22"/>
          <w:u w:val="single"/>
        </w:rPr>
        <w:t>99</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p>
      <w:pPr>
        <w:pStyle w:val="TextBody"/>
        <w:bidi w:val="0"/>
        <w:spacing w:lineRule="auto" w:line="288" w:before="0" w:after="0"/>
        <w:ind w:left="0" w:right="0" w:hanging="965"/>
        <w:jc w:val="left"/>
        <w:rPr/>
      </w:pPr>
      <w:r>
        <w:rPr>
          <w:rFonts w:ascii="Times New Roman;serif" w:hAnsi="Times New Roman;serif"/>
          <w:b w:val="false"/>
          <w:color w:val="000000"/>
          <w:sz w:val="22"/>
        </w:rPr>
        <w:t>7.3.</w:t>
      </w:r>
      <w:r>
        <w:rPr>
          <w:color w:val="000000"/>
        </w:rPr>
        <w:t>    </w:t>
      </w:r>
      <w:r>
        <w:rPr>
          <w:rFonts w:ascii="Times New Roman;serif" w:hAnsi="Times New Roman;serif"/>
          <w:b w:val="false"/>
          <w:color w:val="000000"/>
          <w:sz w:val="22"/>
        </w:rPr>
        <w:t>Liens    </w:t>
      </w:r>
      <w:r>
        <w:rPr>
          <w:rFonts w:ascii="Times New Roman;serif" w:hAnsi="Times New Roman;serif"/>
          <w:b w:val="false"/>
          <w:strike/>
          <w:color w:val="FF0000"/>
          <w:sz w:val="22"/>
        </w:rPr>
        <w:t>100</w:t>
      </w:r>
      <w:r>
        <w:rPr>
          <w:rFonts w:ascii="Times New Roman;serif" w:hAnsi="Times New Roman;serif"/>
          <w:b w:val="false"/>
          <w:color w:val="0000FF"/>
          <w:sz w:val="22"/>
          <w:u w:val="single"/>
        </w:rPr>
        <w:t>102</w:t>
      </w:r>
    </w:p>
    <w:p>
      <w:pPr>
        <w:pStyle w:val="TextBody"/>
        <w:bidi w:val="0"/>
        <w:spacing w:lineRule="auto" w:line="288" w:before="0" w:after="0"/>
        <w:ind w:left="0" w:right="0" w:hanging="965"/>
        <w:jc w:val="left"/>
        <w:rPr/>
      </w:pPr>
      <w:r>
        <w:rPr>
          <w:rFonts w:ascii="Times New Roman;serif" w:hAnsi="Times New Roman;serif"/>
          <w:b w:val="false"/>
          <w:color w:val="000000"/>
          <w:sz w:val="22"/>
        </w:rPr>
        <w:t>7.4.</w:t>
      </w:r>
      <w:r>
        <w:rPr>
          <w:color w:val="000000"/>
        </w:rPr>
        <w:t>    </w:t>
      </w:r>
      <w:r>
        <w:rPr>
          <w:rFonts w:ascii="Times New Roman;serif" w:hAnsi="Times New Roman;serif"/>
          <w:b w:val="false"/>
          <w:color w:val="000000"/>
          <w:sz w:val="22"/>
        </w:rPr>
        <w:t>Fundamental Changes    </w:t>
      </w:r>
      <w:r>
        <w:rPr>
          <w:rFonts w:ascii="Times New Roman;serif" w:hAnsi="Times New Roman;serif"/>
          <w:b w:val="false"/>
          <w:strike/>
          <w:color w:val="FF0000"/>
          <w:sz w:val="22"/>
        </w:rPr>
        <w:t>104</w:t>
      </w:r>
      <w:r>
        <w:rPr>
          <w:rFonts w:ascii="Times New Roman;serif" w:hAnsi="Times New Roman;serif"/>
          <w:b w:val="false"/>
          <w:color w:val="0000FF"/>
          <w:sz w:val="22"/>
          <w:u w:val="single"/>
        </w:rPr>
        <w:t>106</w:t>
      </w:r>
    </w:p>
    <w:p>
      <w:pPr>
        <w:pStyle w:val="TextBody"/>
        <w:bidi w:val="0"/>
        <w:spacing w:lineRule="auto" w:line="288" w:before="0" w:after="0"/>
        <w:ind w:left="0" w:right="0" w:hanging="965"/>
        <w:jc w:val="left"/>
        <w:rPr/>
      </w:pPr>
      <w:r>
        <w:rPr>
          <w:rFonts w:ascii="Times New Roman;serif" w:hAnsi="Times New Roman;serif"/>
          <w:b w:val="false"/>
          <w:color w:val="000000"/>
          <w:sz w:val="22"/>
        </w:rPr>
        <w:t>7.5.</w:t>
      </w:r>
      <w:r>
        <w:rPr>
          <w:color w:val="000000"/>
        </w:rPr>
        <w:t>    </w:t>
      </w:r>
      <w:r>
        <w:rPr>
          <w:rFonts w:ascii="Times New Roman;serif" w:hAnsi="Times New Roman;serif"/>
          <w:b w:val="false"/>
          <w:color w:val="000000"/>
          <w:sz w:val="22"/>
        </w:rPr>
        <w:t>Disposition of Property    </w:t>
      </w:r>
      <w:r>
        <w:rPr>
          <w:rFonts w:ascii="Times New Roman;serif" w:hAnsi="Times New Roman;serif"/>
          <w:b w:val="false"/>
          <w:strike/>
          <w:color w:val="FF0000"/>
          <w:sz w:val="22"/>
        </w:rPr>
        <w:t>105</w:t>
      </w:r>
      <w:r>
        <w:rPr>
          <w:rFonts w:ascii="Times New Roman;serif" w:hAnsi="Times New Roman;serif"/>
          <w:b w:val="false"/>
          <w:color w:val="0000FF"/>
          <w:sz w:val="22"/>
          <w:u w:val="single"/>
        </w:rPr>
        <w:t>107</w:t>
      </w:r>
    </w:p>
    <w:p>
      <w:pPr>
        <w:pStyle w:val="TextBody"/>
        <w:bidi w:val="0"/>
        <w:spacing w:lineRule="auto" w:line="288" w:before="0" w:after="0"/>
        <w:ind w:left="0" w:right="0" w:hanging="965"/>
        <w:jc w:val="left"/>
        <w:rPr/>
      </w:pPr>
      <w:r>
        <w:rPr>
          <w:rFonts w:ascii="Times New Roman;serif" w:hAnsi="Times New Roman;serif"/>
          <w:b w:val="false"/>
          <w:color w:val="000000"/>
          <w:sz w:val="22"/>
        </w:rPr>
        <w:t>7.6.</w:t>
      </w:r>
      <w:r>
        <w:rPr>
          <w:color w:val="000000"/>
        </w:rPr>
        <w:t>    </w:t>
      </w:r>
      <w:r>
        <w:rPr>
          <w:rFonts w:ascii="Times New Roman;serif" w:hAnsi="Times New Roman;serif"/>
          <w:b w:val="false"/>
          <w:color w:val="000000"/>
          <w:sz w:val="22"/>
        </w:rPr>
        <w:t>Restricted Payments    </w:t>
      </w:r>
      <w:r>
        <w:rPr>
          <w:rFonts w:ascii="Times New Roman;serif" w:hAnsi="Times New Roman;serif"/>
          <w:b w:val="false"/>
          <w:strike/>
          <w:color w:val="FF0000"/>
          <w:sz w:val="22"/>
        </w:rPr>
        <w:t>108</w:t>
      </w:r>
      <w:r>
        <w:rPr>
          <w:rFonts w:ascii="Times New Roman;serif" w:hAnsi="Times New Roman;serif"/>
          <w:b w:val="false"/>
          <w:color w:val="0000FF"/>
          <w:sz w:val="22"/>
          <w:u w:val="single"/>
        </w:rPr>
        <w:t>110</w:t>
      </w:r>
    </w:p>
    <w:p>
      <w:pPr>
        <w:pStyle w:val="TextBody"/>
        <w:bidi w:val="0"/>
        <w:spacing w:lineRule="auto" w:line="288" w:before="0" w:after="0"/>
        <w:ind w:left="0" w:right="0" w:hanging="965"/>
        <w:jc w:val="left"/>
        <w:rPr/>
      </w:pPr>
      <w:r>
        <w:rPr>
          <w:rFonts w:ascii="Times New Roman;serif" w:hAnsi="Times New Roman;serif"/>
          <w:b w:val="false"/>
          <w:color w:val="000000"/>
          <w:sz w:val="22"/>
        </w:rPr>
        <w:t>7.7.</w:t>
      </w:r>
      <w:r>
        <w:rPr>
          <w:color w:val="000000"/>
        </w:rPr>
        <w:t>    </w:t>
      </w:r>
      <w:r>
        <w:rPr>
          <w:rFonts w:ascii="Times New Roman;serif" w:hAnsi="Times New Roman;serif"/>
          <w:b w:val="false"/>
          <w:color w:val="000000"/>
          <w:sz w:val="22"/>
        </w:rPr>
        <w:t>Investments    </w:t>
      </w:r>
      <w:r>
        <w:rPr>
          <w:rFonts w:ascii="Times New Roman;serif" w:hAnsi="Times New Roman;serif"/>
          <w:b w:val="false"/>
          <w:strike/>
          <w:color w:val="FF0000"/>
          <w:sz w:val="22"/>
        </w:rPr>
        <w:t>109</w:t>
      </w:r>
      <w:r>
        <w:rPr>
          <w:rFonts w:ascii="Times New Roman;serif" w:hAnsi="Times New Roman;serif"/>
          <w:b w:val="false"/>
          <w:color w:val="0000FF"/>
          <w:sz w:val="22"/>
          <w:u w:val="single"/>
        </w:rPr>
        <w:t>111</w:t>
      </w:r>
    </w:p>
    <w:p>
      <w:pPr>
        <w:pStyle w:val="TextBody"/>
        <w:bidi w:val="0"/>
        <w:spacing w:lineRule="auto" w:line="288" w:before="0" w:after="0"/>
        <w:ind w:left="0" w:right="0" w:hanging="965"/>
        <w:jc w:val="left"/>
        <w:rPr/>
      </w:pPr>
      <w:r>
        <w:rPr>
          <w:rFonts w:ascii="Times New Roman;serif" w:hAnsi="Times New Roman;serif"/>
          <w:b w:val="false"/>
          <w:color w:val="000000"/>
          <w:sz w:val="22"/>
        </w:rPr>
        <w:t>7.8.</w:t>
      </w:r>
      <w:r>
        <w:rPr>
          <w:color w:val="000000"/>
        </w:rPr>
        <w:t>    </w:t>
      </w:r>
      <w:r>
        <w:rPr>
          <w:rFonts w:ascii="Times New Roman;serif" w:hAnsi="Times New Roman;serif"/>
          <w:b w:val="false"/>
          <w:color w:val="000000"/>
          <w:sz w:val="22"/>
        </w:rPr>
        <w:t>Transactions with Affiliates    </w:t>
      </w:r>
      <w:r>
        <w:rPr>
          <w:rFonts w:ascii="Times New Roman;serif" w:hAnsi="Times New Roman;serif"/>
          <w:b w:val="false"/>
          <w:strike/>
          <w:color w:val="FF0000"/>
          <w:sz w:val="22"/>
        </w:rPr>
        <w:t>114</w:t>
      </w:r>
      <w:r>
        <w:rPr>
          <w:rFonts w:ascii="Times New Roman;serif" w:hAnsi="Times New Roman;serif"/>
          <w:b w:val="false"/>
          <w:color w:val="0000FF"/>
          <w:sz w:val="22"/>
          <w:u w:val="single"/>
        </w:rPr>
        <w:t>115</w:t>
      </w:r>
    </w:p>
    <w:p>
      <w:pPr>
        <w:pStyle w:val="TextBody"/>
        <w:bidi w:val="0"/>
        <w:spacing w:lineRule="auto" w:line="288" w:before="0" w:after="0"/>
        <w:ind w:left="0" w:right="0" w:hanging="965"/>
        <w:jc w:val="left"/>
        <w:rPr/>
      </w:pPr>
      <w:r>
        <w:rPr>
          <w:rFonts w:ascii="Times New Roman;serif" w:hAnsi="Times New Roman;serif"/>
          <w:b w:val="false"/>
          <w:color w:val="000000"/>
          <w:sz w:val="22"/>
        </w:rPr>
        <w:t>7.9.</w:t>
      </w:r>
      <w:r>
        <w:rPr>
          <w:color w:val="000000"/>
        </w:rPr>
        <w:t>    </w:t>
      </w:r>
      <w:r>
        <w:rPr>
          <w:rFonts w:ascii="Times New Roman;serif" w:hAnsi="Times New Roman;serif"/>
          <w:b w:val="false"/>
          <w:color w:val="000000"/>
          <w:sz w:val="22"/>
        </w:rPr>
        <w:t>Sales and Leasebacks    </w:t>
      </w:r>
      <w:r>
        <w:rPr>
          <w:rFonts w:ascii="Times New Roman;serif" w:hAnsi="Times New Roman;serif"/>
          <w:b w:val="false"/>
          <w:strike/>
          <w:color w:val="FF0000"/>
          <w:sz w:val="22"/>
        </w:rPr>
        <w:t>115</w:t>
      </w:r>
      <w:r>
        <w:rPr>
          <w:rFonts w:ascii="Times New Roman;serif" w:hAnsi="Times New Roman;serif"/>
          <w:b w:val="false"/>
          <w:color w:val="0000FF"/>
          <w:sz w:val="22"/>
          <w:u w:val="single"/>
        </w:rPr>
        <w:t>117</w:t>
      </w:r>
    </w:p>
    <w:p>
      <w:pPr>
        <w:pStyle w:val="TextBody"/>
        <w:bidi w:val="0"/>
        <w:spacing w:lineRule="auto" w:line="288" w:before="0" w:after="0"/>
        <w:ind w:left="0" w:right="0" w:hanging="965"/>
        <w:jc w:val="left"/>
        <w:rPr/>
      </w:pPr>
      <w:r>
        <w:rPr>
          <w:rFonts w:ascii="Times New Roman;serif" w:hAnsi="Times New Roman;serif"/>
          <w:b w:val="false"/>
          <w:color w:val="000000"/>
          <w:sz w:val="22"/>
        </w:rPr>
        <w:t>7.10.</w:t>
      </w:r>
      <w:r>
        <w:rPr>
          <w:color w:val="000000"/>
        </w:rPr>
        <w:t>    </w:t>
      </w:r>
      <w:r>
        <w:rPr>
          <w:rFonts w:ascii="Times New Roman;serif" w:hAnsi="Times New Roman;serif"/>
          <w:b w:val="false"/>
          <w:color w:val="000000"/>
          <w:sz w:val="22"/>
        </w:rPr>
        <w:t>Changes in Fiscal Periods    </w:t>
      </w:r>
      <w:r>
        <w:rPr>
          <w:rFonts w:ascii="Times New Roman;serif" w:hAnsi="Times New Roman;serif"/>
          <w:b w:val="false"/>
          <w:strike/>
          <w:color w:val="FF0000"/>
          <w:sz w:val="22"/>
        </w:rPr>
        <w:t>115</w:t>
      </w:r>
      <w:r>
        <w:rPr>
          <w:rFonts w:ascii="Times New Roman;serif" w:hAnsi="Times New Roman;serif"/>
          <w:b w:val="false"/>
          <w:color w:val="0000FF"/>
          <w:sz w:val="22"/>
          <w:u w:val="single"/>
        </w:rPr>
        <w:t>117</w:t>
      </w:r>
    </w:p>
    <w:p>
      <w:pPr>
        <w:pStyle w:val="TextBody"/>
        <w:bidi w:val="0"/>
        <w:spacing w:lineRule="auto" w:line="288" w:before="0" w:after="0"/>
        <w:ind w:left="0" w:right="0" w:hanging="965"/>
        <w:jc w:val="left"/>
        <w:rPr/>
      </w:pPr>
      <w:r>
        <w:rPr>
          <w:rFonts w:ascii="Times New Roman;serif" w:hAnsi="Times New Roman;serif"/>
          <w:b w:val="false"/>
          <w:color w:val="000000"/>
          <w:sz w:val="22"/>
        </w:rPr>
        <w:t>7.11.</w:t>
      </w:r>
      <w:r>
        <w:rPr>
          <w:color w:val="000000"/>
        </w:rPr>
        <w:t>    </w:t>
      </w:r>
      <w:r>
        <w:rPr>
          <w:rFonts w:ascii="Times New Roman;serif" w:hAnsi="Times New Roman;serif"/>
          <w:b w:val="false"/>
          <w:color w:val="000000"/>
          <w:sz w:val="22"/>
        </w:rPr>
        <w:t>Negative Pledge Clauses    </w:t>
      </w:r>
      <w:r>
        <w:rPr>
          <w:rFonts w:ascii="Times New Roman;serif" w:hAnsi="Times New Roman;serif"/>
          <w:b w:val="false"/>
          <w:strike/>
          <w:color w:val="FF0000"/>
          <w:sz w:val="22"/>
        </w:rPr>
        <w:t>115</w:t>
      </w:r>
      <w:r>
        <w:rPr>
          <w:rFonts w:ascii="Times New Roman;serif" w:hAnsi="Times New Roman;serif"/>
          <w:b w:val="false"/>
          <w:color w:val="0000FF"/>
          <w:sz w:val="22"/>
          <w:u w:val="single"/>
        </w:rPr>
        <w:t>117</w:t>
      </w:r>
    </w:p>
    <w:p>
      <w:pPr>
        <w:pStyle w:val="TextBody"/>
        <w:bidi w:val="0"/>
        <w:spacing w:lineRule="auto" w:line="288" w:before="0" w:after="0"/>
        <w:ind w:left="0" w:right="0" w:hanging="965"/>
        <w:jc w:val="left"/>
        <w:rPr/>
      </w:pPr>
      <w:r>
        <w:rPr>
          <w:rFonts w:ascii="Times New Roman;serif" w:hAnsi="Times New Roman;serif"/>
          <w:b w:val="false"/>
          <w:color w:val="000000"/>
          <w:sz w:val="22"/>
        </w:rPr>
        <w:t>7.12.</w:t>
      </w:r>
      <w:r>
        <w:rPr>
          <w:color w:val="000000"/>
        </w:rPr>
        <w:t>    </w:t>
      </w:r>
      <w:r>
        <w:rPr>
          <w:rFonts w:ascii="Times New Roman;serif" w:hAnsi="Times New Roman;serif"/>
          <w:b w:val="false"/>
          <w:color w:val="000000"/>
          <w:sz w:val="22"/>
        </w:rPr>
        <w:t>Lines of Business    </w:t>
      </w:r>
      <w:r>
        <w:rPr>
          <w:rFonts w:ascii="Times New Roman;serif" w:hAnsi="Times New Roman;serif"/>
          <w:b w:val="false"/>
          <w:strike/>
          <w:color w:val="FF0000"/>
          <w:sz w:val="22"/>
        </w:rPr>
        <w:t>117</w:t>
      </w:r>
      <w:r>
        <w:rPr>
          <w:rFonts w:ascii="Times New Roman;serif" w:hAnsi="Times New Roman;serif"/>
          <w:b w:val="false"/>
          <w:color w:val="0000FF"/>
          <w:sz w:val="22"/>
          <w:u w:val="single"/>
        </w:rPr>
        <w:t>119</w:t>
      </w:r>
    </w:p>
    <w:p>
      <w:pPr>
        <w:pStyle w:val="TextBody"/>
        <w:bidi w:val="0"/>
        <w:spacing w:lineRule="auto" w:line="288" w:before="0" w:after="0"/>
        <w:ind w:left="0" w:right="0" w:hanging="965"/>
        <w:jc w:val="left"/>
        <w:rPr/>
      </w:pPr>
      <w:r>
        <w:rPr>
          <w:rFonts w:ascii="Times New Roman;serif" w:hAnsi="Times New Roman;serif"/>
          <w:b w:val="false"/>
          <w:color w:val="000000"/>
          <w:sz w:val="22"/>
        </w:rPr>
        <w:t>7.13.</w:t>
      </w:r>
      <w:r>
        <w:rPr>
          <w:color w:val="000000"/>
        </w:rPr>
        <w:t>    </w:t>
      </w:r>
      <w:r>
        <w:rPr>
          <w:rFonts w:ascii="Times New Roman;serif" w:hAnsi="Times New Roman;serif"/>
          <w:b w:val="false"/>
          <w:color w:val="000000"/>
          <w:sz w:val="22"/>
        </w:rPr>
        <w:t>Optional Payments and Modifications of Subordinated Indebtedness    </w:t>
      </w:r>
      <w:r>
        <w:rPr>
          <w:rFonts w:ascii="Times New Roman;serif" w:hAnsi="Times New Roman;serif"/>
          <w:b w:val="false"/>
          <w:strike/>
          <w:color w:val="FF0000"/>
          <w:sz w:val="22"/>
        </w:rPr>
        <w:t>117</w:t>
      </w:r>
      <w:r>
        <w:rPr>
          <w:rFonts w:ascii="Times New Roman;serif" w:hAnsi="Times New Roman;serif"/>
          <w:b w:val="false"/>
          <w:color w:val="0000FF"/>
          <w:sz w:val="22"/>
          <w:u w:val="single"/>
        </w:rPr>
        <w:t>119</w:t>
      </w:r>
    </w:p>
    <w:p>
      <w:pPr>
        <w:pStyle w:val="TextBody"/>
        <w:bidi w:val="0"/>
        <w:spacing w:lineRule="auto" w:line="288" w:before="0" w:after="0"/>
        <w:ind w:left="0" w:right="0" w:hanging="965"/>
        <w:jc w:val="left"/>
        <w:rPr/>
      </w:pPr>
      <w:r>
        <w:rPr>
          <w:rFonts w:ascii="Times New Roman;serif" w:hAnsi="Times New Roman;serif"/>
          <w:b w:val="false"/>
          <w:color w:val="000000"/>
          <w:sz w:val="22"/>
        </w:rPr>
        <w:t>7.14.</w:t>
      </w:r>
      <w:r>
        <w:rPr>
          <w:color w:val="000000"/>
        </w:rPr>
        <w:t>    </w:t>
      </w:r>
      <w:r>
        <w:rPr>
          <w:rFonts w:ascii="Times New Roman;serif" w:hAnsi="Times New Roman;serif"/>
          <w:b w:val="false"/>
          <w:color w:val="000000"/>
          <w:sz w:val="22"/>
        </w:rPr>
        <w:t>Use of Proceeds    </w:t>
      </w:r>
      <w:r>
        <w:rPr>
          <w:rFonts w:ascii="Times New Roman;serif" w:hAnsi="Times New Roman;serif"/>
          <w:b w:val="false"/>
          <w:strike/>
          <w:color w:val="FF0000"/>
          <w:sz w:val="22"/>
        </w:rPr>
        <w:t>118</w:t>
      </w:r>
      <w:r>
        <w:rPr>
          <w:rFonts w:ascii="Times New Roman;serif" w:hAnsi="Times New Roman;serif"/>
          <w:b w:val="false"/>
          <w:color w:val="0000FF"/>
          <w:sz w:val="22"/>
          <w:u w:val="single"/>
        </w:rPr>
        <w:t>120</w:t>
      </w:r>
    </w:p>
    <w:p>
      <w:pPr>
        <w:pStyle w:val="TextBody"/>
        <w:bidi w:val="0"/>
        <w:spacing w:lineRule="auto" w:line="288" w:before="240" w:after="240"/>
        <w:jc w:val="left"/>
        <w:rPr/>
      </w:pPr>
      <w:r>
        <w:rPr>
          <w:rFonts w:ascii="Times New Roman;serif" w:hAnsi="Times New Roman;serif"/>
          <w:b w:val="false"/>
          <w:color w:val="010000"/>
          <w:sz w:val="22"/>
        </w:rPr>
        <w:t>SECTION 8.</w:t>
      </w:r>
      <w:r>
        <w:rPr>
          <w:color w:val="000000"/>
        </w:rPr>
        <w:t>    </w:t>
      </w:r>
      <w:r>
        <w:rPr>
          <w:rFonts w:ascii="Times New Roman;serif" w:hAnsi="Times New Roman;serif"/>
          <w:b w:val="false"/>
          <w:color w:val="000000"/>
          <w:sz w:val="22"/>
        </w:rPr>
        <w:t>EVENTS OF DEFAULT    </w:t>
      </w:r>
      <w:r>
        <w:rPr>
          <w:rFonts w:ascii="Times New Roman;serif" w:hAnsi="Times New Roman;serif"/>
          <w:b w:val="false"/>
          <w:strike/>
          <w:color w:val="FF0000"/>
          <w:sz w:val="22"/>
        </w:rPr>
        <w:t>118</w:t>
      </w:r>
      <w:r>
        <w:rPr>
          <w:rFonts w:ascii="Times New Roman;serif" w:hAnsi="Times New Roman;serif"/>
          <w:b w:val="false"/>
          <w:color w:val="0000FF"/>
          <w:sz w:val="22"/>
          <w:u w:val="single"/>
        </w:rPr>
        <w:t>120</w:t>
      </w:r>
    </w:p>
    <w:p>
      <w:pPr>
        <w:pStyle w:val="TextBody"/>
        <w:bidi w:val="0"/>
        <w:spacing w:lineRule="auto" w:line="288" w:before="240" w:after="240"/>
        <w:jc w:val="left"/>
        <w:rPr/>
      </w:pPr>
      <w:r>
        <w:rPr>
          <w:rFonts w:ascii="Times New Roman;serif" w:hAnsi="Times New Roman;serif"/>
          <w:b w:val="false"/>
          <w:color w:val="010000"/>
          <w:sz w:val="22"/>
        </w:rPr>
        <w:t>SECTION 9.</w:t>
      </w:r>
      <w:r>
        <w:rPr>
          <w:color w:val="000000"/>
        </w:rPr>
        <w:t>    </w:t>
      </w:r>
      <w:r>
        <w:rPr>
          <w:rFonts w:ascii="Times New Roman;serif" w:hAnsi="Times New Roman;serif"/>
          <w:b w:val="false"/>
          <w:color w:val="000000"/>
          <w:sz w:val="22"/>
        </w:rPr>
        <w:t>THE AGENTS    </w:t>
      </w:r>
      <w:r>
        <w:rPr>
          <w:rFonts w:ascii="Times New Roman;serif" w:hAnsi="Times New Roman;serif"/>
          <w:b w:val="false"/>
          <w:strike/>
          <w:color w:val="FF0000"/>
          <w:sz w:val="22"/>
        </w:rPr>
        <w:t>121</w:t>
      </w:r>
      <w:r>
        <w:rPr>
          <w:rFonts w:ascii="Times New Roman;serif" w:hAnsi="Times New Roman;serif"/>
          <w:b w:val="false"/>
          <w:color w:val="0000FF"/>
          <w:sz w:val="22"/>
          <w:u w:val="single"/>
        </w:rPr>
        <w:t>123</w:t>
      </w:r>
    </w:p>
    <w:p>
      <w:pPr>
        <w:pStyle w:val="TextBody"/>
        <w:bidi w:val="0"/>
        <w:spacing w:lineRule="auto" w:line="288" w:before="0" w:after="0"/>
        <w:ind w:left="0" w:right="0" w:hanging="965"/>
        <w:jc w:val="left"/>
        <w:rPr/>
      </w:pPr>
      <w:r>
        <w:rPr>
          <w:rFonts w:ascii="Times New Roman;serif" w:hAnsi="Times New Roman;serif"/>
          <w:b w:val="false"/>
          <w:color w:val="000000"/>
          <w:sz w:val="22"/>
        </w:rPr>
        <w:t>9.1.</w:t>
      </w:r>
      <w:r>
        <w:rPr>
          <w:color w:val="000000"/>
        </w:rPr>
        <w:t>    </w:t>
      </w:r>
      <w:r>
        <w:rPr>
          <w:rFonts w:ascii="Times New Roman;serif" w:hAnsi="Times New Roman;serif"/>
          <w:b w:val="false"/>
          <w:color w:val="000000"/>
          <w:sz w:val="22"/>
        </w:rPr>
        <w:t>Appointment    </w:t>
      </w:r>
      <w:r>
        <w:rPr>
          <w:rFonts w:ascii="Times New Roman;serif" w:hAnsi="Times New Roman;serif"/>
          <w:b w:val="false"/>
          <w:strike/>
          <w:color w:val="FF0000"/>
          <w:sz w:val="22"/>
        </w:rPr>
        <w:t>121</w:t>
      </w:r>
      <w:r>
        <w:rPr>
          <w:rFonts w:ascii="Times New Roman;serif" w:hAnsi="Times New Roman;serif"/>
          <w:b w:val="false"/>
          <w:color w:val="0000FF"/>
          <w:sz w:val="22"/>
          <w:u w:val="single"/>
        </w:rPr>
        <w:t>123</w:t>
      </w:r>
    </w:p>
    <w:p>
      <w:pPr>
        <w:pStyle w:val="TextBody"/>
        <w:bidi w:val="0"/>
        <w:spacing w:lineRule="auto" w:line="288" w:before="0" w:after="0"/>
        <w:ind w:left="0" w:right="0" w:hanging="965"/>
        <w:jc w:val="left"/>
        <w:rPr/>
      </w:pPr>
      <w:r>
        <w:rPr>
          <w:rFonts w:ascii="Times New Roman;serif" w:hAnsi="Times New Roman;serif"/>
          <w:b w:val="false"/>
          <w:color w:val="000000"/>
          <w:sz w:val="22"/>
        </w:rPr>
        <w:t>9.2.</w:t>
      </w:r>
      <w:r>
        <w:rPr>
          <w:color w:val="000000"/>
        </w:rPr>
        <w:t>    </w:t>
      </w:r>
      <w:r>
        <w:rPr>
          <w:rFonts w:ascii="Times New Roman;serif" w:hAnsi="Times New Roman;serif"/>
          <w:b w:val="false"/>
          <w:color w:val="000000"/>
          <w:sz w:val="22"/>
        </w:rPr>
        <w:t>Delegation of Duties    </w:t>
      </w:r>
      <w:r>
        <w:rPr>
          <w:rFonts w:ascii="Times New Roman;serif" w:hAnsi="Times New Roman;serif"/>
          <w:b w:val="false"/>
          <w:strike/>
          <w:color w:val="FF0000"/>
          <w:sz w:val="22"/>
        </w:rPr>
        <w:t>121</w:t>
      </w:r>
      <w:r>
        <w:rPr>
          <w:rFonts w:ascii="Times New Roman;serif" w:hAnsi="Times New Roman;serif"/>
          <w:b w:val="false"/>
          <w:color w:val="0000FF"/>
          <w:sz w:val="22"/>
          <w:u w:val="single"/>
        </w:rPr>
        <w:t>123</w:t>
      </w:r>
    </w:p>
    <w:p>
      <w:pPr>
        <w:pStyle w:val="TextBody"/>
        <w:bidi w:val="0"/>
        <w:spacing w:lineRule="auto" w:line="288" w:before="0" w:after="0"/>
        <w:ind w:left="0" w:right="0" w:hanging="965"/>
        <w:jc w:val="left"/>
        <w:rPr/>
      </w:pPr>
      <w:r>
        <w:rPr>
          <w:rFonts w:ascii="Times New Roman;serif" w:hAnsi="Times New Roman;serif"/>
          <w:b w:val="false"/>
          <w:color w:val="000000"/>
          <w:sz w:val="22"/>
        </w:rPr>
        <w:t>9.3.</w:t>
      </w:r>
      <w:r>
        <w:rPr>
          <w:color w:val="000000"/>
        </w:rPr>
        <w:t>    </w:t>
      </w:r>
      <w:r>
        <w:rPr>
          <w:rFonts w:ascii="Times New Roman;serif" w:hAnsi="Times New Roman;serif"/>
          <w:b w:val="false"/>
          <w:color w:val="000000"/>
          <w:sz w:val="22"/>
        </w:rPr>
        <w:t>Exculpatory Provisions    </w:t>
      </w:r>
      <w:r>
        <w:rPr>
          <w:rFonts w:ascii="Times New Roman;serif" w:hAnsi="Times New Roman;serif"/>
          <w:b w:val="false"/>
          <w:strike/>
          <w:color w:val="FF0000"/>
          <w:sz w:val="22"/>
        </w:rPr>
        <w:t>121</w:t>
      </w:r>
      <w:r>
        <w:rPr>
          <w:rFonts w:ascii="Times New Roman;serif" w:hAnsi="Times New Roman;serif"/>
          <w:b w:val="false"/>
          <w:color w:val="0000FF"/>
          <w:sz w:val="22"/>
          <w:u w:val="single"/>
        </w:rPr>
        <w:t>123</w:t>
      </w:r>
    </w:p>
    <w:p>
      <w:pPr>
        <w:pStyle w:val="TextBody"/>
        <w:bidi w:val="0"/>
        <w:spacing w:lineRule="auto" w:line="288" w:before="0" w:after="0"/>
        <w:ind w:left="0" w:right="0" w:hanging="965"/>
        <w:jc w:val="left"/>
        <w:rPr/>
      </w:pPr>
      <w:r>
        <w:rPr>
          <w:rFonts w:ascii="Times New Roman;serif" w:hAnsi="Times New Roman;serif"/>
          <w:b w:val="false"/>
          <w:color w:val="000000"/>
          <w:sz w:val="22"/>
        </w:rPr>
        <w:t>9.4.</w:t>
      </w:r>
      <w:r>
        <w:rPr>
          <w:color w:val="000000"/>
        </w:rPr>
        <w:t>    </w:t>
      </w:r>
      <w:r>
        <w:rPr>
          <w:rFonts w:ascii="Times New Roman;serif" w:hAnsi="Times New Roman;serif"/>
          <w:b w:val="false"/>
          <w:color w:val="000000"/>
          <w:sz w:val="22"/>
        </w:rPr>
        <w:t>Reliance by Administrative Agent    </w:t>
      </w:r>
      <w:r>
        <w:rPr>
          <w:rFonts w:ascii="Times New Roman;serif" w:hAnsi="Times New Roman;serif"/>
          <w:b w:val="false"/>
          <w:strike/>
          <w:color w:val="FF0000"/>
          <w:sz w:val="22"/>
        </w:rPr>
        <w:t>122</w:t>
      </w:r>
      <w:r>
        <w:rPr>
          <w:rFonts w:ascii="Times New Roman;serif" w:hAnsi="Times New Roman;serif"/>
          <w:b w:val="false"/>
          <w:color w:val="0000FF"/>
          <w:sz w:val="22"/>
          <w:u w:val="single"/>
        </w:rPr>
        <w:t>124</w:t>
      </w:r>
    </w:p>
    <w:p>
      <w:pPr>
        <w:pStyle w:val="TextBody"/>
        <w:bidi w:val="0"/>
        <w:spacing w:lineRule="auto" w:line="288" w:before="0" w:after="0"/>
        <w:ind w:left="0" w:right="0" w:hanging="965"/>
        <w:jc w:val="left"/>
        <w:rPr/>
      </w:pPr>
      <w:r>
        <w:rPr>
          <w:rFonts w:ascii="Times New Roman;serif" w:hAnsi="Times New Roman;serif"/>
          <w:b w:val="false"/>
          <w:color w:val="000000"/>
          <w:sz w:val="22"/>
        </w:rPr>
        <w:t>9.5.</w:t>
      </w:r>
      <w:r>
        <w:rPr>
          <w:color w:val="000000"/>
        </w:rPr>
        <w:t>    </w:t>
      </w:r>
      <w:r>
        <w:rPr>
          <w:rFonts w:ascii="Times New Roman;serif" w:hAnsi="Times New Roman;serif"/>
          <w:b w:val="false"/>
          <w:color w:val="000000"/>
          <w:sz w:val="22"/>
        </w:rPr>
        <w:t>Notice of Default    </w:t>
      </w:r>
      <w:r>
        <w:rPr>
          <w:rFonts w:ascii="Times New Roman;serif" w:hAnsi="Times New Roman;serif"/>
          <w:b w:val="false"/>
          <w:strike/>
          <w:color w:val="FF0000"/>
          <w:sz w:val="22"/>
        </w:rPr>
        <w:t>122</w:t>
      </w:r>
      <w:r>
        <w:rPr>
          <w:rFonts w:ascii="Times New Roman;serif" w:hAnsi="Times New Roman;serif"/>
          <w:b w:val="false"/>
          <w:color w:val="0000FF"/>
          <w:sz w:val="22"/>
          <w:u w:val="single"/>
        </w:rPr>
        <w:t>124</w:t>
      </w:r>
    </w:p>
    <w:p>
      <w:pPr>
        <w:pStyle w:val="TextBody"/>
        <w:bidi w:val="0"/>
        <w:spacing w:lineRule="auto" w:line="288" w:before="0" w:after="0"/>
        <w:ind w:left="0" w:right="0" w:hanging="965"/>
        <w:jc w:val="left"/>
        <w:rPr/>
      </w:pPr>
      <w:r>
        <w:rPr>
          <w:rFonts w:ascii="Times New Roman;serif" w:hAnsi="Times New Roman;serif"/>
          <w:b w:val="false"/>
          <w:color w:val="000000"/>
          <w:sz w:val="22"/>
        </w:rPr>
        <w:t>9.6.</w:t>
      </w:r>
      <w:r>
        <w:rPr>
          <w:color w:val="000000"/>
        </w:rPr>
        <w:t>    </w:t>
      </w:r>
      <w:r>
        <w:rPr>
          <w:rFonts w:ascii="Times New Roman;serif" w:hAnsi="Times New Roman;serif"/>
          <w:b w:val="false"/>
          <w:color w:val="000000"/>
          <w:sz w:val="22"/>
        </w:rPr>
        <w:t>Non-Reliance on Agents and Other Lenders    </w:t>
      </w:r>
      <w:r>
        <w:rPr>
          <w:rFonts w:ascii="Times New Roman;serif" w:hAnsi="Times New Roman;serif"/>
          <w:b w:val="false"/>
          <w:color w:val="0000FF"/>
          <w:sz w:val="22"/>
          <w:u w:val="single"/>
        </w:rPr>
        <w:t>124</w:t>
      </w:r>
      <w:r>
        <w:rPr>
          <w:rFonts w:ascii="Times New Roman;serif" w:hAnsi="Times New Roman;serif"/>
          <w:b w:val="false"/>
          <w:strike/>
          <w:color w:val="FF0000"/>
          <w:sz w:val="22"/>
        </w:rPr>
        <w:t>122</w:t>
      </w:r>
    </w:p>
    <w:p>
      <w:pPr>
        <w:pStyle w:val="TextBody"/>
        <w:bidi w:val="0"/>
        <w:spacing w:lineRule="auto" w:line="288" w:before="0" w:after="0"/>
        <w:ind w:left="0" w:right="0" w:hanging="965"/>
        <w:jc w:val="left"/>
        <w:rPr/>
      </w:pPr>
      <w:r>
        <w:rPr>
          <w:rFonts w:ascii="Times New Roman;serif" w:hAnsi="Times New Roman;serif"/>
          <w:b w:val="false"/>
          <w:color w:val="000000"/>
          <w:sz w:val="22"/>
        </w:rPr>
        <w:t>9.7.</w:t>
      </w:r>
      <w:r>
        <w:rPr>
          <w:color w:val="000000"/>
        </w:rPr>
        <w:t>    </w:t>
      </w:r>
      <w:r>
        <w:rPr>
          <w:rFonts w:ascii="Times New Roman;serif" w:hAnsi="Times New Roman;serif"/>
          <w:b w:val="false"/>
          <w:color w:val="000000"/>
          <w:sz w:val="22"/>
        </w:rPr>
        <w:t>Indemnification    </w:t>
      </w:r>
      <w:r>
        <w:rPr>
          <w:rFonts w:ascii="Times New Roman;serif" w:hAnsi="Times New Roman;serif"/>
          <w:b w:val="false"/>
          <w:strike/>
          <w:color w:val="FF0000"/>
          <w:sz w:val="22"/>
        </w:rPr>
        <w:t>123</w:t>
      </w:r>
      <w:r>
        <w:rPr>
          <w:rFonts w:ascii="Times New Roman;serif" w:hAnsi="Times New Roman;serif"/>
          <w:b w:val="false"/>
          <w:color w:val="0000FF"/>
          <w:sz w:val="22"/>
          <w:u w:val="single"/>
        </w:rPr>
        <w:t>125</w:t>
      </w:r>
    </w:p>
    <w:p>
      <w:pPr>
        <w:pStyle w:val="TextBody"/>
        <w:bidi w:val="0"/>
        <w:spacing w:lineRule="auto" w:line="288" w:before="0" w:after="0"/>
        <w:ind w:left="0" w:right="0" w:hanging="965"/>
        <w:jc w:val="left"/>
        <w:rPr/>
      </w:pPr>
      <w:r>
        <w:rPr>
          <w:rFonts w:ascii="Times New Roman;serif" w:hAnsi="Times New Roman;serif"/>
          <w:b w:val="false"/>
          <w:color w:val="000000"/>
          <w:sz w:val="22"/>
        </w:rPr>
        <w:t>9.8.</w:t>
      </w:r>
      <w:r>
        <w:rPr>
          <w:color w:val="000000"/>
        </w:rPr>
        <w:t>    </w:t>
      </w:r>
      <w:r>
        <w:rPr>
          <w:rFonts w:ascii="Times New Roman;serif" w:hAnsi="Times New Roman;serif"/>
          <w:b w:val="false"/>
          <w:color w:val="000000"/>
          <w:sz w:val="22"/>
        </w:rPr>
        <w:t>Agent in Its Individual Capacity    </w:t>
      </w:r>
      <w:r>
        <w:rPr>
          <w:rFonts w:ascii="Times New Roman;serif" w:hAnsi="Times New Roman;serif"/>
          <w:b w:val="false"/>
          <w:strike/>
          <w:color w:val="FF0000"/>
          <w:sz w:val="22"/>
        </w:rPr>
        <w:t>123</w:t>
      </w:r>
      <w:r>
        <w:rPr>
          <w:rFonts w:ascii="Times New Roman;serif" w:hAnsi="Times New Roman;serif"/>
          <w:b w:val="false"/>
          <w:color w:val="0000FF"/>
          <w:sz w:val="22"/>
          <w:u w:val="single"/>
        </w:rPr>
        <w:t>125</w:t>
      </w:r>
    </w:p>
    <w:p>
      <w:pPr>
        <w:pStyle w:val="TextBody"/>
        <w:bidi w:val="0"/>
        <w:spacing w:lineRule="auto" w:line="288" w:before="0" w:after="0"/>
        <w:ind w:left="0" w:right="0" w:hanging="965"/>
        <w:jc w:val="left"/>
        <w:rPr/>
      </w:pPr>
      <w:r>
        <w:rPr>
          <w:rFonts w:ascii="Times New Roman;serif" w:hAnsi="Times New Roman;serif"/>
          <w:b w:val="false"/>
          <w:color w:val="000000"/>
          <w:sz w:val="22"/>
        </w:rPr>
        <w:t>9.9.</w:t>
      </w:r>
      <w:r>
        <w:rPr>
          <w:color w:val="000000"/>
        </w:rPr>
        <w:t>    </w:t>
      </w:r>
      <w:r>
        <w:rPr>
          <w:rFonts w:ascii="Times New Roman;serif" w:hAnsi="Times New Roman;serif"/>
          <w:b w:val="false"/>
          <w:color w:val="000000"/>
          <w:sz w:val="22"/>
        </w:rPr>
        <w:t>Successor Administrative Agent    </w:t>
      </w:r>
      <w:r>
        <w:rPr>
          <w:rFonts w:ascii="Times New Roman;serif" w:hAnsi="Times New Roman;serif"/>
          <w:b w:val="false"/>
          <w:strike/>
          <w:color w:val="FF0000"/>
          <w:sz w:val="22"/>
        </w:rPr>
        <w:t>124</w:t>
      </w:r>
      <w:r>
        <w:rPr>
          <w:rFonts w:ascii="Times New Roman;serif" w:hAnsi="Times New Roman;serif"/>
          <w:b w:val="false"/>
          <w:color w:val="0000FF"/>
          <w:sz w:val="22"/>
          <w:u w:val="single"/>
        </w:rPr>
        <w:t>125</w:t>
      </w:r>
    </w:p>
    <w:p>
      <w:pPr>
        <w:pStyle w:val="TextBody"/>
        <w:bidi w:val="0"/>
        <w:spacing w:lineRule="auto" w:line="288" w:before="0" w:after="0"/>
        <w:ind w:left="0" w:right="0" w:hanging="965"/>
        <w:jc w:val="left"/>
        <w:rPr/>
      </w:pPr>
      <w:r>
        <w:rPr>
          <w:rFonts w:ascii="Times New Roman;serif" w:hAnsi="Times New Roman;serif"/>
          <w:b w:val="false"/>
          <w:color w:val="000000"/>
          <w:sz w:val="22"/>
        </w:rPr>
        <w:t>9.10.</w:t>
      </w:r>
      <w:r>
        <w:rPr>
          <w:color w:val="000000"/>
        </w:rPr>
        <w:t>    </w:t>
      </w:r>
      <w:r>
        <w:rPr>
          <w:rFonts w:ascii="Times New Roman;serif" w:hAnsi="Times New Roman;serif"/>
          <w:b w:val="false"/>
          <w:color w:val="000000"/>
          <w:sz w:val="22"/>
        </w:rPr>
        <w:t>Certain ERISA Matters    </w:t>
      </w:r>
      <w:r>
        <w:rPr>
          <w:rFonts w:ascii="Times New Roman;serif" w:hAnsi="Times New Roman;serif"/>
          <w:b w:val="false"/>
          <w:strike/>
          <w:color w:val="FF0000"/>
          <w:sz w:val="22"/>
        </w:rPr>
        <w:t>124</w:t>
      </w:r>
      <w:r>
        <w:rPr>
          <w:rFonts w:ascii="Times New Roman;serif" w:hAnsi="Times New Roman;serif"/>
          <w:b w:val="false"/>
          <w:color w:val="0000FF"/>
          <w:sz w:val="22"/>
          <w:u w:val="single"/>
        </w:rPr>
        <w:t>126</w:t>
      </w:r>
    </w:p>
    <w:p>
      <w:pPr>
        <w:pStyle w:val="TextBody"/>
        <w:bidi w:val="0"/>
        <w:spacing w:lineRule="auto" w:line="288" w:before="0" w:after="0"/>
        <w:ind w:left="0" w:right="0" w:hanging="965"/>
        <w:jc w:val="left"/>
        <w:rPr/>
      </w:pPr>
      <w:r>
        <w:rPr>
          <w:rFonts w:ascii="Times New Roman;serif" w:hAnsi="Times New Roman;serif"/>
          <w:b w:val="false"/>
          <w:color w:val="000000"/>
          <w:sz w:val="22"/>
        </w:rPr>
        <w:t>9.11.</w:t>
      </w:r>
      <w:r>
        <w:rPr>
          <w:color w:val="000000"/>
        </w:rPr>
        <w:t>    </w:t>
      </w:r>
      <w:r>
        <w:rPr>
          <w:rFonts w:ascii="Times New Roman;serif" w:hAnsi="Times New Roman;serif"/>
          <w:b w:val="false"/>
          <w:color w:val="000000"/>
          <w:sz w:val="22"/>
        </w:rPr>
        <w:t>Agents    </w:t>
      </w:r>
      <w:r>
        <w:rPr>
          <w:rFonts w:ascii="Times New Roman;serif" w:hAnsi="Times New Roman;serif"/>
          <w:b w:val="false"/>
          <w:strike/>
          <w:color w:val="FF0000"/>
          <w:sz w:val="22"/>
        </w:rPr>
        <w:t>125</w:t>
      </w:r>
      <w:r>
        <w:rPr>
          <w:rFonts w:ascii="Times New Roman;serif" w:hAnsi="Times New Roman;serif"/>
          <w:b w:val="false"/>
          <w:color w:val="0000FF"/>
          <w:sz w:val="22"/>
          <w:u w:val="single"/>
        </w:rPr>
        <w:t>127</w:t>
      </w:r>
    </w:p>
    <w:p>
      <w:pPr>
        <w:pStyle w:val="TextBody"/>
        <w:bidi w:val="0"/>
        <w:spacing w:lineRule="auto" w:line="288" w:before="0" w:after="0"/>
        <w:ind w:left="0" w:right="0" w:hanging="965"/>
        <w:jc w:val="left"/>
        <w:rPr/>
      </w:pPr>
      <w:r>
        <w:rPr>
          <w:rFonts w:ascii="Times New Roman;serif" w:hAnsi="Times New Roman;serif"/>
          <w:b w:val="false"/>
          <w:color w:val="000000"/>
          <w:sz w:val="22"/>
        </w:rPr>
        <w:t>9.12.</w:t>
      </w:r>
      <w:r>
        <w:rPr>
          <w:color w:val="000000"/>
        </w:rPr>
        <w:t>    </w:t>
      </w:r>
      <w:r>
        <w:rPr>
          <w:rFonts w:ascii="Times New Roman;serif" w:hAnsi="Times New Roman;serif"/>
          <w:b w:val="false"/>
          <w:color w:val="000000"/>
          <w:sz w:val="22"/>
        </w:rPr>
        <w:t>Credit Bidding    </w:t>
      </w:r>
      <w:r>
        <w:rPr>
          <w:rFonts w:ascii="Times New Roman;serif" w:hAnsi="Times New Roman;serif"/>
          <w:b w:val="false"/>
          <w:strike/>
          <w:color w:val="FF0000"/>
          <w:sz w:val="22"/>
        </w:rPr>
        <w:t>125</w:t>
      </w:r>
      <w:r>
        <w:rPr>
          <w:rFonts w:ascii="Times New Roman;serif" w:hAnsi="Times New Roman;serif"/>
          <w:b w:val="false"/>
          <w:color w:val="0000FF"/>
          <w:sz w:val="22"/>
          <w:u w:val="single"/>
        </w:rPr>
        <w:t>127</w:t>
      </w:r>
    </w:p>
    <w:p>
      <w:pPr>
        <w:pStyle w:val="TextBody"/>
        <w:bidi w:val="0"/>
        <w:spacing w:lineRule="auto" w:line="288" w:before="0" w:after="0"/>
        <w:ind w:left="0" w:right="0" w:hanging="965"/>
        <w:jc w:val="left"/>
        <w:rPr/>
      </w:pPr>
      <w:r>
        <w:rPr>
          <w:rFonts w:ascii="Times New Roman;serif" w:hAnsi="Times New Roman;serif"/>
          <w:b w:val="false"/>
          <w:color w:val="000000"/>
          <w:sz w:val="22"/>
        </w:rPr>
        <w:t>9.13.</w:t>
      </w:r>
      <w:r>
        <w:rPr>
          <w:color w:val="000000"/>
        </w:rPr>
        <w:t>    </w:t>
      </w:r>
      <w:r>
        <w:rPr>
          <w:rFonts w:ascii="Times New Roman;serif" w:hAnsi="Times New Roman;serif"/>
          <w:b w:val="false"/>
          <w:color w:val="000000"/>
          <w:sz w:val="22"/>
        </w:rPr>
        <w:t>Erroneous Payments.    </w:t>
      </w:r>
      <w:r>
        <w:rPr>
          <w:rFonts w:ascii="Times New Roman;serif" w:hAnsi="Times New Roman;serif"/>
          <w:b w:val="false"/>
          <w:strike/>
          <w:color w:val="FF0000"/>
          <w:sz w:val="22"/>
        </w:rPr>
        <w:t>126</w:t>
      </w:r>
      <w:r>
        <w:rPr>
          <w:rFonts w:ascii="Times New Roman;serif" w:hAnsi="Times New Roman;serif"/>
          <w:b w:val="false"/>
          <w:color w:val="0000FF"/>
          <w:sz w:val="22"/>
          <w:u w:val="single"/>
        </w:rPr>
        <w:t>128</w:t>
      </w:r>
    </w:p>
    <w:p>
      <w:pPr>
        <w:pStyle w:val="TextBody"/>
        <w:bidi w:val="0"/>
        <w:spacing w:lineRule="auto" w:line="288" w:before="0" w:after="0"/>
        <w:ind w:left="0" w:right="0" w:hanging="965"/>
        <w:jc w:val="left"/>
        <w:rPr/>
      </w:pPr>
      <w:r>
        <w:rPr>
          <w:rFonts w:ascii="Times New Roman;serif" w:hAnsi="Times New Roman;serif"/>
          <w:b w:val="false"/>
          <w:color w:val="000000"/>
          <w:sz w:val="22"/>
        </w:rPr>
        <w:t>9.14.</w:t>
      </w:r>
      <w:r>
        <w:rPr>
          <w:color w:val="000000"/>
        </w:rPr>
        <w:t>    </w:t>
      </w:r>
      <w:r>
        <w:rPr>
          <w:rFonts w:ascii="Times New Roman;serif" w:hAnsi="Times New Roman;serif"/>
          <w:b w:val="false"/>
          <w:color w:val="000000"/>
          <w:sz w:val="22"/>
        </w:rPr>
        <w:t>Posting of Communications    </w:t>
      </w:r>
      <w:r>
        <w:rPr>
          <w:rFonts w:ascii="Times New Roman;serif" w:hAnsi="Times New Roman;serif"/>
          <w:b w:val="false"/>
          <w:strike/>
          <w:color w:val="FF0000"/>
          <w:sz w:val="22"/>
        </w:rPr>
        <w:t>127</w:t>
      </w:r>
      <w:r>
        <w:rPr>
          <w:rFonts w:ascii="Times New Roman;serif" w:hAnsi="Times New Roman;serif"/>
          <w:b w:val="false"/>
          <w:color w:val="0000FF"/>
          <w:sz w:val="22"/>
          <w:u w:val="single"/>
        </w:rPr>
        <w:t>129</w:t>
      </w:r>
    </w:p>
    <w:p>
      <w:pPr>
        <w:pStyle w:val="TextBody"/>
        <w:bidi w:val="0"/>
        <w:spacing w:lineRule="auto" w:line="288" w:before="0" w:after="0"/>
        <w:ind w:left="0" w:right="0" w:hanging="965"/>
        <w:jc w:val="left"/>
        <w:rPr/>
      </w:pPr>
      <w:r>
        <w:rPr>
          <w:rFonts w:ascii="Times New Roman;serif" w:hAnsi="Times New Roman;serif"/>
          <w:b w:val="false"/>
          <w:color w:val="000000"/>
          <w:sz w:val="22"/>
        </w:rPr>
        <w:t>9.15.</w:t>
      </w:r>
      <w:r>
        <w:rPr>
          <w:color w:val="000000"/>
        </w:rPr>
        <w:t>    </w:t>
      </w:r>
      <w:r>
        <w:rPr>
          <w:rFonts w:ascii="Times New Roman;serif" w:hAnsi="Times New Roman;serif"/>
          <w:b w:val="false"/>
          <w:color w:val="000000"/>
          <w:sz w:val="22"/>
        </w:rPr>
        <w:t>Borrower Communications    </w:t>
      </w:r>
      <w:r>
        <w:rPr>
          <w:rFonts w:ascii="Times New Roman;serif" w:hAnsi="Times New Roman;serif"/>
          <w:b w:val="false"/>
          <w:strike/>
          <w:color w:val="FF0000"/>
          <w:sz w:val="22"/>
        </w:rPr>
        <w:t>129</w:t>
      </w:r>
      <w:r>
        <w:rPr>
          <w:rFonts w:ascii="Times New Roman;serif" w:hAnsi="Times New Roman;serif"/>
          <w:b w:val="false"/>
          <w:color w:val="0000FF"/>
          <w:sz w:val="22"/>
          <w:u w:val="single"/>
        </w:rPr>
        <w:t>130</w:t>
      </w:r>
    </w:p>
    <w:p>
      <w:pPr>
        <w:pStyle w:val="TextBody"/>
        <w:bidi w:val="0"/>
        <w:spacing w:lineRule="auto" w:line="288" w:before="240" w:after="240"/>
        <w:jc w:val="left"/>
        <w:rPr/>
      </w:pPr>
      <w:r>
        <w:rPr>
          <w:rFonts w:ascii="Times New Roman;serif" w:hAnsi="Times New Roman;serif"/>
          <w:b w:val="false"/>
          <w:color w:val="010000"/>
          <w:sz w:val="22"/>
        </w:rPr>
        <w:t>SECTION 10.</w:t>
      </w:r>
      <w:r>
        <w:rPr>
          <w:color w:val="000000"/>
        </w:rPr>
        <w:t>    </w:t>
      </w:r>
      <w:r>
        <w:rPr>
          <w:rFonts w:ascii="Times New Roman;serif" w:hAnsi="Times New Roman;serif"/>
          <w:b w:val="false"/>
          <w:color w:val="000000"/>
          <w:sz w:val="22"/>
        </w:rPr>
        <w:t>MISCELLANEOUS    </w:t>
      </w:r>
      <w:r>
        <w:rPr>
          <w:rFonts w:ascii="Times New Roman;serif" w:hAnsi="Times New Roman;serif"/>
          <w:b w:val="false"/>
          <w:strike/>
          <w:color w:val="FF0000"/>
          <w:sz w:val="22"/>
        </w:rPr>
        <w:t>130</w:t>
      </w:r>
      <w:r>
        <w:rPr>
          <w:rFonts w:ascii="Times New Roman;serif" w:hAnsi="Times New Roman;serif"/>
          <w:b w:val="false"/>
          <w:color w:val="0000FF"/>
          <w:sz w:val="22"/>
          <w:u w:val="single"/>
        </w:rPr>
        <w:t>131</w:t>
      </w:r>
    </w:p>
    <w:p>
      <w:pPr>
        <w:pStyle w:val="TextBody"/>
        <w:bidi w:val="0"/>
        <w:spacing w:lineRule="auto" w:line="288" w:before="0" w:after="0"/>
        <w:ind w:left="0" w:right="0" w:hanging="965"/>
        <w:jc w:val="left"/>
        <w:rPr/>
      </w:pPr>
      <w:r>
        <w:rPr>
          <w:rFonts w:ascii="Times New Roman;serif" w:hAnsi="Times New Roman;serif"/>
          <w:b w:val="false"/>
          <w:color w:val="000000"/>
          <w:sz w:val="22"/>
        </w:rPr>
        <w:t>10.1.</w:t>
      </w:r>
      <w:r>
        <w:rPr>
          <w:color w:val="000000"/>
        </w:rPr>
        <w:t>    </w:t>
      </w:r>
      <w:r>
        <w:rPr>
          <w:rFonts w:ascii="Times New Roman;serif" w:hAnsi="Times New Roman;serif"/>
          <w:b w:val="false"/>
          <w:color w:val="000000"/>
          <w:sz w:val="22"/>
        </w:rPr>
        <w:t>Amendments and Waivers    </w:t>
      </w:r>
      <w:r>
        <w:rPr>
          <w:rFonts w:ascii="Times New Roman;serif" w:hAnsi="Times New Roman;serif"/>
          <w:b w:val="false"/>
          <w:strike/>
          <w:color w:val="FF0000"/>
          <w:sz w:val="22"/>
        </w:rPr>
        <w:t>130</w:t>
      </w:r>
      <w:r>
        <w:rPr>
          <w:rFonts w:ascii="Times New Roman;serif" w:hAnsi="Times New Roman;serif"/>
          <w:b w:val="false"/>
          <w:color w:val="0000FF"/>
          <w:sz w:val="22"/>
          <w:u w:val="single"/>
        </w:rPr>
        <w:t>131</w:t>
      </w:r>
    </w:p>
    <w:p>
      <w:pPr>
        <w:pStyle w:val="TextBody"/>
        <w:bidi w:val="0"/>
        <w:spacing w:lineRule="auto" w:line="288" w:before="0" w:after="0"/>
        <w:ind w:left="0" w:right="0" w:hanging="965"/>
        <w:jc w:val="left"/>
        <w:rPr/>
      </w:pPr>
      <w:r>
        <w:rPr>
          <w:rFonts w:ascii="Times New Roman;serif" w:hAnsi="Times New Roman;serif"/>
          <w:b w:val="false"/>
          <w:color w:val="000000"/>
          <w:sz w:val="22"/>
        </w:rPr>
        <w:t>10.2.</w:t>
      </w:r>
      <w:r>
        <w:rPr>
          <w:color w:val="000000"/>
        </w:rPr>
        <w:t>    </w:t>
      </w:r>
      <w:r>
        <w:rPr>
          <w:rFonts w:ascii="Times New Roman;serif" w:hAnsi="Times New Roman;serif"/>
          <w:b w:val="false"/>
          <w:color w:val="000000"/>
          <w:sz w:val="22"/>
        </w:rPr>
        <w:t>Notices    </w:t>
      </w:r>
      <w:r>
        <w:rPr>
          <w:rFonts w:ascii="Times New Roman;serif" w:hAnsi="Times New Roman;serif"/>
          <w:b w:val="false"/>
          <w:strike/>
          <w:color w:val="FF0000"/>
          <w:sz w:val="22"/>
        </w:rPr>
        <w:t>131</w:t>
      </w:r>
      <w:r>
        <w:rPr>
          <w:rFonts w:ascii="Times New Roman;serif" w:hAnsi="Times New Roman;serif"/>
          <w:b w:val="false"/>
          <w:color w:val="0000FF"/>
          <w:sz w:val="22"/>
          <w:u w:val="single"/>
        </w:rPr>
        <w:t>133</w:t>
      </w:r>
    </w:p>
    <w:p>
      <w:pPr>
        <w:pStyle w:val="TextBody"/>
        <w:bidi w:val="0"/>
        <w:spacing w:lineRule="auto" w:line="288" w:before="0" w:after="0"/>
        <w:ind w:left="0" w:right="0" w:hanging="965"/>
        <w:jc w:val="left"/>
        <w:rPr/>
      </w:pPr>
      <w:r>
        <w:rPr>
          <w:rFonts w:ascii="Times New Roman;serif" w:hAnsi="Times New Roman;serif"/>
          <w:b w:val="false"/>
          <w:color w:val="000000"/>
          <w:sz w:val="22"/>
        </w:rPr>
        <w:t>10.3.</w:t>
      </w:r>
      <w:r>
        <w:rPr>
          <w:color w:val="000000"/>
        </w:rPr>
        <w:t>    </w:t>
      </w:r>
      <w:r>
        <w:rPr>
          <w:rFonts w:ascii="Times New Roman;serif" w:hAnsi="Times New Roman;serif"/>
          <w:b w:val="false"/>
          <w:color w:val="000000"/>
          <w:sz w:val="22"/>
        </w:rPr>
        <w:t>No Waiver; Cumulative Remedies    </w:t>
      </w:r>
      <w:r>
        <w:rPr>
          <w:rFonts w:ascii="Times New Roman;serif" w:hAnsi="Times New Roman;serif"/>
          <w:b w:val="false"/>
          <w:strike/>
          <w:color w:val="FF0000"/>
          <w:sz w:val="22"/>
        </w:rPr>
        <w:t>133</w:t>
      </w:r>
      <w:r>
        <w:rPr>
          <w:rFonts w:ascii="Times New Roman;serif" w:hAnsi="Times New Roman;serif"/>
          <w:b w:val="false"/>
          <w:color w:val="0000FF"/>
          <w:sz w:val="22"/>
          <w:u w:val="single"/>
        </w:rPr>
        <w:t>135</w:t>
      </w:r>
    </w:p>
    <w:p>
      <w:pPr>
        <w:pStyle w:val="TextBody"/>
        <w:bidi w:val="0"/>
        <w:spacing w:lineRule="auto" w:line="288" w:before="0" w:after="0"/>
        <w:ind w:left="0" w:right="0" w:hanging="965"/>
        <w:jc w:val="left"/>
        <w:rPr/>
      </w:pPr>
      <w:r>
        <w:rPr>
          <w:rFonts w:ascii="Times New Roman;serif" w:hAnsi="Times New Roman;serif"/>
          <w:b w:val="false"/>
          <w:color w:val="000000"/>
          <w:sz w:val="22"/>
        </w:rPr>
        <w:t>10.4.</w:t>
      </w:r>
      <w:r>
        <w:rPr>
          <w:color w:val="000000"/>
        </w:rPr>
        <w:t>    </w:t>
      </w:r>
      <w:r>
        <w:rPr>
          <w:rFonts w:ascii="Times New Roman;serif" w:hAnsi="Times New Roman;serif"/>
          <w:b w:val="false"/>
          <w:color w:val="000000"/>
          <w:sz w:val="22"/>
        </w:rPr>
        <w:t>Survival of Representations and Warranties    </w:t>
      </w:r>
      <w:r>
        <w:rPr>
          <w:rFonts w:ascii="Times New Roman;serif" w:hAnsi="Times New Roman;serif"/>
          <w:b w:val="false"/>
          <w:strike/>
          <w:color w:val="FF0000"/>
          <w:sz w:val="22"/>
        </w:rPr>
        <w:t>133</w:t>
      </w:r>
      <w:r>
        <w:rPr>
          <w:rFonts w:ascii="Times New Roman;serif" w:hAnsi="Times New Roman;serif"/>
          <w:b w:val="false"/>
          <w:color w:val="0000FF"/>
          <w:sz w:val="22"/>
          <w:u w:val="single"/>
        </w:rPr>
        <w:t>135</w:t>
      </w:r>
    </w:p>
    <w:p>
      <w:pPr>
        <w:pStyle w:val="TextBody"/>
        <w:bidi w:val="0"/>
        <w:spacing w:lineRule="auto" w:line="288" w:before="0" w:after="0"/>
        <w:ind w:left="0" w:right="0" w:hanging="965"/>
        <w:jc w:val="left"/>
        <w:rPr/>
      </w:pPr>
      <w:r>
        <w:rPr>
          <w:rFonts w:ascii="Times New Roman;serif" w:hAnsi="Times New Roman;serif"/>
          <w:b w:val="false"/>
          <w:color w:val="000000"/>
          <w:sz w:val="22"/>
        </w:rPr>
        <w:t>10.5.</w:t>
      </w:r>
      <w:r>
        <w:rPr>
          <w:color w:val="000000"/>
        </w:rPr>
        <w:t>    </w:t>
      </w:r>
      <w:r>
        <w:rPr>
          <w:rFonts w:ascii="Times New Roman;serif" w:hAnsi="Times New Roman;serif"/>
          <w:b w:val="false"/>
          <w:color w:val="000000"/>
          <w:sz w:val="22"/>
        </w:rPr>
        <w:t>Expenses; Limitation of Liability; Indemnity, Etc.    </w:t>
      </w:r>
      <w:r>
        <w:rPr>
          <w:rFonts w:ascii="Times New Roman;serif" w:hAnsi="Times New Roman;serif"/>
          <w:b w:val="false"/>
          <w:strike/>
          <w:color w:val="FF0000"/>
          <w:sz w:val="22"/>
        </w:rPr>
        <w:t>133</w:t>
      </w:r>
      <w:r>
        <w:rPr>
          <w:rFonts w:ascii="Times New Roman;serif" w:hAnsi="Times New Roman;serif"/>
          <w:b w:val="false"/>
          <w:color w:val="0000FF"/>
          <w:sz w:val="22"/>
          <w:u w:val="single"/>
        </w:rPr>
        <w:t>135</w:t>
      </w:r>
    </w:p>
    <w:p>
      <w:pPr>
        <w:pStyle w:val="TextBody"/>
        <w:bidi w:val="0"/>
        <w:spacing w:lineRule="auto" w:line="288" w:before="0" w:after="0"/>
        <w:ind w:left="0" w:right="0" w:hanging="965"/>
        <w:jc w:val="left"/>
        <w:rPr/>
      </w:pPr>
      <w:r>
        <w:rPr>
          <w:rFonts w:ascii="Times New Roman;serif" w:hAnsi="Times New Roman;serif"/>
          <w:b w:val="false"/>
          <w:color w:val="000000"/>
          <w:sz w:val="22"/>
        </w:rPr>
        <w:t>10.6.</w:t>
      </w:r>
      <w:r>
        <w:rPr>
          <w:color w:val="000000"/>
        </w:rPr>
        <w:t>    </w:t>
      </w:r>
      <w:r>
        <w:rPr>
          <w:rFonts w:ascii="Times New Roman;serif" w:hAnsi="Times New Roman;serif"/>
          <w:b w:val="false"/>
          <w:color w:val="000000"/>
          <w:sz w:val="22"/>
        </w:rPr>
        <w:t>Successors and Assigns; Participations and Assignments    </w:t>
      </w:r>
      <w:r>
        <w:rPr>
          <w:rFonts w:ascii="Times New Roman;serif" w:hAnsi="Times New Roman;serif"/>
          <w:b w:val="false"/>
          <w:strike/>
          <w:color w:val="FF0000"/>
          <w:sz w:val="22"/>
        </w:rPr>
        <w:t>135</w:t>
      </w:r>
      <w:r>
        <w:rPr>
          <w:rFonts w:ascii="Times New Roman;serif" w:hAnsi="Times New Roman;serif"/>
          <w:b w:val="false"/>
          <w:color w:val="0000FF"/>
          <w:sz w:val="22"/>
          <w:u w:val="single"/>
        </w:rPr>
        <w:t>137</w:t>
      </w:r>
    </w:p>
    <w:p>
      <w:pPr>
        <w:pStyle w:val="TextBody"/>
        <w:bidi w:val="0"/>
        <w:spacing w:lineRule="auto" w:line="288" w:before="0" w:after="0"/>
        <w:ind w:left="0" w:right="0" w:hanging="965"/>
        <w:jc w:val="left"/>
        <w:rPr/>
      </w:pPr>
      <w:r>
        <w:rPr>
          <w:rFonts w:ascii="Times New Roman;serif" w:hAnsi="Times New Roman;serif"/>
          <w:b w:val="false"/>
          <w:color w:val="000000"/>
          <w:sz w:val="22"/>
        </w:rPr>
        <w:t>10.7.</w:t>
      </w:r>
      <w:r>
        <w:rPr>
          <w:color w:val="000000"/>
        </w:rPr>
        <w:t>    </w:t>
      </w:r>
      <w:r>
        <w:rPr>
          <w:rFonts w:ascii="Times New Roman;serif" w:hAnsi="Times New Roman;serif"/>
          <w:b w:val="false"/>
          <w:color w:val="000000"/>
          <w:sz w:val="22"/>
        </w:rPr>
        <w:t>Adjustments; Set-off    </w:t>
      </w:r>
      <w:r>
        <w:rPr>
          <w:rFonts w:ascii="Times New Roman;serif" w:hAnsi="Times New Roman;serif"/>
          <w:b w:val="false"/>
          <w:strike/>
          <w:color w:val="FF0000"/>
          <w:sz w:val="22"/>
        </w:rPr>
        <w:t>139</w:t>
      </w:r>
      <w:r>
        <w:rPr>
          <w:rFonts w:ascii="Times New Roman;serif" w:hAnsi="Times New Roman;serif"/>
          <w:b w:val="false"/>
          <w:color w:val="0000FF"/>
          <w:sz w:val="22"/>
          <w:u w:val="single"/>
        </w:rPr>
        <w:t>141</w:t>
      </w:r>
    </w:p>
    <w:p>
      <w:pPr>
        <w:pStyle w:val="TextBody"/>
        <w:bidi w:val="0"/>
        <w:spacing w:lineRule="auto" w:line="288" w:before="0" w:after="0"/>
        <w:ind w:left="0" w:right="0" w:hanging="965"/>
        <w:jc w:val="left"/>
        <w:rPr/>
      </w:pPr>
      <w:r>
        <w:rPr>
          <w:rFonts w:ascii="Times New Roman;serif" w:hAnsi="Times New Roman;serif"/>
          <w:b w:val="false"/>
          <w:color w:val="000000"/>
          <w:sz w:val="22"/>
        </w:rPr>
        <w:t>10.8.</w:t>
      </w:r>
      <w:r>
        <w:rPr>
          <w:color w:val="000000"/>
        </w:rPr>
        <w:t>    </w:t>
      </w:r>
      <w:r>
        <w:rPr>
          <w:rFonts w:ascii="Times New Roman;serif" w:hAnsi="Times New Roman;serif"/>
          <w:b w:val="false"/>
          <w:color w:val="000000"/>
          <w:sz w:val="22"/>
        </w:rPr>
        <w:t>Counterparts    </w:t>
      </w:r>
      <w:r>
        <w:rPr>
          <w:rFonts w:ascii="Times New Roman;serif" w:hAnsi="Times New Roman;serif"/>
          <w:b w:val="false"/>
          <w:strike/>
          <w:color w:val="FF0000"/>
          <w:sz w:val="22"/>
        </w:rPr>
        <w:t>140</w:t>
      </w:r>
      <w:r>
        <w:rPr>
          <w:rFonts w:ascii="Times New Roman;serif" w:hAnsi="Times New Roman;serif"/>
          <w:b w:val="false"/>
          <w:color w:val="0000FF"/>
          <w:sz w:val="22"/>
          <w:u w:val="single"/>
        </w:rPr>
        <w:t>142</w:t>
      </w:r>
    </w:p>
    <w:p>
      <w:pPr>
        <w:pStyle w:val="TextBody"/>
        <w:bidi w:val="0"/>
        <w:spacing w:lineRule="auto" w:line="288" w:before="0" w:after="0"/>
        <w:ind w:left="0" w:right="0" w:hanging="965"/>
        <w:jc w:val="left"/>
        <w:rPr/>
      </w:pPr>
      <w:r>
        <w:rPr>
          <w:rFonts w:ascii="Times New Roman;serif" w:hAnsi="Times New Roman;serif"/>
          <w:b w:val="false"/>
          <w:color w:val="000000"/>
          <w:sz w:val="22"/>
        </w:rPr>
        <w:t>10.9.</w:t>
      </w:r>
      <w:r>
        <w:rPr>
          <w:color w:val="000000"/>
        </w:rPr>
        <w:t>    </w:t>
      </w:r>
      <w:r>
        <w:rPr>
          <w:rFonts w:ascii="Times New Roman;serif" w:hAnsi="Times New Roman;serif"/>
          <w:b w:val="false"/>
          <w:color w:val="000000"/>
          <w:sz w:val="22"/>
        </w:rPr>
        <w:t>Severability    </w:t>
      </w:r>
      <w:r>
        <w:rPr>
          <w:rFonts w:ascii="Times New Roman;serif" w:hAnsi="Times New Roman;serif"/>
          <w:b w:val="false"/>
          <w:strike/>
          <w:color w:val="FF0000"/>
          <w:sz w:val="22"/>
        </w:rPr>
        <w:t>141</w:t>
      </w:r>
      <w:r>
        <w:rPr>
          <w:rFonts w:ascii="Times New Roman;serif" w:hAnsi="Times New Roman;serif"/>
          <w:b w:val="false"/>
          <w:color w:val="0000FF"/>
          <w:sz w:val="22"/>
          <w:u w:val="single"/>
        </w:rPr>
        <w:t>143</w:t>
      </w:r>
    </w:p>
    <w:p>
      <w:pPr>
        <w:pStyle w:val="TextBody"/>
        <w:bidi w:val="0"/>
        <w:spacing w:lineRule="auto" w:line="288" w:before="0" w:after="0"/>
        <w:ind w:left="0" w:right="0" w:hanging="965"/>
        <w:jc w:val="left"/>
        <w:rPr/>
      </w:pPr>
      <w:r>
        <w:rPr>
          <w:rFonts w:ascii="Times New Roman;serif" w:hAnsi="Times New Roman;serif"/>
          <w:b w:val="false"/>
          <w:color w:val="000000"/>
          <w:sz w:val="22"/>
        </w:rPr>
        <w:t>10.10.</w:t>
      </w:r>
      <w:r>
        <w:rPr>
          <w:color w:val="000000"/>
        </w:rPr>
        <w:t>    </w:t>
      </w:r>
      <w:r>
        <w:rPr>
          <w:rFonts w:ascii="Times New Roman;serif" w:hAnsi="Times New Roman;serif"/>
          <w:b w:val="false"/>
          <w:color w:val="000000"/>
          <w:sz w:val="22"/>
        </w:rPr>
        <w:t>Integration    </w:t>
      </w:r>
      <w:r>
        <w:rPr>
          <w:rFonts w:ascii="Times New Roman;serif" w:hAnsi="Times New Roman;serif"/>
          <w:b w:val="false"/>
          <w:strike/>
          <w:color w:val="FF0000"/>
          <w:sz w:val="22"/>
        </w:rPr>
        <w:t>141</w:t>
      </w:r>
      <w:r>
        <w:rPr>
          <w:rFonts w:ascii="Times New Roman;serif" w:hAnsi="Times New Roman;serif"/>
          <w:b w:val="false"/>
          <w:color w:val="0000FF"/>
          <w:sz w:val="22"/>
          <w:u w:val="single"/>
        </w:rPr>
        <w:t>143</w:t>
      </w:r>
    </w:p>
    <w:p>
      <w:pPr>
        <w:pStyle w:val="TextBody"/>
        <w:bidi w:val="0"/>
        <w:spacing w:lineRule="auto" w:line="288" w:before="0" w:after="0"/>
        <w:ind w:left="0" w:right="0" w:hanging="965"/>
        <w:jc w:val="left"/>
        <w:rPr/>
      </w:pPr>
      <w:r>
        <w:rPr>
          <w:rFonts w:ascii="Times New Roman;serif" w:hAnsi="Times New Roman;serif"/>
          <w:b w:val="false"/>
          <w:color w:val="000000"/>
          <w:sz w:val="22"/>
        </w:rPr>
        <w:t>10.11.</w:t>
      </w:r>
      <w:r>
        <w:rPr>
          <w:color w:val="000000"/>
        </w:rPr>
        <w:t>    </w:t>
      </w:r>
      <w:r>
        <w:rPr>
          <w:rFonts w:ascii="Times New Roman;serif" w:hAnsi="Times New Roman;serif"/>
          <w:b w:val="false"/>
          <w:color w:val="000000"/>
          <w:sz w:val="22"/>
        </w:rPr>
        <w:t>GOVERNING LAW    </w:t>
      </w:r>
      <w:r>
        <w:rPr>
          <w:rFonts w:ascii="Times New Roman;serif" w:hAnsi="Times New Roman;serif"/>
          <w:b w:val="false"/>
          <w:strike/>
          <w:color w:val="FF0000"/>
          <w:sz w:val="22"/>
        </w:rPr>
        <w:t>141</w:t>
      </w:r>
      <w:r>
        <w:rPr>
          <w:rFonts w:ascii="Times New Roman;serif" w:hAnsi="Times New Roman;serif"/>
          <w:b w:val="false"/>
          <w:color w:val="0000FF"/>
          <w:sz w:val="22"/>
          <w:u w:val="single"/>
        </w:rPr>
        <w:t>143</w:t>
      </w:r>
    </w:p>
    <w:p>
      <w:pPr>
        <w:pStyle w:val="TextBody"/>
        <w:bidi w:val="0"/>
        <w:spacing w:lineRule="auto" w:line="288" w:before="0" w:after="0"/>
        <w:ind w:left="0" w:right="0" w:hanging="965"/>
        <w:jc w:val="left"/>
        <w:rPr/>
      </w:pPr>
      <w:r>
        <w:rPr>
          <w:rFonts w:ascii="Times New Roman;serif" w:hAnsi="Times New Roman;serif"/>
          <w:b w:val="false"/>
          <w:color w:val="000000"/>
          <w:sz w:val="22"/>
        </w:rPr>
        <w:t>10.12.</w:t>
      </w:r>
      <w:r>
        <w:rPr>
          <w:color w:val="000000"/>
        </w:rPr>
        <w:t>    </w:t>
      </w:r>
      <w:r>
        <w:rPr>
          <w:rFonts w:ascii="Times New Roman;serif" w:hAnsi="Times New Roman;serif"/>
          <w:b w:val="false"/>
          <w:color w:val="000000"/>
          <w:sz w:val="22"/>
        </w:rPr>
        <w:t>Submission To Jurisdiction; Waivers    </w:t>
      </w:r>
      <w:r>
        <w:rPr>
          <w:rFonts w:ascii="Times New Roman;serif" w:hAnsi="Times New Roman;serif"/>
          <w:b w:val="false"/>
          <w:strike/>
          <w:color w:val="FF0000"/>
          <w:sz w:val="22"/>
        </w:rPr>
        <w:t>141</w:t>
      </w:r>
      <w:r>
        <w:rPr>
          <w:rFonts w:ascii="Times New Roman;serif" w:hAnsi="Times New Roman;serif"/>
          <w:b w:val="false"/>
          <w:color w:val="0000FF"/>
          <w:sz w:val="22"/>
          <w:u w:val="single"/>
        </w:rPr>
        <w:t>143</w:t>
      </w:r>
    </w:p>
    <w:p>
      <w:pPr>
        <w:pStyle w:val="TextBody"/>
        <w:bidi w:val="0"/>
        <w:spacing w:lineRule="auto" w:line="288" w:before="0" w:after="0"/>
        <w:ind w:left="0" w:right="0" w:hanging="965"/>
        <w:jc w:val="left"/>
        <w:rPr/>
      </w:pPr>
      <w:r>
        <w:rPr>
          <w:rFonts w:ascii="Times New Roman;serif" w:hAnsi="Times New Roman;serif"/>
          <w:b w:val="false"/>
          <w:color w:val="000000"/>
          <w:sz w:val="22"/>
        </w:rPr>
        <w:t>10.13.</w:t>
      </w:r>
      <w:r>
        <w:rPr>
          <w:color w:val="000000"/>
        </w:rPr>
        <w:t>    </w:t>
      </w:r>
      <w:r>
        <w:rPr>
          <w:rFonts w:ascii="Times New Roman;serif" w:hAnsi="Times New Roman;serif"/>
          <w:b w:val="false"/>
          <w:color w:val="000000"/>
          <w:sz w:val="22"/>
        </w:rPr>
        <w:t>Releases of Guarantees and Liens    </w:t>
      </w:r>
      <w:r>
        <w:rPr>
          <w:rFonts w:ascii="Times New Roman;serif" w:hAnsi="Times New Roman;serif"/>
          <w:b w:val="false"/>
          <w:strike/>
          <w:color w:val="FF0000"/>
          <w:sz w:val="22"/>
        </w:rPr>
        <w:t>142</w:t>
      </w:r>
      <w:r>
        <w:rPr>
          <w:rFonts w:ascii="Times New Roman;serif" w:hAnsi="Times New Roman;serif"/>
          <w:b w:val="false"/>
          <w:color w:val="0000FF"/>
          <w:sz w:val="22"/>
          <w:u w:val="single"/>
        </w:rPr>
        <w:t>144</w:t>
      </w:r>
    </w:p>
    <w:p>
      <w:pPr>
        <w:pStyle w:val="TextBody"/>
        <w:bidi w:val="0"/>
        <w:spacing w:lineRule="auto" w:line="288"/>
        <w:ind w:left="0" w:right="0" w:hanging="965"/>
        <w:jc w:val="left"/>
        <w:rPr/>
      </w:pPr>
      <w:r>
        <w:rPr>
          <w:rFonts w:ascii="Times New Roman;serif" w:hAnsi="Times New Roman;serif"/>
          <w:b w:val="false"/>
          <w:color w:val="000000"/>
          <w:sz w:val="22"/>
        </w:rPr>
        <w:t>10.14.</w:t>
      </w:r>
      <w:r>
        <w:rPr>
          <w:color w:val="000000"/>
        </w:rPr>
        <w:t>    </w:t>
      </w:r>
      <w:r>
        <w:rPr>
          <w:rFonts w:ascii="Times New Roman;serif" w:hAnsi="Times New Roman;serif"/>
          <w:b w:val="false"/>
          <w:color w:val="000000"/>
          <w:sz w:val="22"/>
        </w:rPr>
        <w:t>Confidentiality    </w:t>
      </w:r>
      <w:r>
        <w:rPr>
          <w:rFonts w:ascii="Times New Roman;serif" w:hAnsi="Times New Roman;serif"/>
          <w:b w:val="false"/>
          <w:strike/>
          <w:color w:val="FF0000"/>
          <w:sz w:val="22"/>
        </w:rPr>
        <w:t>143</w:t>
      </w:r>
      <w:r>
        <w:rPr>
          <w:rFonts w:ascii="Times New Roman;serif" w:hAnsi="Times New Roman;serif"/>
          <w:b w:val="false"/>
          <w:color w:val="0000FF"/>
          <w:sz w:val="22"/>
          <w:u w:val="single"/>
        </w:rPr>
        <w:t>145</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txbxContent>
                </v:textbox>
                <w10:wrap type="none"/>
              </v:rect>
            </w:pict>
          </mc:Fallback>
        </mc:AlternateContent>
      </w:r>
    </w:p>
    <w:p>
      <w:pPr>
        <w:pStyle w:val="TextBody"/>
        <w:bidi w:val="0"/>
        <w:spacing w:lineRule="auto" w:line="288" w:before="0" w:after="0"/>
        <w:ind w:left="0" w:right="0" w:hanging="965"/>
        <w:jc w:val="left"/>
        <w:rPr/>
      </w:pPr>
      <w:r>
        <w:rPr>
          <w:rFonts w:ascii="Times New Roman;serif" w:hAnsi="Times New Roman;serif"/>
          <w:b w:val="false"/>
          <w:color w:val="000000"/>
          <w:sz w:val="22"/>
        </w:rPr>
        <w:t>10.15.</w:t>
      </w:r>
      <w:r>
        <w:rPr>
          <w:color w:val="000000"/>
        </w:rPr>
        <w:t>    </w:t>
      </w:r>
      <w:r>
        <w:rPr>
          <w:rFonts w:ascii="Times New Roman;serif" w:hAnsi="Times New Roman;serif"/>
          <w:b w:val="false"/>
          <w:color w:val="000000"/>
          <w:sz w:val="22"/>
        </w:rPr>
        <w:t>WAIVERS OF JURY TRIAL    </w:t>
      </w:r>
      <w:r>
        <w:rPr>
          <w:rFonts w:ascii="Times New Roman;serif" w:hAnsi="Times New Roman;serif"/>
          <w:b w:val="false"/>
          <w:strike/>
          <w:color w:val="FF0000"/>
          <w:sz w:val="22"/>
        </w:rPr>
        <w:t>144</w:t>
      </w:r>
      <w:r>
        <w:rPr>
          <w:rFonts w:ascii="Times New Roman;serif" w:hAnsi="Times New Roman;serif"/>
          <w:b w:val="false"/>
          <w:color w:val="0000FF"/>
          <w:sz w:val="22"/>
          <w:u w:val="single"/>
        </w:rPr>
        <w:t>146</w:t>
      </w:r>
    </w:p>
    <w:p>
      <w:pPr>
        <w:pStyle w:val="TextBody"/>
        <w:bidi w:val="0"/>
        <w:spacing w:lineRule="auto" w:line="288" w:before="0" w:after="0"/>
        <w:ind w:left="0" w:right="0" w:hanging="965"/>
        <w:jc w:val="left"/>
        <w:rPr/>
      </w:pPr>
      <w:r>
        <w:rPr>
          <w:rFonts w:ascii="Times New Roman;serif" w:hAnsi="Times New Roman;serif"/>
          <w:b w:val="false"/>
          <w:color w:val="000000"/>
          <w:sz w:val="22"/>
        </w:rPr>
        <w:t>10.16.</w:t>
      </w:r>
      <w:r>
        <w:rPr>
          <w:color w:val="000000"/>
        </w:rPr>
        <w:t>    </w:t>
      </w:r>
      <w:r>
        <w:rPr>
          <w:rFonts w:ascii="Times New Roman;serif" w:hAnsi="Times New Roman;serif"/>
          <w:b w:val="false"/>
          <w:color w:val="000000"/>
          <w:sz w:val="22"/>
        </w:rPr>
        <w:t>Patriot Act; Beneficial Ownership    </w:t>
      </w:r>
      <w:r>
        <w:rPr>
          <w:rFonts w:ascii="Times New Roman;serif" w:hAnsi="Times New Roman;serif"/>
          <w:b w:val="false"/>
          <w:strike/>
          <w:color w:val="FF0000"/>
          <w:sz w:val="22"/>
        </w:rPr>
        <w:t>144</w:t>
      </w:r>
      <w:r>
        <w:rPr>
          <w:rFonts w:ascii="Times New Roman;serif" w:hAnsi="Times New Roman;serif"/>
          <w:b w:val="false"/>
          <w:color w:val="0000FF"/>
          <w:sz w:val="22"/>
          <w:u w:val="single"/>
        </w:rPr>
        <w:t>146</w:t>
      </w:r>
    </w:p>
    <w:p>
      <w:pPr>
        <w:pStyle w:val="TextBody"/>
        <w:bidi w:val="0"/>
        <w:spacing w:lineRule="auto" w:line="288" w:before="0" w:after="0"/>
        <w:ind w:left="0" w:right="0" w:hanging="965"/>
        <w:jc w:val="left"/>
        <w:rPr/>
      </w:pPr>
      <w:r>
        <w:rPr>
          <w:rFonts w:ascii="Times New Roman;serif" w:hAnsi="Times New Roman;serif"/>
          <w:b w:val="false"/>
          <w:color w:val="000000"/>
          <w:sz w:val="22"/>
        </w:rPr>
        <w:t>10.17.</w:t>
      </w:r>
      <w:r>
        <w:rPr>
          <w:color w:val="000000"/>
        </w:rPr>
        <w:t>    </w:t>
      </w:r>
      <w:r>
        <w:rPr>
          <w:rFonts w:ascii="Times New Roman;serif" w:hAnsi="Times New Roman;serif"/>
          <w:b w:val="false"/>
          <w:color w:val="000000"/>
          <w:sz w:val="22"/>
        </w:rPr>
        <w:t>No Fiduciary Duty, Etc    </w:t>
      </w:r>
      <w:r>
        <w:rPr>
          <w:rFonts w:ascii="Times New Roman;serif" w:hAnsi="Times New Roman;serif"/>
          <w:b w:val="false"/>
          <w:strike/>
          <w:color w:val="FF0000"/>
          <w:sz w:val="22"/>
        </w:rPr>
        <w:t>145</w:t>
      </w:r>
      <w:r>
        <w:rPr>
          <w:rFonts w:ascii="Times New Roman;serif" w:hAnsi="Times New Roman;serif"/>
          <w:b w:val="false"/>
          <w:color w:val="0000FF"/>
          <w:sz w:val="22"/>
          <w:u w:val="single"/>
        </w:rPr>
        <w:t>147</w:t>
      </w:r>
    </w:p>
    <w:p>
      <w:pPr>
        <w:pStyle w:val="TextBody"/>
        <w:bidi w:val="0"/>
        <w:spacing w:lineRule="auto" w:line="288" w:before="0" w:after="0"/>
        <w:ind w:left="0" w:right="0" w:hanging="965"/>
        <w:jc w:val="left"/>
        <w:rPr/>
      </w:pPr>
      <w:r>
        <w:rPr>
          <w:rFonts w:ascii="Times New Roman;serif" w:hAnsi="Times New Roman;serif"/>
          <w:b w:val="false"/>
          <w:color w:val="000000"/>
          <w:sz w:val="22"/>
        </w:rPr>
        <w:t>10.18.</w:t>
      </w:r>
      <w:r>
        <w:rPr>
          <w:color w:val="000000"/>
        </w:rPr>
        <w:t>    </w:t>
      </w:r>
      <w:r>
        <w:rPr>
          <w:rFonts w:ascii="Times New Roman;serif" w:hAnsi="Times New Roman;serif"/>
          <w:b w:val="false"/>
          <w:color w:val="000000"/>
          <w:sz w:val="22"/>
        </w:rPr>
        <w:t>Usury    </w:t>
      </w:r>
      <w:r>
        <w:rPr>
          <w:rFonts w:ascii="Times New Roman;serif" w:hAnsi="Times New Roman;serif"/>
          <w:b w:val="false"/>
          <w:strike/>
          <w:color w:val="FF0000"/>
          <w:sz w:val="22"/>
        </w:rPr>
        <w:t>145</w:t>
      </w:r>
      <w:r>
        <w:rPr>
          <w:rFonts w:ascii="Times New Roman;serif" w:hAnsi="Times New Roman;serif"/>
          <w:b w:val="false"/>
          <w:color w:val="0000FF"/>
          <w:sz w:val="22"/>
          <w:u w:val="single"/>
        </w:rPr>
        <w:t>147</w:t>
      </w:r>
    </w:p>
    <w:p>
      <w:pPr>
        <w:pStyle w:val="TextBody"/>
        <w:bidi w:val="0"/>
        <w:spacing w:lineRule="auto" w:line="288" w:before="0" w:after="0"/>
        <w:ind w:left="0" w:right="0" w:hanging="965"/>
        <w:jc w:val="left"/>
        <w:rPr/>
      </w:pPr>
      <w:r>
        <w:rPr>
          <w:rFonts w:ascii="Times New Roman;serif" w:hAnsi="Times New Roman;serif"/>
          <w:b w:val="false"/>
          <w:color w:val="000000"/>
          <w:sz w:val="22"/>
        </w:rPr>
        <w:t>10.19.</w:t>
      </w:r>
      <w:r>
        <w:rPr>
          <w:color w:val="000000"/>
        </w:rPr>
        <w:t>    </w:t>
      </w:r>
      <w:r>
        <w:rPr>
          <w:rFonts w:ascii="Times New Roman;serif" w:hAnsi="Times New Roman;serif"/>
          <w:b w:val="false"/>
          <w:color w:val="000000"/>
          <w:sz w:val="22"/>
        </w:rPr>
        <w:t>Acknowledgement and Consent to Bail-In of Affected Financial Institutions    </w:t>
      </w:r>
      <w:r>
        <w:rPr>
          <w:rFonts w:ascii="Times New Roman;serif" w:hAnsi="Times New Roman;serif"/>
          <w:b w:val="false"/>
          <w:strike/>
          <w:color w:val="FF0000"/>
          <w:sz w:val="22"/>
        </w:rPr>
        <w:t>145</w:t>
      </w:r>
      <w:r>
        <w:rPr>
          <w:rFonts w:ascii="Times New Roman;serif" w:hAnsi="Times New Roman;serif"/>
          <w:b w:val="false"/>
          <w:color w:val="0000FF"/>
          <w:sz w:val="22"/>
          <w:u w:val="single"/>
        </w:rPr>
        <w:t>147</w:t>
      </w:r>
    </w:p>
    <w:p>
      <w:pPr>
        <w:pStyle w:val="TextBody"/>
        <w:bidi w:val="0"/>
        <w:spacing w:lineRule="auto" w:line="288" w:before="0" w:after="0"/>
        <w:ind w:left="0" w:right="0" w:hanging="965"/>
        <w:jc w:val="left"/>
        <w:rPr/>
      </w:pPr>
      <w:r>
        <w:rPr>
          <w:rFonts w:ascii="Times New Roman;serif" w:hAnsi="Times New Roman;serif"/>
          <w:b w:val="false"/>
          <w:color w:val="000000"/>
          <w:sz w:val="22"/>
        </w:rPr>
        <w:t>10.20.</w:t>
      </w:r>
      <w:r>
        <w:rPr>
          <w:color w:val="000000"/>
        </w:rPr>
        <w:t>    </w:t>
      </w:r>
      <w:r>
        <w:rPr>
          <w:rFonts w:ascii="Times New Roman;serif" w:hAnsi="Times New Roman;serif"/>
          <w:b w:val="false"/>
          <w:color w:val="000000"/>
          <w:sz w:val="22"/>
        </w:rPr>
        <w:t>Conversion of Currencies    </w:t>
      </w:r>
      <w:r>
        <w:rPr>
          <w:rFonts w:ascii="Times New Roman;serif" w:hAnsi="Times New Roman;serif"/>
          <w:b w:val="false"/>
          <w:strike/>
          <w:color w:val="FF0000"/>
          <w:sz w:val="22"/>
        </w:rPr>
        <w:t>146</w:t>
      </w:r>
      <w:r>
        <w:rPr>
          <w:rFonts w:ascii="Times New Roman;serif" w:hAnsi="Times New Roman;serif"/>
          <w:b w:val="false"/>
          <w:color w:val="0000FF"/>
          <w:sz w:val="22"/>
          <w:u w:val="single"/>
        </w:rPr>
        <w:t>148</w:t>
      </w:r>
    </w:p>
    <w:p>
      <w:pPr>
        <w:pStyle w:val="TextBody"/>
        <w:bidi w:val="0"/>
        <w:spacing w:lineRule="auto" w:line="288" w:before="0" w:after="0"/>
        <w:ind w:left="0" w:right="0" w:hanging="965"/>
        <w:jc w:val="left"/>
        <w:rPr/>
      </w:pPr>
      <w:r>
        <w:rPr>
          <w:rFonts w:ascii="Times New Roman;serif" w:hAnsi="Times New Roman;serif"/>
          <w:b w:val="false"/>
          <w:color w:val="000000"/>
          <w:sz w:val="22"/>
        </w:rPr>
        <w:t>10.21.</w:t>
      </w:r>
      <w:r>
        <w:rPr>
          <w:color w:val="000000"/>
        </w:rPr>
        <w:t>    </w:t>
      </w:r>
      <w:r>
        <w:rPr>
          <w:rFonts w:ascii="Times New Roman;serif" w:hAnsi="Times New Roman;serif"/>
          <w:b w:val="false"/>
          <w:color w:val="000000"/>
          <w:sz w:val="22"/>
        </w:rPr>
        <w:t>Several Obligations    </w:t>
      </w:r>
      <w:r>
        <w:rPr>
          <w:rFonts w:ascii="Times New Roman;serif" w:hAnsi="Times New Roman;serif"/>
          <w:b w:val="false"/>
          <w:strike/>
          <w:color w:val="FF0000"/>
          <w:sz w:val="22"/>
        </w:rPr>
        <w:t>146</w:t>
      </w:r>
      <w:r>
        <w:rPr>
          <w:rFonts w:ascii="Times New Roman;serif" w:hAnsi="Times New Roman;serif"/>
          <w:b w:val="false"/>
          <w:color w:val="0000FF"/>
          <w:sz w:val="22"/>
          <w:u w:val="single"/>
        </w:rPr>
        <w:t>148</w:t>
      </w:r>
    </w:p>
    <w:p>
      <w:pPr>
        <w:pStyle w:val="TextBody"/>
        <w:bidi w:val="0"/>
        <w:spacing w:lineRule="auto" w:line="288" w:before="0" w:after="0"/>
        <w:ind w:left="0" w:right="0" w:hanging="965"/>
        <w:jc w:val="left"/>
        <w:rPr/>
      </w:pPr>
      <w:r>
        <w:rPr>
          <w:rFonts w:ascii="Times New Roman;serif" w:hAnsi="Times New Roman;serif"/>
          <w:b w:val="false"/>
          <w:color w:val="000000"/>
          <w:sz w:val="22"/>
        </w:rPr>
        <w:t>10.22.</w:t>
      </w:r>
      <w:r>
        <w:rPr>
          <w:color w:val="000000"/>
        </w:rPr>
        <w:t>    </w:t>
      </w:r>
      <w:r>
        <w:rPr>
          <w:rFonts w:ascii="Times New Roman;serif" w:hAnsi="Times New Roman;serif"/>
          <w:b w:val="false"/>
          <w:color w:val="000000"/>
          <w:sz w:val="22"/>
        </w:rPr>
        <w:t>MIRE Events    </w:t>
      </w:r>
      <w:r>
        <w:rPr>
          <w:rFonts w:ascii="Times New Roman;serif" w:hAnsi="Times New Roman;serif"/>
          <w:b w:val="false"/>
          <w:strike/>
          <w:color w:val="FF0000"/>
          <w:sz w:val="22"/>
        </w:rPr>
        <w:t>146</w:t>
      </w:r>
      <w:r>
        <w:rPr>
          <w:rFonts w:ascii="Times New Roman;serif" w:hAnsi="Times New Roman;serif"/>
          <w:b w:val="false"/>
          <w:color w:val="0000FF"/>
          <w:sz w:val="22"/>
          <w:u w:val="single"/>
        </w:rPr>
        <w:t>148</w:t>
      </w:r>
    </w:p>
    <w:p>
      <w:pPr>
        <w:pStyle w:val="TextBody"/>
        <w:bidi w:val="0"/>
        <w:spacing w:lineRule="auto" w:line="288" w:before="0" w:after="0"/>
        <w:ind w:left="0" w:right="0" w:hanging="965"/>
        <w:jc w:val="left"/>
        <w:rPr/>
      </w:pPr>
      <w:r>
        <w:rPr>
          <w:rFonts w:ascii="Times New Roman;serif" w:hAnsi="Times New Roman;serif"/>
          <w:b w:val="false"/>
          <w:color w:val="000000"/>
          <w:sz w:val="22"/>
        </w:rPr>
        <w:t>10.23.</w:t>
      </w:r>
      <w:r>
        <w:rPr>
          <w:color w:val="000000"/>
        </w:rPr>
        <w:t>    </w:t>
      </w:r>
      <w:r>
        <w:rPr>
          <w:rFonts w:ascii="Times New Roman;serif" w:hAnsi="Times New Roman;serif"/>
          <w:b w:val="false"/>
          <w:color w:val="000000"/>
          <w:sz w:val="22"/>
        </w:rPr>
        <w:t>Acknowledgment Regarding Any Supported QFCs    </w:t>
      </w:r>
      <w:r>
        <w:rPr>
          <w:rFonts w:ascii="Times New Roman;serif" w:hAnsi="Times New Roman;serif"/>
          <w:b w:val="false"/>
          <w:strike/>
          <w:color w:val="FF0000"/>
          <w:sz w:val="22"/>
        </w:rPr>
        <w:t>147</w:t>
      </w:r>
      <w:r>
        <w:rPr>
          <w:rFonts w:ascii="Times New Roman;serif" w:hAnsi="Times New Roman;serif"/>
          <w:b w:val="false"/>
          <w:color w:val="0000FF"/>
          <w:sz w:val="22"/>
          <w:u w:val="single"/>
        </w:rPr>
        <w:t>148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1.1A    Commitments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1.1B    Mortgaged Property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1.1C    Loan Parties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1.1D    Excluded Subsidiary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1.1E    Existing Letters of Credit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4.4    Consents, Authorizations, Filings and Notices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4.15    Subsidiaries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4.19(a)    Financing Statements/Filing Offices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6.12    Post-Closing Obligations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7.2(c)    Existing Indebtedness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7.3(f)    Existing Liens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7.5    Dispositions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7.7(h)    Existing Investments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7.8    Transactions with Affiliates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7.11    Negative Pledge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A-1    Form of Guarantee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A-2    Form of Collateral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    Form of Compliance Certificate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    Form of Assignment and Assumption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D-1    Form of U.S. Tax Compliance Certificate (For Foreign Lenders That Are Not Partnerships     For U.S. Federal Income Tax Purposes)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D-2    Form of U.S. Tax Compliance Certificate (For Foreign Participants That Are Not     Partnerships For U.S. Federal Income Tax Purposes)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D-3    Form of U.S. Tax Compliance Certificate (For Foreign Participants That Are Partnerships For     U.S. Federal Income Tax Purposes)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D-4    Form of U.S. Tax Compliance Certificate (For Foreign Lenders That Are Partnerships For     U.S. Federal Income Tax Purposes)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    Form of Solvency Certificate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CREDIT AGREEMENT, dated as of June 24, 2025, among Remitly Global, Inc.,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Remitly, Inc., a Delaware corporation (“</w:t>
      </w:r>
      <w:r>
        <w:rPr>
          <w:rFonts w:ascii="Times New Roman;serif" w:hAnsi="Times New Roman;serif"/>
          <w:b/>
          <w:color w:val="000000"/>
          <w:sz w:val="22"/>
        </w:rPr>
        <w:t>Remitly</w:t>
      </w:r>
      <w:r>
        <w:rPr>
          <w:color w:val="000000"/>
        </w:rPr>
        <w:t xml:space="preserve">” </w:t>
      </w:r>
      <w:r>
        <w:rPr>
          <w:rFonts w:ascii="Times New Roman;serif" w:hAnsi="Times New Roman;serif"/>
          <w:b w:val="false"/>
          <w:color w:val="000000"/>
          <w:sz w:val="22"/>
        </w:rPr>
        <w:t>and, together with the Company, the “</w:t>
      </w:r>
      <w:r>
        <w:rPr>
          <w:rFonts w:ascii="Times New Roman;serif" w:hAnsi="Times New Roman;serif"/>
          <w:b/>
          <w:color w:val="000000"/>
          <w:sz w:val="22"/>
        </w:rPr>
        <w:t>Borrowers</w:t>
      </w:r>
      <w:r>
        <w:rPr>
          <w:color w:val="000000"/>
        </w:rPr>
        <w:t>”</w:t>
      </w:r>
      <w:r>
        <w:rPr>
          <w:rFonts w:ascii="Times New Roman;serif" w:hAnsi="Times New Roman;serif"/>
          <w:b w:val="false"/>
          <w:color w:val="000000"/>
          <w:sz w:val="22"/>
        </w:rPr>
        <w:t>, and each individually a “</w:t>
      </w:r>
      <w:r>
        <w:rPr>
          <w:rFonts w:ascii="Times New Roman;serif" w:hAnsi="Times New Roman;serif"/>
          <w:b/>
          <w:color w:val="000000"/>
          <w:sz w:val="22"/>
        </w:rPr>
        <w:t>Borrower</w:t>
      </w:r>
      <w:r>
        <w:rPr>
          <w:color w:val="000000"/>
        </w:rPr>
        <w:t>”</w:t>
      </w:r>
      <w:r>
        <w:rPr>
          <w:rFonts w:ascii="Times New Roman;serif" w:hAnsi="Times New Roman;serif"/>
          <w:b w:val="false"/>
          <w:color w:val="000000"/>
          <w:sz w:val="22"/>
        </w:rPr>
        <w:t>), as borrowers, the several banks and other financial institutions or entities from time to time parties to this Agreement (the “</w:t>
      </w:r>
      <w:r>
        <w:rPr>
          <w:rFonts w:ascii="Times New Roman;serif" w:hAnsi="Times New Roman;serif"/>
          <w:b/>
          <w:color w:val="000000"/>
          <w:sz w:val="22"/>
        </w:rPr>
        <w:t>Lenders</w:t>
      </w:r>
      <w:r>
        <w:rPr>
          <w:color w:val="000000"/>
        </w:rPr>
        <w:t>”</w:t>
      </w:r>
      <w:r>
        <w:rPr>
          <w:rFonts w:ascii="Times New Roman;serif" w:hAnsi="Times New Roman;serif"/>
          <w:b w:val="false"/>
          <w:color w:val="000000"/>
          <w:sz w:val="22"/>
        </w:rPr>
        <w:t>) and JPMORGAN CHASE BANK, N.A., as administrative agent.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RECITALS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Borrowers have requested that the Lenders extend credit to the Borrowers in the form of a senior secured revolving credit facility in an aggregate amount of $550,000,000 the proceeds of which will be used, among other things, for working capital, capital expenditures and other general corporate purposes.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Borrowers have requested that each Revolving Lender provide to the Borrowers the Revolving Facility on the terms and subject to the conditions set forth herein;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Lenders are willing to extend such credit to the Borrowers on the terms and subject to the conditions set forth 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the parties hereto hereby agree as follows:</w:t>
      </w:r>
    </w:p>
    <w:p>
      <w:pPr>
        <w:pStyle w:val="TextBody"/>
        <w:bidi w:val="0"/>
        <w:spacing w:lineRule="auto" w:line="288" w:before="0" w:after="240"/>
        <w:jc w:val="left"/>
        <w:rPr/>
      </w:pPr>
      <w:r>
        <w:rPr>
          <w:rFonts w:ascii="Times New Roman;serif" w:hAnsi="Times New Roman;serif"/>
          <w:b w:val="false"/>
          <w:color w:val="010000"/>
          <w:sz w:val="22"/>
        </w:rPr>
        <w:t>Section 1.</w:t>
      </w:r>
      <w:r>
        <w:rPr>
          <w:rFonts w:ascii="Times New Roman;serif" w:hAnsi="Times New Roman;serif"/>
          <w:b w:val="false"/>
          <w:color w:val="000000"/>
          <w:sz w:val="22"/>
        </w:rP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Defined Terms</w:t>
      </w:r>
      <w:r>
        <w:rPr>
          <w:rFonts w:ascii="Times New Roman;serif" w:hAnsi="Times New Roman;serif"/>
          <w:b w:val="false"/>
          <w:color w:val="000000"/>
          <w:sz w:val="22"/>
        </w:rPr>
        <w:t>. As used in this Agreement, the terms listed in this Section 1.1 shall have the respective meanings set forth in this Section 1.1.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ABR</w:t>
      </w:r>
      <w:r>
        <w:rPr>
          <w:color w:val="000000"/>
        </w:rPr>
        <w:t>”</w:t>
      </w:r>
      <w:r>
        <w:rPr>
          <w:rFonts w:ascii="Times New Roman;serif" w:hAnsi="Times New Roman;serif"/>
          <w:b w:val="false"/>
          <w:color w:val="000000"/>
          <w:sz w:val="22"/>
        </w:rPr>
        <w:t>: when used in reference to any Loan or Borrowing, whether such Loan, or the Loans comprising such Borrowing, bears interest at a rate determined by reference to the Alternate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Additional Lender</w:t>
      </w:r>
      <w:r>
        <w:rPr>
          <w:color w:val="000000"/>
        </w:rPr>
        <w:t>”</w:t>
      </w:r>
      <w:r>
        <w:rPr>
          <w:rFonts w:ascii="Times New Roman;serif" w:hAnsi="Times New Roman;serif"/>
          <w:b w:val="false"/>
          <w:color w:val="000000"/>
          <w:sz w:val="22"/>
        </w:rPr>
        <w:t xml:space="preserve">: as defined in Section 2.25(b).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Additional Refinancing Lender</w:t>
      </w:r>
      <w:r>
        <w:rPr>
          <w:color w:val="000000"/>
        </w:rPr>
        <w:t>”</w:t>
      </w:r>
      <w:r>
        <w:rPr>
          <w:rFonts w:ascii="Times New Roman;serif" w:hAnsi="Times New Roman;serif"/>
          <w:b w:val="false"/>
          <w:color w:val="000000"/>
          <w:sz w:val="22"/>
        </w:rPr>
        <w:t xml:space="preserve">: as defined in Section 2.28(a).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Additional Term Loan Commitment</w:t>
      </w:r>
      <w:r>
        <w:rPr>
          <w:color w:val="000000"/>
        </w:rPr>
        <w:t>”</w:t>
      </w:r>
      <w:r>
        <w:rPr>
          <w:rFonts w:ascii="Times New Roman;serif" w:hAnsi="Times New Roman;serif"/>
          <w:b w:val="false"/>
          <w:color w:val="000000"/>
          <w:sz w:val="22"/>
        </w:rPr>
        <w:t>: any term loan commitment added hereunder pursuant to Sections 2.25 or 2.28.</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Additional Term Loans</w:t>
      </w:r>
      <w:r>
        <w:rPr>
          <w:color w:val="000000"/>
        </w:rPr>
        <w:t>”</w:t>
      </w:r>
      <w:r>
        <w:rPr>
          <w:rFonts w:ascii="Times New Roman;serif" w:hAnsi="Times New Roman;serif"/>
          <w:b w:val="false"/>
          <w:color w:val="000000"/>
          <w:sz w:val="22"/>
        </w:rPr>
        <w:t xml:space="preserve">: any term loan added hereunder pursuant to Sections 2.25 or 2.28.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Administrative Agent</w:t>
      </w:r>
      <w:r>
        <w:rPr>
          <w:color w:val="000000"/>
        </w:rPr>
        <w:t>”</w:t>
      </w:r>
      <w:r>
        <w:rPr>
          <w:rFonts w:ascii="Times New Roman;serif" w:hAnsi="Times New Roman;serif"/>
          <w:b w:val="false"/>
          <w:color w:val="000000"/>
          <w:sz w:val="22"/>
        </w:rPr>
        <w:t>: JPMCB, together with its affiliates, as the arranger of the Commitments and as the administrative agent for the Lenders under this Agreement and the other Loan Documents, together with any of its successors.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Administrative Questionnaire</w:t>
      </w:r>
      <w:r>
        <w:rPr>
          <w:color w:val="000000"/>
        </w:rPr>
        <w:t>”</w:t>
      </w:r>
      <w:r>
        <w:rPr>
          <w:rFonts w:ascii="Times New Roman;serif" w:hAnsi="Times New Roman;serif"/>
          <w:b w:val="false"/>
          <w:color w:val="000000"/>
          <w:sz w:val="22"/>
        </w:rPr>
        <w:t>: an Administrative Questionnaire in a form supplied from time to time by the Administrative Agent to the Borrowers or any Lender, as the context requires.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Affected Financial Institution</w:t>
      </w:r>
      <w:r>
        <w:rPr>
          <w:color w:val="000000"/>
        </w:rPr>
        <w:t>”</w:t>
      </w:r>
      <w:r>
        <w:rPr>
          <w:rFonts w:ascii="Times New Roman;serif" w:hAnsi="Times New Roman;serif"/>
          <w:b w:val="false"/>
          <w:color w:val="000000"/>
          <w:sz w:val="22"/>
        </w:rPr>
        <w:t>: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Affiliate</w:t>
      </w:r>
      <w:r>
        <w:rPr>
          <w:color w:val="000000"/>
        </w:rPr>
        <w:t>”</w:t>
      </w:r>
      <w:r>
        <w:rPr>
          <w:rFonts w:ascii="Times New Roman;serif" w:hAnsi="Times New Roman;serif"/>
          <w:b w:val="false"/>
          <w:color w:val="000000"/>
          <w:sz w:val="22"/>
        </w:rPr>
        <w:t xml:space="preserve">: as to any Person, any other Person that, at any time, directly or indirectly, is in control of, is controlled by, or is under common control with, such Person. For purposes of this definition,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control</w:t>
      </w:r>
      <w:r>
        <w:rPr>
          <w:color w:val="000000"/>
        </w:rPr>
        <w:t xml:space="preserve">” </w:t>
      </w:r>
      <w:r>
        <w:rPr>
          <w:rFonts w:ascii="Times New Roman;serif" w:hAnsi="Times New Roman;serif"/>
          <w:b w:val="false"/>
          <w:color w:val="000000"/>
          <w:sz w:val="22"/>
        </w:rPr>
        <w:t>of a Person means the power, directly or indirectly, to direct or cause the direction of the management and policies of such Person, whether by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Affiliated Lender</w:t>
      </w:r>
      <w:r>
        <w:rPr>
          <w:color w:val="000000"/>
        </w:rPr>
        <w:t>”</w:t>
      </w:r>
      <w:r>
        <w:rPr>
          <w:rFonts w:ascii="Times New Roman;serif" w:hAnsi="Times New Roman;serif"/>
          <w:b w:val="false"/>
          <w:color w:val="000000"/>
          <w:sz w:val="22"/>
        </w:rPr>
        <w:t>: as defined in Section 10.6(k).</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Agents</w:t>
      </w:r>
      <w:r>
        <w:rPr>
          <w:color w:val="000000"/>
        </w:rPr>
        <w:t>”</w:t>
      </w:r>
      <w:r>
        <w:rPr>
          <w:rFonts w:ascii="Times New Roman;serif" w:hAnsi="Times New Roman;serif"/>
          <w:b w:val="false"/>
          <w:color w:val="000000"/>
          <w:sz w:val="22"/>
        </w:rPr>
        <w:t xml:space="preserve">: the collective reference to the Arrangers, the Joint Bookrunners and the Administrative Agent.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this Credit Agreement, as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Agreement Currency</w:t>
      </w:r>
      <w:r>
        <w:rPr>
          <w:color w:val="000000"/>
        </w:rPr>
        <w:t>”</w:t>
      </w:r>
      <w:r>
        <w:rPr>
          <w:rFonts w:ascii="Times New Roman;serif" w:hAnsi="Times New Roman;serif"/>
          <w:b w:val="false"/>
          <w:color w:val="000000"/>
          <w:sz w:val="22"/>
        </w:rPr>
        <w:t>: as defined in Section 10.20(b).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Aggregate Customer Outstandings”</w:t>
      </w:r>
      <w:r>
        <w:rPr>
          <w:color w:val="000000"/>
        </w:rPr>
        <w:t xml:space="preserve"> </w:t>
      </w:r>
      <w:r>
        <w:rPr>
          <w:rFonts w:ascii="Times New Roman;serif" w:hAnsi="Times New Roman;serif"/>
          <w:b w:val="false"/>
          <w:color w:val="000000"/>
          <w:sz w:val="22"/>
        </w:rPr>
        <w:t>means, on any date, the sum of outstanding Customer Advances and outstanding Customer Guarantees.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Aggregate Exposure</w:t>
      </w:r>
      <w:r>
        <w:rPr>
          <w:color w:val="000000"/>
        </w:rPr>
        <w:t>”</w:t>
      </w:r>
      <w:r>
        <w:rPr>
          <w:rFonts w:ascii="Times New Roman;serif" w:hAnsi="Times New Roman;serif"/>
          <w:b w:val="false"/>
          <w:color w:val="000000"/>
          <w:sz w:val="22"/>
        </w:rPr>
        <w:t>: with respect to any Lender at any time, an amount equal to the sum of (i) the aggregate then unpaid principal amount of such Lender’s Revolving Loans, (ii) the amount of such Lender’s unused Revolving Commitment, (iii) its LC Exposure and (iv) its Swingline Exposure, in each case at such time then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Aggregate Exposure Percentage</w:t>
      </w:r>
      <w:r>
        <w:rPr>
          <w:color w:val="000000"/>
        </w:rPr>
        <w:t>”</w:t>
      </w:r>
      <w:r>
        <w:rPr>
          <w:rFonts w:ascii="Times New Roman;serif" w:hAnsi="Times New Roman;serif"/>
          <w:b w:val="false"/>
          <w:color w:val="000000"/>
          <w:sz w:val="22"/>
        </w:rPr>
        <w:t>: with respect to any Lender at any time, the ratio (expressed as a percentage) of such Lender’s Aggregate Exposure at such time to the Aggregate Exposure of all Lenders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All-in Yield</w:t>
      </w:r>
      <w:r>
        <w:rPr>
          <w:color w:val="000000"/>
        </w:rPr>
        <w:t>”</w:t>
      </w:r>
      <w:r>
        <w:rPr>
          <w:rFonts w:ascii="Times New Roman;serif" w:hAnsi="Times New Roman;serif"/>
          <w:b w:val="false"/>
          <w:color w:val="000000"/>
          <w:sz w:val="22"/>
        </w:rPr>
        <w:t>: with respect to any Indebtedness, the yield of such Indebtedness, whether in the form of interest rate, margin, commitment or ticking fees, original issue discount, upfront fees, index floors or otherwise, in each case, payable generally to the applicable lenders; provided that original issue discount and upfront fees shall be equated to interest rate assuming a four-year life to maturity; provided further that “All-in Yield” shall exclude structuring, advisory, success, underwriting, commitment, arrangement, ticking, amendment, consent and similar fees payable in connection therewith that are not shared with all lenders providing such facility and any other fees not paid by the Borrowers generally to all lenders providing such facility ratably or, if only one lender (or affiliated group of lenders) is providing such facility, are fees of the type not customarily shared with lenders generally).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Alternate Base Rate</w:t>
      </w:r>
      <w:r>
        <w:rPr>
          <w:color w:val="000000"/>
        </w:rPr>
        <w:t>”</w:t>
      </w:r>
      <w:r>
        <w:rPr>
          <w:rFonts w:ascii="Times New Roman;serif" w:hAnsi="Times New Roman;serif"/>
          <w:b w:val="false"/>
          <w:color w:val="000000"/>
          <w:sz w:val="22"/>
        </w:rPr>
        <w:t xml:space="preserve">: for any day, a rate per annum equal to the greatest of (a) the Prime Rate in effect on such day, (b) the NYFRB Rate in effect on such day plus ½ of 1.00% and (c) the Term SOFR Rate for a one-month Interest Period as published two U.S. Government Securities Business Days prior to such day (or if such day is not a U.S. Government Securities Business Day, the immediately preceding U.S. Government Securities Business Day) plus 1.00%;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purposes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(for the avoidance of doubt, only until the applicable Benchmark Replacement has been determined pursuant to </w:t>
      </w:r>
      <w:r>
        <w:rPr>
          <w:rFonts w:ascii="Times New Roman;serif" w:hAnsi="Times New Roman;serif"/>
          <w:b w:val="false"/>
          <w:color w:val="000000"/>
          <w:sz w:val="22"/>
          <w:u w:val="single"/>
        </w:rPr>
        <w:t>Section 2.16(b)</w:t>
      </w:r>
      <w:r>
        <w:rPr>
          <w:rFonts w:ascii="Times New Roman;serif" w:hAnsi="Times New Roman;serif"/>
          <w:b w:val="false"/>
          <w:color w:val="000000"/>
          <w:sz w:val="22"/>
        </w:rPr>
        <w:t xml:space="preserve">), then the Alternate Base Rate shall be the greater of clauses (a) and (b) above and shall be determined without reference to clause (c)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above. For the avoidance of doubt, if the Alternate Base Rate as determined pursuant to the foregoing would be less than 1.00%, such rate shall be deemed to be 1.00% for purposes of this Agreement.</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color w:val="0000FF"/>
          <w:sz w:val="22"/>
          <w:u w:val="single"/>
        </w:rPr>
        <w:t>Alternative Currency</w:t>
      </w:r>
      <w:r>
        <w:rPr>
          <w:color w:val="0000FF"/>
          <w:u w:val="single"/>
        </w:rPr>
        <w:t xml:space="preserve">” </w:t>
      </w:r>
      <w:r>
        <w:rPr>
          <w:rFonts w:ascii="Times New Roman;serif" w:hAnsi="Times New Roman;serif"/>
          <w:b w:val="false"/>
          <w:color w:val="0000FF"/>
          <w:sz w:val="22"/>
          <w:u w:val="single"/>
        </w:rPr>
        <w:t xml:space="preserve">means Euro, Sterling, Australian Dollars, Canadian Dollars, Singapore Dollars, United Arab Emirates Dirhams, New Israeli Shekel, Polish Złoty and any other currency (other than U.S. Dollars) that (i) is freely available, freely transferable and freely convertible into U.S. Dollars and (ii) unless otherwise consented to by each Lender, in which dealings in deposits are carried on in the international interbank market; provided that at the time of the issuance, amendment, increase or extension of any Letter of Credit denominated in a currency other than U.S. Dollars, Euro, Sterling, Australian Dollars, Canadian Dollars, Singapore Dollars, United Arab Emirates Dirhams, New Israeli Shekel or Polish Złoty, such other currency is reasonably acceptable to the Administrative Agent and the applicable Issuing Bank in respect of such Letter of Credit; provided that, notwithstanding the foregoing, Wells Fargo Bank, N.A. (in its capacity as an Issuing Bank) shall not be required to issue Letters of Credit in Singapore Dollars, New Israeli Shekel or Polish Złoty. </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color w:val="0000FF"/>
          <w:sz w:val="22"/>
          <w:u w:val="single"/>
        </w:rPr>
        <w:t>Amendment No. 1</w:t>
      </w:r>
      <w:r>
        <w:rPr>
          <w:color w:val="0000FF"/>
          <w:u w:val="single"/>
        </w:rPr>
        <w:t>”</w:t>
      </w:r>
      <w:r>
        <w:rPr>
          <w:rFonts w:ascii="Times New Roman;serif" w:hAnsi="Times New Roman;serif"/>
          <w:b w:val="false"/>
          <w:color w:val="0000FF"/>
          <w:sz w:val="22"/>
          <w:u w:val="single"/>
        </w:rPr>
        <w:t xml:space="preserve">: means the Amendment No. 1 to Credit Agreement, dated as of June 15, 2026, by and among the Borrowers, the Issuing Banks, the Swingline Lender, the Administrative Agent and each of the Lenders party thereto. </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color w:val="0000FF"/>
          <w:sz w:val="22"/>
          <w:u w:val="single"/>
        </w:rPr>
        <w:t>Amendment No. 1 Effective Date</w:t>
      </w:r>
      <w:r>
        <w:rPr>
          <w:color w:val="0000FF"/>
          <w:u w:val="single"/>
        </w:rPr>
        <w:t>”</w:t>
      </w:r>
      <w:r>
        <w:rPr>
          <w:rFonts w:ascii="Times New Roman;serif" w:hAnsi="Times New Roman;serif"/>
          <w:b w:val="false"/>
          <w:color w:val="0000FF"/>
          <w:sz w:val="22"/>
          <w:u w:val="single"/>
        </w:rPr>
        <w:t>: has the meaning ascribed to such term in Amendment No. 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Anti-Corruption Laws</w:t>
      </w:r>
      <w:r>
        <w:rPr>
          <w:color w:val="000000"/>
        </w:rPr>
        <w:t>”</w:t>
      </w:r>
      <w:r>
        <w:rPr>
          <w:rFonts w:ascii="Times New Roman;serif" w:hAnsi="Times New Roman;serif"/>
          <w:b w:val="false"/>
          <w:color w:val="000000"/>
          <w:sz w:val="22"/>
        </w:rPr>
        <w:t>: all laws, rules and regulations of any jurisdiction applicable to the Company or its Subsidiaries from time to time concerning or relating to bribery or corruption.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Applicable Creditor</w:t>
      </w:r>
      <w:r>
        <w:rPr>
          <w:color w:val="000000"/>
        </w:rPr>
        <w:t>”</w:t>
      </w:r>
      <w:r>
        <w:rPr>
          <w:rFonts w:ascii="Times New Roman;serif" w:hAnsi="Times New Roman;serif"/>
          <w:b w:val="false"/>
          <w:color w:val="000000"/>
          <w:sz w:val="22"/>
        </w:rPr>
        <w:t>: as defined in Section 10.20(b).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Applicable Intercreditor Agreement</w:t>
      </w:r>
      <w:r>
        <w:rPr>
          <w:color w:val="000000"/>
        </w:rPr>
        <w:t>”</w:t>
      </w:r>
      <w:r>
        <w:rPr>
          <w:rFonts w:ascii="Times New Roman;serif" w:hAnsi="Times New Roman;serif"/>
          <w:b w:val="false"/>
          <w:color w:val="000000"/>
          <w:sz w:val="22"/>
        </w:rPr>
        <w:t>: a First Lien Intercreditor Agreement or a Junior Lien Intercreditor Agreement,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Applicable Margin</w:t>
      </w:r>
      <w:r>
        <w:rPr>
          <w:color w:val="000000"/>
        </w:rPr>
        <w:t>”</w:t>
      </w:r>
      <w:r>
        <w:rPr>
          <w:rFonts w:ascii="Times New Roman;serif" w:hAnsi="Times New Roman;serif"/>
          <w:b w:val="false"/>
          <w:color w:val="000000"/>
          <w:sz w:val="22"/>
        </w:rPr>
        <w:t>: for each Type of Revolving Loan, a rate per annum equal (i), 0.50% for ABR Loans and (ii) 1.50% for Term Benchmark Loans.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 the Applicable Margin in respect of any Class of Incremental Term Loans or Incremental Revolving Loans shall be the applicable percentages per annum set forth in the relevant Incremental Facility Amendment, (ii) the Applicable Margin in respect of any Class of Refinancing Term Loans or Revolving Loans of a given Refinancing Series shall be the applicable percentages per annum set forth in the relevant Refinancing Amendment and (iii) the Applicable Margin in respect of any Class of Extended Term Loans or Revolving Loans of a given Extension Series shall be the applicable percentages per annum set forth in the relevant Extension Amendment.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Applicable Parties</w:t>
      </w:r>
      <w:r>
        <w:rPr>
          <w:color w:val="000000"/>
        </w:rPr>
        <w:t>”</w:t>
      </w:r>
      <w:r>
        <w:rPr>
          <w:rFonts w:ascii="Times New Roman;serif" w:hAnsi="Times New Roman;serif"/>
          <w:b w:val="false"/>
          <w:color w:val="000000"/>
          <w:sz w:val="22"/>
        </w:rPr>
        <w:t>: as defined in Section 9.14(c).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Approved Borrower Portal</w:t>
      </w:r>
      <w:r>
        <w:rPr>
          <w:color w:val="000000"/>
        </w:rPr>
        <w:t>”</w:t>
      </w:r>
      <w:r>
        <w:rPr>
          <w:rFonts w:ascii="Times New Roman;serif" w:hAnsi="Times New Roman;serif"/>
          <w:b w:val="false"/>
          <w:color w:val="000000"/>
          <w:sz w:val="22"/>
        </w:rPr>
        <w:t xml:space="preserve">: as defined in Section 9.15(a).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Approved Electronic Platform</w:t>
      </w:r>
      <w:r>
        <w:rPr>
          <w:color w:val="000000"/>
        </w:rPr>
        <w:t>”</w:t>
      </w:r>
      <w:r>
        <w:rPr>
          <w:rFonts w:ascii="Times New Roman;serif" w:hAnsi="Times New Roman;serif"/>
          <w:b w:val="false"/>
          <w:color w:val="000000"/>
          <w:sz w:val="22"/>
        </w:rPr>
        <w:t>: as defined in Section 9.14(a).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Arrangers</w:t>
      </w:r>
      <w:r>
        <w:rPr>
          <w:color w:val="000000"/>
        </w:rPr>
        <w:t>”</w:t>
      </w:r>
      <w:r>
        <w:rPr>
          <w:rFonts w:ascii="Times New Roman;serif" w:hAnsi="Times New Roman;serif"/>
          <w:b w:val="false"/>
          <w:color w:val="000000"/>
          <w:sz w:val="22"/>
        </w:rPr>
        <w:t>: JPMCB, Bank of America, N.A. and Wells Fargo Securities, LLC.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Assignee</w:t>
      </w:r>
      <w:r>
        <w:rPr>
          <w:color w:val="000000"/>
        </w:rPr>
        <w:t>”</w:t>
      </w:r>
      <w:r>
        <w:rPr>
          <w:rFonts w:ascii="Times New Roman;serif" w:hAnsi="Times New Roman;serif"/>
          <w:b w:val="false"/>
          <w:color w:val="000000"/>
          <w:sz w:val="22"/>
        </w:rPr>
        <w:t>: as defined in Section 10.6(c).</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Assignment and Assumption</w:t>
      </w:r>
      <w:r>
        <w:rPr>
          <w:color w:val="000000"/>
        </w:rPr>
        <w:t>”</w:t>
      </w:r>
      <w:r>
        <w:rPr>
          <w:rFonts w:ascii="Times New Roman;serif" w:hAnsi="Times New Roman;serif"/>
          <w:b w:val="false"/>
          <w:color w:val="000000"/>
          <w:sz w:val="22"/>
        </w:rPr>
        <w:t xml:space="preserve">: an Assignment and Assumption, substantially in the form of Exhibit C.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Assignor</w:t>
      </w:r>
      <w:r>
        <w:rPr>
          <w:color w:val="000000"/>
        </w:rPr>
        <w:t>”</w:t>
      </w:r>
      <w:r>
        <w:rPr>
          <w:rFonts w:ascii="Times New Roman;serif" w:hAnsi="Times New Roman;serif"/>
          <w:b w:val="false"/>
          <w:color w:val="000000"/>
          <w:sz w:val="22"/>
        </w:rPr>
        <w:t>: as defined in Section 10.6(c).</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Australian Dollar</w:t>
      </w:r>
      <w:r>
        <w:rPr>
          <w:color w:val="0000FF"/>
          <w:u w:val="single"/>
        </w:rPr>
        <w:t xml:space="preserve">” </w:t>
      </w:r>
      <w:r>
        <w:rPr>
          <w:rFonts w:ascii="Times New Roman;serif" w:hAnsi="Times New Roman;serif"/>
          <w:b w:val="false"/>
          <w:color w:val="0000FF"/>
          <w:sz w:val="22"/>
          <w:u w:val="single"/>
        </w:rPr>
        <w:t>means the lawful currency of Australia.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Available Amount</w:t>
      </w:r>
      <w:r>
        <w:rPr>
          <w:color w:val="000000"/>
        </w:rPr>
        <w:t>”</w:t>
      </w:r>
      <w:r>
        <w:rPr>
          <w:rFonts w:ascii="Times New Roman;serif" w:hAnsi="Times New Roman;serif"/>
          <w:b w:val="false"/>
          <w:color w:val="000000"/>
          <w:sz w:val="22"/>
        </w:rPr>
        <w:t>: at any time, an amount equal to, without duplication: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(a)the sum 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(i)greater of (x) $62,000,000 and (y) 35% of Consolidated EBITDA for the most recently ended Test Period calculated on a Pro Forma Basis; plus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CNI Growth Amount; plus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amount of any capital contributions to or other proceeds of any issuance of Qualified Capital Stock (other than any amounts received from the Company or any Subsidiary) received by the Company or any of its Subsidiaries, plus the fair market value (as determined by the Company in good faith) of Cash Equivalents, marketable securities or other property received by the Company or any Subsidiary as a capital contribution or in return for any issuance of Qualified Capital Stock (other than any amounts received from the Company or any Subsidiary), in each case, during the period from and including the day immediately following the Closing Date through and including such time; plus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(iv)the aggregate principal amount of any Indebtedness or Disqualified Capital Stock, in each case, of the Company or any Subsidiary issued after the Closing Date (other than Indebtedness or such Disqualified Capital Stock issued to the Company or any Subsidiary), which has been converted into or exchanged for Capital Stock of the Company or any Subsidiary that does not constitute Disqualified Capital Stock, together with the fair market value of any cash or Cash Equivalents (as determined by the Company in good faith) and the fair market value (as determined by the Company in good faith) of any property or assets received by the Company or such Subsidiary upon such exchange or conversion, in each case, during the period from and including the day immediately following the Closing Date through and including such time; plus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net proceeds received by the Company or any Subsidiary during the period from and including the day immediately following the Closing Date through and including such time in connection with the Disposition to any Person (other than the Company or any Subsidiary) of any Investment made pursuant to Section 7.7(l) in an amount, together with amounts added pursuant to clauses (vi) and (vii)(c), not to exceed the original Investment; plus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(vi)to the extent not already reflected as a return of capital with respect to such Investment for purposes of determining the amount of such Investment, the proceeds received by the Company or any Subsidiary during the period from and including the day immediately following the Closing Date through and including such time in connection with cash returns, cash profits, cash distributions and similar cash amounts, including cash principal repayments of loans and interest payments on loans, in each case received in respect of any Investment made pursuant to Section 7.7(l) in an amount, together with amounts added pursuant to clauses (v) and (vii)(c), not to exceed the original Investment; plus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(vii)an amount equal to the sum of (a) the amount of any Investments by the Company or any Subsidiary pursuant to Section 7.7(l) in any Unrestricted Subsidiary that has been redesignated as a Subsidiary, (b) the amount of any Investments by the Company or any Subsidiary pursuant to Section 7.7(l) in any Unrestricted Subsidiary or any Joint Venture that is not a Subsidiary that has been merged, consolidated or amalgamated with or into, or is liquidated, wound up or dissolved into, the Company or any Subsidiary and (c) the fair market value (as determined by the Company in good faith) of the property or assets of any Unrestricted Subsidiary or any Joint Venture that is not a Subsidiary that have been transferred, conveyed or otherwise distributed to the Company or any Subsidiary, in each case, during the period from and including the day immediately following the Closing Date through and including such time in an amount not to exceed, together with amounts added pursuant to clauses (v) and (vi), the Investments made in such Unrestricted Subsidiary or Joint Venture pursuant to Section 7.7(l); plus; minus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an amount equal to the sum of (i) Restricted Payments made pursuant to Section 7.6(e), plus (ii) Restricted Debt Payments made pursuant to Section 7.13(e), plus (iii) Investments made pursuant to Section 7.7(l), in each case, during the period from and including the day immediately following the Closing Date through and including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Available Revolving Commitment</w:t>
      </w:r>
      <w:r>
        <w:rPr>
          <w:color w:val="000000"/>
        </w:rPr>
        <w:t>”</w:t>
      </w:r>
      <w:r>
        <w:rPr>
          <w:rFonts w:ascii="Times New Roman;serif" w:hAnsi="Times New Roman;serif"/>
          <w:b w:val="false"/>
          <w:color w:val="000000"/>
          <w:sz w:val="22"/>
        </w:rPr>
        <w:t xml:space="preserve">: as to any Revolving Lender at any time, an amount equal to the excess, if any, of (a) such Lender’s Revolving Commitment then in effect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(b) such Lender’s Revolving Extensions of Credit then outstanding;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calculating any Lender’s Revolving Extensions of Credit for the purpose of determining such Lender’s Available Revolving Commitment pursuant to Section 2.6, the aggregate principal amount of Swingline Loans then outstanding shall be deemed to be zero.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Available Tenor</w:t>
      </w:r>
      <w:r>
        <w:rPr>
          <w:color w:val="000000"/>
        </w:rPr>
        <w:t>”</w:t>
      </w:r>
      <w:r>
        <w:rPr>
          <w:rFonts w:ascii="Times New Roman;serif" w:hAnsi="Times New Roman;serif"/>
          <w:b w:val="false"/>
          <w:color w:val="000000"/>
          <w:sz w:val="22"/>
        </w:rPr>
        <w:t>: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Bail-In Action</w:t>
      </w:r>
      <w:r>
        <w:rPr>
          <w:color w:val="000000"/>
        </w:rPr>
        <w:t>”</w:t>
      </w:r>
      <w:r>
        <w:rPr>
          <w:rFonts w:ascii="Times New Roman;serif" w:hAnsi="Times New Roman;serif"/>
          <w:b w:val="false"/>
          <w:color w:val="000000"/>
          <w:sz w:val="22"/>
        </w:rPr>
        <w:t>: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Bail-In Legislation</w:t>
      </w:r>
      <w:r>
        <w:rPr>
          <w:color w:val="000000"/>
        </w:rPr>
        <w:t>”</w:t>
      </w:r>
      <w:r>
        <w:rPr>
          <w:rFonts w:ascii="Times New Roman;serif" w:hAnsi="Times New Roman;serif"/>
          <w:b w:val="false"/>
          <w:color w:val="000000"/>
          <w:sz w:val="22"/>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Benchmark</w:t>
      </w:r>
      <w:r>
        <w:rPr>
          <w:color w:val="000000"/>
        </w:rPr>
        <w:t>”</w:t>
      </w:r>
      <w:r>
        <w:rPr>
          <w:rFonts w:ascii="Times New Roman;serif" w:hAnsi="Times New Roman;serif"/>
          <w:b w:val="false"/>
          <w:color w:val="000000"/>
          <w:sz w:val="22"/>
        </w:rPr>
        <w:t xml:space="preserve">: initially, with respect to any (i) RFR Loan, Daily Simple SOFR or (ii)  Term Benchmark Loan, the Term SOFR Rate;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a Benchmark Transition Event, and the related Benchmark Replacement Date have occurred with respect to Daily Simple SOFR or Term SOFR Rate, as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or the then-current Benchmark, then “Benchmark” means the applicable Benchmark Replacement to the extent that such Benchmark Replacement has replaced such prior benchmark rate pursuant to clause (b) of Section 2.16.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Benchmark Replacement</w:t>
      </w:r>
      <w:r>
        <w:rPr>
          <w:color w:val="000000"/>
        </w:rPr>
        <w:t>”</w:t>
      </w:r>
      <w:r>
        <w:rPr>
          <w:rFonts w:ascii="Times New Roman;serif" w:hAnsi="Times New Roman;serif"/>
          <w:b w:val="false"/>
          <w:color w:val="000000"/>
          <w:sz w:val="22"/>
        </w:rPr>
        <w:t>: for any Available Tenor, the first alternative set forth in the order below that can be determined by the Administrative Agent for the applicable Benchmark Replacement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(1)with respect to the Term SOFR Rate only, Daily Simple SOFR;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(2)the sum of: (i) the alternate benchmark rate that has been selected by the Administrative Agent and the Borrowers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w:t>
      </w:r>
      <w:r>
        <w:rPr>
          <w:rFonts w:ascii="Times New Roman;serif" w:hAnsi="Times New Roman;serif"/>
          <w:b w:val="false"/>
          <w:color w:val="0000FF"/>
          <w:sz w:val="22"/>
          <w:u w:val="single"/>
        </w:rPr>
        <w:t>U.S.-</w:t>
      </w:r>
      <w:r>
        <w:rPr>
          <w:rFonts w:ascii="Times New Roman;serif" w:hAnsi="Times New Roman;serif"/>
          <w:b w:val="false"/>
          <w:color w:val="000000"/>
          <w:sz w:val="22"/>
        </w:rPr>
        <w:t>Dollar-denominated syndicated credit facilities at such time in the United States and (ii) the related Benchmark Replacement Adjustment.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Benchmark Replacement Adjustment</w:t>
      </w:r>
      <w:r>
        <w:rPr>
          <w:color w:val="000000"/>
        </w:rPr>
        <w:t>”</w:t>
      </w:r>
      <w:r>
        <w:rPr>
          <w:rFonts w:ascii="Times New Roman;serif" w:hAnsi="Times New Roman;serif"/>
          <w:b w:val="false"/>
          <w:color w:val="000000"/>
          <w:sz w:val="22"/>
        </w:rPr>
        <w:t xml:space="preserve">: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w:t>
      </w:r>
      <w:r>
        <w:rPr>
          <w:rFonts w:ascii="Times New Roman;serif" w:hAnsi="Times New Roman;serif"/>
          <w:b w:val="false"/>
          <w:strike/>
          <w:color w:val="FF0000"/>
          <w:sz w:val="22"/>
        </w:rPr>
        <w:t>dollar</w:t>
      </w:r>
      <w:r>
        <w:rPr>
          <w:rFonts w:ascii="Times New Roman;serif" w:hAnsi="Times New Roman;serif"/>
          <w:b w:val="false"/>
          <w:color w:val="0000FF"/>
          <w:sz w:val="22"/>
          <w:u w:val="single"/>
        </w:rPr>
        <w:t>U.S.-Dollar</w:t>
      </w:r>
      <w:r>
        <w:rPr>
          <w:rFonts w:ascii="Times New Roman;serif" w:hAnsi="Times New Roman;serif"/>
          <w:b w:val="false"/>
          <w:color w:val="000000"/>
          <w:sz w:val="22"/>
        </w:rPr>
        <w:t>-denominated syndicated credit facilities.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Benchmark Replacement Conforming Changes</w:t>
      </w:r>
      <w:r>
        <w:rPr>
          <w:color w:val="000000"/>
        </w:rPr>
        <w:t>”</w:t>
      </w:r>
      <w:r>
        <w:rPr>
          <w:rFonts w:ascii="Times New Roman;serif" w:hAnsi="Times New Roman;serif"/>
          <w:b w:val="false"/>
          <w:color w:val="000000"/>
          <w:sz w:val="22"/>
        </w:rPr>
        <w:t xml:space="preserve">: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following consultation with the Borrowers,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Benchmark Replacement Date</w:t>
      </w:r>
      <w:r>
        <w:rPr>
          <w:color w:val="000000"/>
        </w:rPr>
        <w:t>”</w:t>
      </w:r>
      <w:r>
        <w:rPr>
          <w:rFonts w:ascii="Times New Roman;serif" w:hAnsi="Times New Roman;serif"/>
          <w:b w:val="false"/>
          <w:color w:val="000000"/>
          <w:sz w:val="22"/>
        </w:rPr>
        <w:t>: with respect to any Benchmark, the earliest to occur of the following events with respect to such then-current Benchmark: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Benchmark Transition Event</w:t>
      </w:r>
      <w:r>
        <w:rPr>
          <w:color w:val="000000"/>
        </w:rPr>
        <w:t>”</w:t>
      </w:r>
      <w:r>
        <w:rPr>
          <w:rFonts w:ascii="Times New Roman;serif" w:hAnsi="Times New Roman;serif"/>
          <w:b w:val="false"/>
          <w:color w:val="000000"/>
          <w:sz w:val="22"/>
        </w:rPr>
        <w:t>: with respect to any Benchmark, the occurrence of one or more of the following events with respect to such then-current Benchmark: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(2)a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Benchmark (or such component thereof) or, if such Benchmark is a term rate, all Available Tenors of such Benchmark (or such component thereof) permanently or indefinitely;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Benchmark Unavailability Period</w:t>
      </w:r>
      <w:r>
        <w:rPr>
          <w:color w:val="000000"/>
        </w:rPr>
        <w:t>”</w:t>
      </w:r>
      <w:r>
        <w:rPr>
          <w:rFonts w:ascii="Times New Roman;serif" w:hAnsi="Times New Roman;serif"/>
          <w:b w:val="false"/>
          <w:color w:val="000000"/>
          <w:sz w:val="22"/>
        </w:rPr>
        <w:t>: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2.16 and (y) ending at the time that a Benchmark Replacement has replaced such then-current Benchmark for all purposes hereunder and under any Loan Document in accordance with Section 2.16.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Beneficial Ownership Certification</w:t>
      </w:r>
      <w:r>
        <w:rPr>
          <w:color w:val="000000"/>
        </w:rPr>
        <w:t>”</w:t>
      </w:r>
      <w:r>
        <w:rPr>
          <w:rFonts w:ascii="Times New Roman;serif" w:hAnsi="Times New Roman;serif"/>
          <w:b w:val="false"/>
          <w:color w:val="000000"/>
          <w:sz w:val="22"/>
        </w:rPr>
        <w:t>: with respect to any Borrower, to the extent such Borrower is a “legal entity customer” as such term is defined in the Beneficial Ownership Regulation, a certification regarding beneficial ownership as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Beneficial Ownership Regulation</w:t>
      </w:r>
      <w:r>
        <w:rPr>
          <w:color w:val="000000"/>
        </w:rPr>
        <w:t>”</w:t>
      </w:r>
      <w:r>
        <w:rPr>
          <w:rFonts w:ascii="Times New Roman;serif" w:hAnsi="Times New Roman;serif"/>
          <w:b w:val="false"/>
          <w:color w:val="000000"/>
          <w:sz w:val="22"/>
        </w:rPr>
        <w:t>: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Benefit Plan</w:t>
      </w:r>
      <w:r>
        <w:rPr>
          <w:color w:val="000000"/>
        </w:rPr>
        <w:t>”</w:t>
      </w:r>
      <w:r>
        <w:rPr>
          <w:rFonts w:ascii="Times New Roman;serif" w:hAnsi="Times New Roman;serif"/>
          <w:b w:val="false"/>
          <w:color w:val="000000"/>
          <w:sz w:val="22"/>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Benefitted Lender</w:t>
      </w:r>
      <w:r>
        <w:rPr>
          <w:color w:val="000000"/>
        </w:rPr>
        <w:t>”</w:t>
      </w:r>
      <w:r>
        <w:rPr>
          <w:rFonts w:ascii="Times New Roman;serif" w:hAnsi="Times New Roman;serif"/>
          <w:b w:val="false"/>
          <w:color w:val="000000"/>
          <w:sz w:val="22"/>
        </w:rPr>
        <w:t>: as defined in Section 10.7(a).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BHC Act Affiliate</w:t>
      </w:r>
      <w:r>
        <w:rPr>
          <w:color w:val="000000"/>
        </w:rPr>
        <w:t>”</w:t>
      </w:r>
      <w:r>
        <w:rPr>
          <w:rFonts w:ascii="Times New Roman;serif" w:hAnsi="Times New Roman;serif"/>
          <w:b w:val="false"/>
          <w:color w:val="000000"/>
          <w:sz w:val="22"/>
        </w:rPr>
        <w:t>: in respect of a party, an “affiliate’ (as such term is defined under, and interpreted in accordance with, 12 U.S.C. 1841(k)) of such party.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xml:space="preserve">: the Board of Governors of the Federal Reserve System of the United States (or any successor).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Bona Fide Debt Fund</w:t>
      </w:r>
      <w:r>
        <w:rPr>
          <w:color w:val="000000"/>
        </w:rPr>
        <w:t xml:space="preserve">” </w:t>
      </w:r>
      <w:r>
        <w:rPr>
          <w:rFonts w:ascii="Times New Roman;serif" w:hAnsi="Times New Roman;serif"/>
          <w:b w:val="false"/>
          <w:color w:val="000000"/>
          <w:sz w:val="22"/>
        </w:rPr>
        <w:t>means any fund or investment vehicle that is engaged in the making, purchasing, holding or otherwise investing in commercial loans, bonds and other similar extensions of credit in the ordinary course.</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Borrower</w:t>
      </w:r>
      <w:r>
        <w:rPr>
          <w:color w:val="000000"/>
        </w:rPr>
        <w:t>”</w:t>
      </w:r>
      <w:r>
        <w:rPr>
          <w:rFonts w:ascii="Times New Roman;serif" w:hAnsi="Times New Roman;serif"/>
          <w:b w:val="false"/>
          <w:color w:val="000000"/>
          <w:sz w:val="22"/>
        </w:rPr>
        <w:t>: has the meaning ascribed to such term in the preamble hereto and, as the context requires (to the extent not otherwise expressly stated), shall mean both Borrowers or the applicable Borrower in respect of a Loan or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Borrower Communications</w:t>
      </w:r>
      <w:r>
        <w:rPr>
          <w:color w:val="000000"/>
        </w:rPr>
        <w:t>”</w:t>
      </w:r>
      <w:r>
        <w:rPr>
          <w:rFonts w:ascii="Times New Roman;serif" w:hAnsi="Times New Roman;serif"/>
          <w:b w:val="false"/>
          <w:color w:val="000000"/>
          <w:sz w:val="22"/>
        </w:rPr>
        <w:t>: as defined in Section 9.15(d).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Borrowing</w:t>
      </w:r>
      <w:r>
        <w:rPr>
          <w:color w:val="000000"/>
        </w:rPr>
        <w:t>”</w:t>
      </w:r>
      <w:r>
        <w:rPr>
          <w:rFonts w:ascii="Times New Roman;serif" w:hAnsi="Times New Roman;serif"/>
          <w:b w:val="false"/>
          <w:color w:val="000000"/>
          <w:sz w:val="22"/>
        </w:rPr>
        <w:t>: any Loans of the same Class, Type and currency made, converted or continued on the same date and, in the case of Term Benchmark Loans, as to which a single Interest Period is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Borrowing Date</w:t>
      </w:r>
      <w:r>
        <w:rPr>
          <w:color w:val="000000"/>
        </w:rPr>
        <w:t>”</w:t>
      </w:r>
      <w:r>
        <w:rPr>
          <w:rFonts w:ascii="Times New Roman;serif" w:hAnsi="Times New Roman;serif"/>
          <w:b w:val="false"/>
          <w:color w:val="000000"/>
          <w:sz w:val="22"/>
        </w:rPr>
        <w:t>: any Business Day specified by the applicable Borrower as a date on which such Borrower requests the relevant Lenders to make Loans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Business</w:t>
      </w:r>
      <w:r>
        <w:rPr>
          <w:color w:val="000000"/>
        </w:rPr>
        <w:t>”</w:t>
      </w:r>
      <w:r>
        <w:rPr>
          <w:rFonts w:ascii="Times New Roman;serif" w:hAnsi="Times New Roman;serif"/>
          <w:b w:val="false"/>
          <w:color w:val="000000"/>
          <w:sz w:val="22"/>
        </w:rPr>
        <w:t>: as defined in Section 4.17(b).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Business Day</w:t>
      </w:r>
      <w:r>
        <w:rPr>
          <w:color w:val="000000"/>
        </w:rPr>
        <w:t>”</w:t>
      </w:r>
      <w:r>
        <w:rPr>
          <w:rFonts w:ascii="Times New Roman;serif" w:hAnsi="Times New Roman;serif"/>
          <w:b w:val="false"/>
          <w:color w:val="000000"/>
          <w:sz w:val="22"/>
        </w:rPr>
        <w:t>: any day (other than a Saturday or a Sunday) on which banks are open for business in New York City; provided that, in addition to the foregoing, a Business Day shall be any such day that is only a U.S. Government Securities Business Day (a) in relation to RFR Loans and any interest rate settings, fundings, disbursements, settlements or payments of any such RFR Loan, or any other dealings of such RFR Loan and (b) in relation to Loans referencing the Term SOFR Rate and any interest rate settings, fundings, disbursements, settlements or payments of any such Loans referencing the Term SOFR Rate or any other dealings of such Loans referencing the Term SOFR Rate.</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Canadian Dollar</w:t>
      </w:r>
      <w:r>
        <w:rPr>
          <w:color w:val="0000FF"/>
          <w:u w:val="single"/>
        </w:rPr>
        <w:t xml:space="preserve">” </w:t>
      </w:r>
      <w:r>
        <w:rPr>
          <w:rFonts w:ascii="Times New Roman;serif" w:hAnsi="Times New Roman;serif"/>
          <w:b w:val="false"/>
          <w:color w:val="0000FF"/>
          <w:sz w:val="22"/>
          <w:u w:val="single"/>
        </w:rPr>
        <w:t>means the lawful currency of Canada.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Capital Expenditures</w:t>
      </w:r>
      <w:r>
        <w:rPr>
          <w:color w:val="000000"/>
        </w:rPr>
        <w:t>”</w:t>
      </w:r>
      <w:r>
        <w:rPr>
          <w:rFonts w:ascii="Times New Roman;serif" w:hAnsi="Times New Roman;serif"/>
          <w:b w:val="false"/>
          <w:color w:val="000000"/>
          <w:sz w:val="22"/>
        </w:rPr>
        <w:t>: for any period, with respect to any Person, the aggregate of all expenditures by such Person and its Subsidiaries for the acquisition or leasing (pursuant to a capital lease) of fixed or capital assets or additions to equipment (including replacements, capitalized repairs and improvements during such period) that should be capitalized under GAAP on a consolidated balance sheet of such Person and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Capital Lease Obligations</w:t>
      </w:r>
      <w:r>
        <w:rPr>
          <w:color w:val="000000"/>
        </w:rPr>
        <w:t>”</w:t>
      </w:r>
      <w:r>
        <w:rPr>
          <w:rFonts w:ascii="Times New Roman;serif" w:hAnsi="Times New Roman;serif"/>
          <w:b w:val="false"/>
          <w:color w:val="000000"/>
          <w:sz w:val="22"/>
        </w:rPr>
        <w:t>: as to any Person, the obligations of such Person to pay rent or other amounts under any Finance Lease, and for the purposes of this Agreement, the amount of such obligations at any time shall be the capitalized amount thereof at such time determined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Capital Stock</w:t>
      </w:r>
      <w:r>
        <w:rPr>
          <w:color w:val="000000"/>
        </w:rPr>
        <w:t>”</w:t>
      </w:r>
      <w:r>
        <w:rPr>
          <w:rFonts w:ascii="Times New Roman;serif" w:hAnsi="Times New Roman;serif"/>
          <w:b w:val="false"/>
          <w:color w:val="000000"/>
          <w:sz w:val="22"/>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 provided that Capital Stock shall not include any debt securities that are convertible into or exchangeable for any combination of Capital Stock and/or cash.</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Cash</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cash</w:t>
      </w:r>
      <w:r>
        <w:rPr>
          <w:color w:val="000000"/>
        </w:rPr>
        <w:t>”</w:t>
      </w:r>
      <w:r>
        <w:rPr>
          <w:rFonts w:ascii="Times New Roman;serif" w:hAnsi="Times New Roman;serif"/>
          <w:b w:val="false"/>
          <w:color w:val="000000"/>
          <w:sz w:val="22"/>
        </w:rPr>
        <w:t>: money, currency or a credit balance in any deposit account, in each case determined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Cash Equivalents</w:t>
      </w:r>
      <w:r>
        <w:rPr>
          <w:color w:val="000000"/>
        </w:rPr>
        <w:t>”</w:t>
      </w:r>
      <w:r>
        <w:rPr>
          <w:rFonts w:ascii="Times New Roman;serif" w:hAnsi="Times New Roman;serif"/>
          <w:b w:val="false"/>
          <w:color w:val="000000"/>
          <w:sz w:val="22"/>
        </w:rPr>
        <w:t xml:space="preserve">: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one year or less from the date of acquisition issued by any Lender or by any commercial bank organized under the laws of the United States or any state thereof or any United States branch of a foreign bank, in each case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having combined capital and surplus of not less than $500,000,000; (c) commercial paper of an issuer rated at least A-2 by Standard &amp; Poor’s Financial Services LLC (together with any successor thereto, “</w:t>
      </w:r>
      <w:r>
        <w:rPr>
          <w:rFonts w:ascii="Times New Roman;serif" w:hAnsi="Times New Roman;serif"/>
          <w:b/>
          <w:color w:val="000000"/>
          <w:sz w:val="22"/>
        </w:rPr>
        <w:t>S&amp;P</w:t>
      </w:r>
      <w:r>
        <w:rPr>
          <w:color w:val="000000"/>
        </w:rPr>
        <w:t>”</w:t>
      </w:r>
      <w:r>
        <w:rPr>
          <w:rFonts w:ascii="Times New Roman;serif" w:hAnsi="Times New Roman;serif"/>
          <w:b w:val="false"/>
          <w:color w:val="000000"/>
          <w:sz w:val="22"/>
        </w:rPr>
        <w:t>), P-2 by Moody’s Investors Service, Inc. (together with any successor thereto, “</w:t>
      </w:r>
      <w:r>
        <w:rPr>
          <w:rFonts w:ascii="Times New Roman;serif" w:hAnsi="Times New Roman;serif"/>
          <w:b/>
          <w:color w:val="000000"/>
          <w:sz w:val="22"/>
        </w:rPr>
        <w:t>Moody’s</w:t>
      </w:r>
      <w:r>
        <w:rPr>
          <w:color w:val="000000"/>
        </w:rPr>
        <w:t>”</w:t>
      </w:r>
      <w:r>
        <w:rPr>
          <w:rFonts w:ascii="Times New Roman;serif" w:hAnsi="Times New Roman;serif"/>
          <w:b w:val="false"/>
          <w:color w:val="000000"/>
          <w:sz w:val="22"/>
        </w:rPr>
        <w:t>) or F2 by Fitch, or carrying an equivalent rating by a nationally recognized rating agency, if all of the three named rating agencies cease publishing ratings of commercial paper issuers generally, and maturing within one year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(i) in the case of any such state, commonwealth, territory, political subdivision or taxing authority, at least A by S&amp;P, A by Moody’s or A by Fitch or (ii) in the case of a foreign government, at least BBB- by S&amp;P, Baa3 by Moody’s or BBB- by Fitch; (f) securities with maturities of one year or less from the date of acquisition backed by standby letters of credit issued by any Lender or any commercial bank satisfying the requirements of clause (b) of this definition; (g) shares of money market mutual or similar funds which invest exclusively in assets satisfying the requirements of clauses (a) through (f) of this definition; (h) money market funds that (i) comply with the criteria set forth in SEC Rule 2a-7 under the Investment Company Act of 1940, as amended, (ii) are rated AAA or Aaa, as applicable, by any two of S&amp;P, Moody’s and Fitch and (iii) have portfolio assets of at least $5,000,000,000; (i) debt securities of an issuer rated at least A-1 by S&amp;P, P-1 by Moody’s or F1 by Fitch, or carrying an equivalent rating by a nationally recognized rating agency; or (j) solely in respect of the ordinary course cash management activities of the Foreign Subsidiaries, (i) equivalents of the investments described in clause (a) above to the extent guaranteed by any member state of the European Union or the country in which the Foreign Subsidiary operates, (ii) equivalents of the investments described in clause (b) above issued, accepted or offered by any commercial bank organized under the laws of a member state of the European Union or the jurisdiction of organization of the applicable Foreign Subsidiary having at the acquisition thereof combined capital and surplus of not less than $250,000,000 and (iii) without limiting the foregoing sub-clauses (i) and (ii) of this clause (j), investments equivalent to those referenced in clauses (a) through (f) above denominated in foreign currencies and used by the Company for cash management purposes in the ordinary course of business consistent with past practice to the extent guaranteed, issued, accepted or offered by (x) any country in which such Foreign Subsidiary operates or is organized or (y) any commercial bank organized under the laws of the jurisdiction in which such Foreign Subsidiary operates or is organized, as applicable, in each case without regard to any minimum rating or capital requirement specified in clauses (a) through (i) above.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Cash Management Obligations</w:t>
      </w:r>
      <w:r>
        <w:rPr>
          <w:color w:val="000000"/>
        </w:rPr>
        <w:t>”</w:t>
      </w:r>
      <w:r>
        <w:rPr>
          <w:rFonts w:ascii="Times New Roman;serif" w:hAnsi="Times New Roman;serif"/>
          <w:b w:val="false"/>
          <w:color w:val="000000"/>
          <w:sz w:val="22"/>
        </w:rPr>
        <w:t>: any obligation of the Company or any of its Subsidiaries in respect of (i) cash netting, overdrafts and related liabilities that arise from treasury, depositary or cash pooling or management services including in connection with any automated clearing house transfers of funds or any similar transactions including in connection with deposit accounts and (ii) credit, debit, travel and expense, corporate purchasing and/or other purchasing cards issued to or for the benefit or account of the Company or any of its Subsidiaries or their respective employees. For the avoidance of doubt, the parties agree that any Cash Management Obligation that was permitted to be entered into or designated as a Cash Management Obligation under this Agreement at the time such obligation was entered into or so designated shall continue to be secured by the Collateral even though a limitation under this Agreement may be exceeded solely as a result of a change in the currency exchange rates from the currency exchange rates applicable at the time such Cash Management Obligation was entered into or designated.</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CFC</w:t>
      </w:r>
      <w:r>
        <w:rPr>
          <w:color w:val="000000"/>
        </w:rPr>
        <w:t>”</w:t>
      </w:r>
      <w:r>
        <w:rPr>
          <w:rFonts w:ascii="Times New Roman;serif" w:hAnsi="Times New Roman;serif"/>
          <w:b w:val="false"/>
          <w:color w:val="000000"/>
          <w:sz w:val="22"/>
        </w:rPr>
        <w:t>: each Person that is a direct or indirect Subsidiary of a U.S. Person (to the extent such Subsidiary is treated as a corporation for U.S. federal income tax purposes) and a “controlled foreign corporation” as defined in Section 957(a)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CFC Holding Company</w:t>
      </w:r>
      <w:r>
        <w:rPr>
          <w:color w:val="000000"/>
        </w:rPr>
        <w:t>”</w:t>
      </w:r>
      <w:r>
        <w:rPr>
          <w:rFonts w:ascii="Times New Roman;serif" w:hAnsi="Times New Roman;serif"/>
          <w:b w:val="false"/>
          <w:color w:val="000000"/>
          <w:sz w:val="22"/>
        </w:rPr>
        <w:t>: a direct or indirect Domestic Subsidiary of the Company with no material assets other than Capital Stock or debt that is treated as equity for United States federal income tax purposes of (a) one or more CFCs or (b) one or more CFC Holding Companies.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Change of Control</w:t>
      </w:r>
      <w:r>
        <w:rPr>
          <w:color w:val="000000"/>
        </w:rPr>
        <w:t>”</w:t>
      </w:r>
      <w:r>
        <w:rPr>
          <w:rFonts w:ascii="Times New Roman;serif" w:hAnsi="Times New Roman;serif"/>
          <w:b w:val="false"/>
          <w:color w:val="000000"/>
          <w:sz w:val="22"/>
        </w:rPr>
        <w:t>: means the earliest to occur of:</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acquisition by any Person or group (within the meaning of Section 13(d)(3) or Section 14(d)(2) of the Exchange Act as in effect on the Closing Date), including any group acting for the purpose of acquiring, holding or disposing of Securities (within the meaning of Rule 13d-5(b)(1) under the Exchange Act as in effect on the Closing Date), but excluding (i) any Employee Benefit Plan and/or Person acting as the trustee, agent or other fiduciary or administrator therefor and (ii) one or more of the direct or indirect beneficial owners of a majority of the aggregate ordinary voting power of the Company (or, to the extent applicable, the Holding Company) on a fully diluted basis as of the Closing Date, of Capital Stock representing more than 35% of the total voting power of all of the outstanding voting Capital Stock of the Company (or, to the extent applicable, the Holding Company);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Remitly ceasing to be a direct or indirect Wholly Owned Subsidiary of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 Change of Control shall be deemed not to have occurred pursuant to clause (a) above at any time if the Persons who directly or indirectly beneficial own a majority of the aggregate ordinary voting power of the Company on a fully diluted basis as of the Closing Date have, at such time, directly or indirectly, the right or the ability, by voting power, contract or otherwise, to elect or designate for election at least a majority of the Board of Directors of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preceding clauses or any provision of Section 13d-3 of the Exchange Act as in effect on the Closing Date, (i) a Person or group shall be deemed not to beneficially own Capital Stock subject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 by such agreement, (ii) if any group includes one or more of the direct or indirect beneficial owners of a majority of the aggregate ordinary voting power of the Company on a fully diluted basis, the issued and outstanding Capital Stock of the Company owned, directly or indirectly, by any direct or indirect beneficial owners of a majority of the aggregate ordinary voting power of the Company on a fully diluted basis that are part of such group shall not be treated as being beneficially owned by such group or any other member of such group for purposes of determining whether a Change of Control has occurred so long as one or more of the direct or indirect beneficial owners of a majority of the aggregate ordinary voting power of the Company on a fully diluted basis hold in excess of 50% of the issued and outstanding Capital Stock owned, directly or indirectly, by such group and (iii) a Person or group will not be deemed to beneficially own the Capital Stock of another Person as a result of its ownership of the Capital Stock or other securities of such other Person’s parent entity (or related contractual rights) unless (A) it owns 50% or more of the total voting power of the Capital Stock entitled to vote for the election of directors or board of managers of such parent entity and (B) such directors or managers elected by the Person or group have a majority of the aggregate votes on the board of directors (or similar body) of such parent entity.</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 Holding Company Reorganization shall not constitute a Change of Control.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Charge</w:t>
      </w:r>
      <w:r>
        <w:rPr>
          <w:color w:val="000000"/>
        </w:rPr>
        <w:t>”</w:t>
      </w:r>
      <w:r>
        <w:rPr>
          <w:rFonts w:ascii="Times New Roman;serif" w:hAnsi="Times New Roman;serif"/>
          <w:b w:val="false"/>
          <w:color w:val="000000"/>
          <w:sz w:val="22"/>
        </w:rPr>
        <w:t>: any fee, loss, charge, expense, cost, accrual or reserve of any kind.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Class</w:t>
      </w:r>
      <w:r>
        <w:rPr>
          <w:color w:val="000000"/>
        </w:rPr>
        <w:t>”</w:t>
      </w:r>
      <w:r>
        <w:rPr>
          <w:rFonts w:ascii="Times New Roman;serif" w:hAnsi="Times New Roman;serif"/>
          <w:b w:val="false"/>
          <w:color w:val="000000"/>
          <w:sz w:val="22"/>
        </w:rPr>
        <w:t>: (a) when used with respect to any Lender, refers to whether such Lender has a Loan or Commitment with respect to a particular Class of Loans or Commitments, (b) when used with respect to Commitments, refers to whether such Commitments are Revolving Commitments, Extended Revolving Commitments of a given Extension Series, Extended Term Loans of a given Extension Series, Incremental Commitments or Refinancing Term Commitments of a given Refinancing Series and (c) when used with respect to Loans or a borrowing, refers to whether such Loans, or the Loans comprising such borrowing, are Revolving Loans, Incremental Revolving Loans, Revolving Loans under Extended Revolving Commitments of a given Extension Series, Revolving Loans under Other Revolving Commitments, Incremental Term Loans, Refinancing Term Loans of a given Refinancing Series or Extended Term Loans of a given Extension Series. Revolving Commitments, Extended Revolving Commitments, Incremental Commitments, Other Revolving Commitments or Refinancing Term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Closing Date</w:t>
      </w:r>
      <w:r>
        <w:rPr>
          <w:color w:val="000000"/>
        </w:rPr>
        <w:t>”</w:t>
      </w:r>
      <w:r>
        <w:rPr>
          <w:rFonts w:ascii="Times New Roman;serif" w:hAnsi="Times New Roman;serif"/>
          <w:b w:val="false"/>
          <w:color w:val="000000"/>
          <w:sz w:val="22"/>
        </w:rPr>
        <w:t>: the date on which the conditions precedent set forth in Section 5.2 are satisfied or waived in accordance with Section 10.1.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CME Term SOFR Administrator</w:t>
      </w:r>
      <w:r>
        <w:rPr>
          <w:color w:val="000000"/>
        </w:rPr>
        <w:t>”</w:t>
      </w:r>
      <w:r>
        <w:rPr>
          <w:rFonts w:ascii="Times New Roman;serif" w:hAnsi="Times New Roman;serif"/>
          <w:b w:val="false"/>
          <w:color w:val="000000"/>
          <w:sz w:val="22"/>
        </w:rPr>
        <w:t>: CME Group Benchmark Administration Limited as administrator of the forward-looking term Secured Overnight Financing Rate (SOFR) (or a successor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CNI Growth Amount</w:t>
      </w:r>
      <w:r>
        <w:rPr>
          <w:color w:val="000000"/>
        </w:rPr>
        <w:t>”</w:t>
      </w:r>
      <w:r>
        <w:rPr>
          <w:rFonts w:ascii="Times New Roman;serif" w:hAnsi="Times New Roman;serif"/>
          <w:b w:val="false"/>
          <w:color w:val="000000"/>
          <w:sz w:val="22"/>
        </w:rPr>
        <w:t>: at any date of determination, an amount (which amount shall not be less than zero) equal to 50% of Consolidated Net Income for the cumulative period from the first day of the fiscal quarter of the Company during which the Closing Date occurs to and including the last day of the most recently ended fiscal quarter of the Company for which financial statements have been delivered pursuant to Section 6.1 (treated as one accounting period).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Code</w:t>
      </w:r>
      <w:r>
        <w:rPr>
          <w:color w:val="000000"/>
        </w:rPr>
        <w:t>”</w:t>
      </w:r>
      <w:r>
        <w:rPr>
          <w:rFonts w:ascii="Times New Roman;serif" w:hAnsi="Times New Roman;serif"/>
          <w:b w:val="false"/>
          <w:color w:val="000000"/>
          <w:sz w:val="22"/>
        </w:rPr>
        <w:t>: the Internal Revenue Code of 1986,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Collateral</w:t>
      </w:r>
      <w:r>
        <w:rPr>
          <w:color w:val="000000"/>
        </w:rPr>
        <w:t>”</w:t>
      </w:r>
      <w:r>
        <w:rPr>
          <w:rFonts w:ascii="Times New Roman;serif" w:hAnsi="Times New Roman;serif"/>
          <w:b w:val="false"/>
          <w:color w:val="000000"/>
          <w:sz w:val="22"/>
        </w:rPr>
        <w:t>: all property of the Loan Parties, now owned or hereafter acquired, upon which a Lien is or is purported to be created by any Security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Collateral Account</w:t>
      </w:r>
      <w:r>
        <w:rPr>
          <w:color w:val="000000"/>
        </w:rPr>
        <w:t>”</w:t>
      </w:r>
      <w:r>
        <w:rPr>
          <w:rFonts w:ascii="Times New Roman;serif" w:hAnsi="Times New Roman;serif"/>
          <w:b w:val="false"/>
          <w:color w:val="000000"/>
          <w:sz w:val="22"/>
        </w:rPr>
        <w:t>: has the meaning assigned to it in Section 2.13(j).</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Collateral Agent</w:t>
      </w:r>
      <w:r>
        <w:rPr>
          <w:color w:val="000000"/>
        </w:rPr>
        <w:t>”</w:t>
      </w:r>
      <w:r>
        <w:rPr>
          <w:rFonts w:ascii="Times New Roman;serif" w:hAnsi="Times New Roman;serif"/>
          <w:b w:val="false"/>
          <w:color w:val="000000"/>
          <w:sz w:val="22"/>
        </w:rPr>
        <w:t xml:space="preserve">: JPMorgan Chase Bank, N.A.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Collateral Agreement</w:t>
      </w:r>
      <w:r>
        <w:rPr>
          <w:color w:val="000000"/>
        </w:rPr>
        <w:t>”</w:t>
      </w:r>
      <w:r>
        <w:rPr>
          <w:rFonts w:ascii="Times New Roman;serif" w:hAnsi="Times New Roman;serif"/>
          <w:b w:val="false"/>
          <w:color w:val="000000"/>
          <w:sz w:val="22"/>
        </w:rPr>
        <w:t>: the Collateral Agreement dated as of the Closing Date executed and delivered by the Company, Remitly and each Subsidiary Guarantor pursuant to this Agreement, a copy of which is attached hereto as Exhibit A-2, as the same may be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Commitment</w:t>
      </w:r>
      <w:r>
        <w:rPr>
          <w:color w:val="000000"/>
        </w:rPr>
        <w:t>”</w:t>
      </w:r>
      <w:r>
        <w:rPr>
          <w:rFonts w:ascii="Times New Roman;serif" w:hAnsi="Times New Roman;serif"/>
          <w:b w:val="false"/>
          <w:color w:val="000000"/>
          <w:sz w:val="22"/>
        </w:rPr>
        <w:t>: as to any Lender, the Revolving Commitment of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Commitment Fee Rate</w:t>
      </w:r>
      <w:r>
        <w:rPr>
          <w:color w:val="000000"/>
        </w:rPr>
        <w:t>”</w:t>
      </w:r>
      <w:r>
        <w:rPr>
          <w:rFonts w:ascii="Times New Roman;serif" w:hAnsi="Times New Roman;serif"/>
          <w:b w:val="false"/>
          <w:color w:val="000000"/>
          <w:sz w:val="22"/>
        </w:rPr>
        <w:t>: 0.25% per annum.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Commonly Controlled Entity</w:t>
      </w:r>
      <w:r>
        <w:rPr>
          <w:color w:val="000000"/>
        </w:rPr>
        <w:t>”</w:t>
      </w:r>
      <w:r>
        <w:rPr>
          <w:rFonts w:ascii="Times New Roman;serif" w:hAnsi="Times New Roman;serif"/>
          <w:b w:val="false"/>
          <w:color w:val="000000"/>
          <w:sz w:val="22"/>
        </w:rPr>
        <w:t>: an entity, whether or not incorporated, that is under common control with the Company within the meaning of Section 4001 of ERISA or is part of a group that includes the Company and that is treated as a single employer under Section 414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Communications</w:t>
      </w:r>
      <w:r>
        <w:rPr>
          <w:color w:val="000000"/>
        </w:rPr>
        <w:t>”</w:t>
      </w:r>
      <w:r>
        <w:rPr>
          <w:rFonts w:ascii="Times New Roman;serif" w:hAnsi="Times New Roman;serif"/>
          <w:b w:val="false"/>
          <w:color w:val="000000"/>
          <w:sz w:val="22"/>
        </w:rPr>
        <w:t>: as defined in Section 9.14(d).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as defined in the preamble 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Company Stock</w:t>
      </w:r>
      <w:r>
        <w:rPr>
          <w:color w:val="000000"/>
        </w:rPr>
        <w:t>”</w:t>
      </w:r>
      <w:r>
        <w:rPr>
          <w:rFonts w:ascii="Times New Roman;serif" w:hAnsi="Times New Roman;serif"/>
          <w:b w:val="false"/>
          <w:color w:val="000000"/>
          <w:sz w:val="22"/>
        </w:rPr>
        <w:t>: Capital Stock of the Company that constitutes “</w:t>
      </w:r>
      <w:r>
        <w:rPr>
          <w:rFonts w:ascii="Times New Roman;serif" w:hAnsi="Times New Roman;serif"/>
          <w:b/>
          <w:color w:val="000000"/>
          <w:sz w:val="22"/>
        </w:rPr>
        <w:t>margin stock</w:t>
      </w:r>
      <w:r>
        <w:rPr>
          <w:color w:val="000000"/>
        </w:rPr>
        <w:t xml:space="preserve">” </w:t>
      </w:r>
      <w:r>
        <w:rPr>
          <w:rFonts w:ascii="Times New Roman;serif" w:hAnsi="Times New Roman;serif"/>
          <w:b w:val="false"/>
          <w:color w:val="000000"/>
          <w:sz w:val="22"/>
        </w:rPr>
        <w:t xml:space="preserve">within the meaning of Regulation U.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Compliance Certificate</w:t>
      </w:r>
      <w:r>
        <w:rPr>
          <w:color w:val="000000"/>
        </w:rPr>
        <w:t>”</w:t>
      </w:r>
      <w:r>
        <w:rPr>
          <w:rFonts w:ascii="Times New Roman;serif" w:hAnsi="Times New Roman;serif"/>
          <w:b w:val="false"/>
          <w:color w:val="000000"/>
          <w:sz w:val="22"/>
        </w:rPr>
        <w:t xml:space="preserve">: a certificate duly executed by a Responsible Officer substantially in the form of Exhibit B.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Consolidated EBITDA</w:t>
      </w:r>
      <w:r>
        <w:rPr>
          <w:color w:val="000000"/>
        </w:rPr>
        <w:t>”</w:t>
      </w:r>
      <w:r>
        <w:rPr>
          <w:rFonts w:ascii="Times New Roman;serif" w:hAnsi="Times New Roman;serif"/>
          <w:b w:val="false"/>
          <w:color w:val="000000"/>
          <w:sz w:val="22"/>
        </w:rPr>
        <w:t>: for any period, Consolidated Net Income for such period; plus, without duplication and, to the extent deducted (and not added back) (or, in the case of clauses (g), (l) and (n), to the extent not included) in calculating Consolidated Net Income for such period, the sum of:</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(x) income tax expense and (y) payroll tax expense related to stock options and other equity-based compensation expenses,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Consolidated Interest Expense, amortization or writeoff of debt discount and debt issuance costs and commissions, discounts and other fees, charges and expenses associated with Indebtedness (including with respect to the Loans and Indebtedness incurred in connection with the transactions contemplated 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depreciation and amortization expense and impairment charges,</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all premiums and interest rate hedge termination costs in connection with any purchase or redemption of any Indebtedness and expenses associated with the equity component of, and any mark-to-market losses with respect to convertible notes (which amounts set forth in this clause (d) shall include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any other non-cash charges (excluding any such charge that constitutes an accrual of or a reserve for cash charges for any future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restructuring charges and related charges,</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(i) pro forma adjustments, “run rate” cost savings, operating expense reductions and cost synergies, in each case, related to any Specified Transaction consummated by the Company or any of its Subsidiaries and projected by the Company in good faith to result from actions taken or expected to be taken (in the good faith determination of the Company) within 18 months after the date any such Specified Transaction is consummated, and (ii) any pro forma adjustments, “run rate” cost savings, operating expense reductions and cost synergies projected by the Company in good faith to result from actions either taken or expected to be taken (including in connection with any restructuring initiative, cost savings initiative, new initiative, business optimization activities, cost rationalization programs and/or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similar initiatives or programs) within 18 months after the date of determination to take such action (any such pro forma adjustments, “run rate” cost savings, operating expense reductions or synergies set forth in clauses (i) and (ii), “</w:t>
      </w:r>
      <w:r>
        <w:rPr>
          <w:rFonts w:ascii="Times New Roman;serif" w:hAnsi="Times New Roman;serif"/>
          <w:b/>
          <w:color w:val="000000"/>
          <w:sz w:val="22"/>
        </w:rPr>
        <w:t>Expected Cost Savings</w:t>
      </w:r>
      <w:r>
        <w:rPr>
          <w:color w:val="000000"/>
        </w:rPr>
        <w:t>”</w:t>
      </w:r>
      <w:r>
        <w:rPr>
          <w:rFonts w:ascii="Times New Roman;serif" w:hAnsi="Times New Roman;serif"/>
          <w:b w:val="false"/>
          <w:color w:val="000000"/>
          <w:sz w:val="22"/>
        </w:rPr>
        <w:t>) (in each case, calculated on a Pro Forma Basis as though the full recurring benefit of such Expected Cost Savings had been realized in full on the first day of such period); provided that (A) such Expected Cost Savings are reasonably identifiable and factually supportable, (B) no Expected Cost Savings shall be added pursuant to this clause (g) to the extent of the amount of actual benefits realized from such actions and to the extent duplicative of any expenses or charges relating to such Expected Cost Savings that are included in clause (a) through (f) above or (h) through (s) below and (C) such Expected Cost Savings shall not exceed 25% of Consolidated EBITDA (before giving effect to such adjustment) for such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cash expenses relating to customary earn outs and similar obligations to the extent constituting Indebtedness; </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fees and the amount of loss or discount on the sale of Permitted Receivables Assets and related assets in connection with a Permitted Receivables Financing;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within the next four fiscal quarters (with a deduction in the applicable future period for any amount so added back to the extent not so reimbursed within the next four fiscal quarters) or (ii) without duplication of amounts included in a prior period under the preceding </w:t>
      </w:r>
      <w:r>
        <w:rPr>
          <w:rFonts w:ascii="Times New Roman;serif" w:hAnsi="Times New Roman;serif"/>
          <w:b w:val="false"/>
          <w:color w:val="000000"/>
          <w:sz w:val="22"/>
          <w:u w:val="single"/>
        </w:rPr>
        <w:t>clause (i)</w:t>
      </w:r>
      <w:r>
        <w:rPr>
          <w:rFonts w:ascii="Times New Roman;serif" w:hAnsi="Times New Roman;serif"/>
          <w:b w:val="false"/>
          <w:color w:val="000000"/>
          <w:sz w:val="22"/>
        </w:rPr>
        <w:t>, to the extent such charge is covered by insurance, indemnification or otherwise reimbursable by a third party (whether or not then realized so long as the Company in good faith expects to receive proceeds arising out of such insurance, indemnification or reimbursement obligation within the next four fiscal quarters) (it being understood that if the amount received in cash under any such agreement in any period exceeds the amount of expense paid during such period, any excess amount received may be carried forward and applied against any expense in any future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unrealized net losses in the fair market value of any arrangements under Hedge Agreements;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the amount of any cash from operations actually received by such Person (or the amount of the benefit of any netting arrangement resulting in reduced cash expenditures) during such period, and not included in Consolidated Net Income in any period, to the extent that any non-cash gain relating to such cash receipt or netting arrangement was deducted in the calculation of Consolidated EBITDA for any previous period and not added back;</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the amount of any non-controlling interest or minority interest charge consisting of income attributable to minority equity interests of third parties in any non-Wholly Owned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any other adjustments, exclusions and add-backs reflected in the financial model delivered to the Arrangers on or about May 15, 2025 (the “</w:t>
      </w:r>
      <w:r>
        <w:rPr>
          <w:rFonts w:ascii="Times New Roman;serif" w:hAnsi="Times New Roman;serif"/>
          <w:b/>
          <w:color w:val="000000"/>
          <w:sz w:val="22"/>
        </w:rPr>
        <w:t>Company Model</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charges, expenses and costs in anticipation of, or preparation for, standalone compliance with the requirements of the Sarbanes-Oxley Act of 2002 and the rules and regulations promulgated in connection therewith and charges, expenses and costs in anticipation of, or preparation for, compliance with the provisions of the Securities Act of 1933, as amended, and the Exchange Act, as applicable to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companies with equity or debt securities held by the public and the rules of national securities exchange for companies with listed equity or debt securities, including listing fees;</w:t>
      </w:r>
    </w:p>
    <w:p>
      <w:pPr>
        <w:pStyle w:val="TextBody"/>
        <w:bidi w:val="0"/>
        <w:spacing w:lineRule="auto" w:line="288"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any costs (including any settlement costs), expenses, fees, fines, penalties, judgments, legal settlements and other amounts associated with any restructuring, litigation (including any pending or threatened litigation), claim, proceeding or investigation related to or undertaken by the Company or any of its Subsidiaries, together with any related provision for taxes;</w:t>
      </w:r>
    </w:p>
    <w:p>
      <w:pPr>
        <w:pStyle w:val="TextBody"/>
        <w:bidi w:val="0"/>
        <w:spacing w:lineRule="auto" w:line="288"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costs and expenses incurred in connection with the preparation, negotiation and delivery of the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any net charge with respect to (i) any disposed, abandoned, divested and/or discontinued asset, property or operation (other than, at the option of the Company, any asset, property or operation pending the disposal, abandonment, divestiture and/or termination thereof), (ii) any disposal, abandonment, divestiture and/or discontinuation of any asset, property or operation (other than, at the option of the Company, relating to assets or properties held for sale or pending the divestiture or discontinuation thereof) and/or (iii) any facility that has been closed during such period;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rPr>
        <w:t>non-cash charges, non-cash expenses or non-cash losses incurred as a result of the Pledge 1% campaign described in the Form S-1.</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minus, to the extent taken into account in calculating Consolidated Net Income for such period, the sum of (a) interest income, (b) any non-cash income and (c) unrealized net gains in the fair market value of any arrangement under Hedge Agreements, all as determined on a consolidated basis. Notwithstanding anything herein to the contrary, (i) increases in deferred revenue for such period shall be added back to Consolidated Net Income in calculating Consolidated EBITDA for such period and (ii) decreases in deferred revenue for such period shall be subtracted from Consolidated Net Income in calculating Consolidated Adjusted EBITDA for such period.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Consolidated First Lien Debt</w:t>
      </w:r>
      <w:r>
        <w:rPr>
          <w:color w:val="000000"/>
        </w:rPr>
        <w:t>”</w:t>
      </w:r>
      <w:r>
        <w:rPr>
          <w:rFonts w:ascii="Times New Roman;serif" w:hAnsi="Times New Roman;serif"/>
          <w:b w:val="false"/>
          <w:color w:val="000000"/>
          <w:sz w:val="22"/>
        </w:rPr>
        <w:t>: as to any Person at any date of determination, the aggregate principal amount of Consolidated Total Debt outstanding on such date that is secured by a first priority Lien on the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Consolidated Interest Expense</w:t>
      </w:r>
      <w:r>
        <w:rPr>
          <w:color w:val="000000"/>
        </w:rPr>
        <w:t>”</w:t>
      </w:r>
      <w:r>
        <w:rPr>
          <w:rFonts w:ascii="Times New Roman;serif" w:hAnsi="Times New Roman;serif"/>
          <w:b w:val="false"/>
          <w:color w:val="000000"/>
          <w:sz w:val="22"/>
        </w:rPr>
        <w:t>: for any period, total cash interest expense of the Company and its Subsidiaries for such period determined in accordance with GAAP (excluding, to the extent otherwise included in such interest expense, (i) all premiums and interest rate hedge termination costs in connection with any purchase or redemption of any Indebtedness, (ii) any fees, including upfront fees, and any other fees and expenses associated or paid in connection with this Agreement or the consummation of the Transaction, (iii) annual agency fee, paid to the Administrative Agent, (iv) fees and expenses associated with any Investment permitted pursuant to Section 7.7 or any issuance of Capital Stock or Indebtedness permitted hereunder (whether or not consummated), (v) any interest component relating to the accretion or accrual of discounted liabilities and (vi) any writeoff of unamortized debt issuance costs upon any prepayment of any Indebtedness), net of cash interest income. Notwithstanding the foregoing, in the event that Company or a Subsidiary has entered into an operating lease in connection with a Permitted Sale/Leaseback, then Consolidated Interest Expense for any period shall be deemed to be increased by the interest component of lease payments under such operating lease made during such period.</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Consolidated Net Income</w:t>
      </w:r>
      <w:r>
        <w:rPr>
          <w:color w:val="000000"/>
        </w:rPr>
        <w:t>”</w:t>
      </w:r>
      <w:r>
        <w:rPr>
          <w:rFonts w:ascii="Times New Roman;serif" w:hAnsi="Times New Roman;serif"/>
          <w:b w:val="false"/>
          <w:color w:val="000000"/>
          <w:sz w:val="22"/>
        </w:rPr>
        <w:t>: for any period, the consolidated net income (or loss) of the Company and its Subsidiaries, determined on a consolidated basis in accordance with GAAP; provided that there shall be excluded, without duplication: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income (or deficit) of any Person accrued prior to the date it becomes a Subsidiary of the Company or is merged into or consolidated with the Company or any of its Subsidiaries;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income (or deficit) of any Person (other than a Subsidiary of the Company) in which the Company or any of its Subsidiaries has an ownership interest, except to the extent that any such income is actually received by the Company or such Subsidiary in the form of dividends or similar distributions; </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undistributed earnings of any Subsidiary of the Company (other than a Loan Party)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any goodwill or other asset impairment charges, write-offs or write-downs or amortization of intangibles;</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any gain or charge attributable to any asset Disposition (including asset retirement costs or sales or issuances of Capital Stock) or of returned or surplus assets outside the ordinary course of business (as determined in good faith by such Person);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(i) any unrealized or realized net foreign currency transactional gains or charges impacting net income (including currency re-measurements of Indebtedness, any net gains or charges resulting from Hedge Agreements for currency exchange risk associated with the above or any other currency related risk, any transactional gains or charges relating to assets and liabilities denominated in a currency other than a functional currency and those resulting from intercompany Indebtedness), (ii) any realized or unrealized gain or charge in respect of (x) any obligation under any Hedge Agreement as determined in accordance with GAAP and/or (y) any other derivative instrument pursuant to, in the case of this clause (y), Financial Accounting Standards Board’s Accounting Standards Codification No. 815-Derivatives and Hedging and (iii) unrealized gains or losses in respect of any Hedge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any net income or charge (including all fees and expenses related thereto) attributable to (i) the early extinguishment or cancellation of Indebtedness or (ii) any derivative transaction under a Hedge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non-cash expenses resulting from any employee benefit or management compensation plan or grant of stock and stock options or other equity and equity-based interests to employees of the Company or any Subsidiary pursuant to a written plan or agreement (including expenses arising from the grant of stock and stock options prior to the Closing Date) or the treatment of such options or other equity and equity-based interests under variable plan accounting;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any charge that is established, adjusted and/or incurred (i) within 12 months after the closing of any acquisition that is required to be established, adjusted or incurred, as applicable, as a result of such acquisition in accordance with GAAP or (ii) as a result of any change in, or the adoption or modification of, accounting principles or policies;</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any (i) write-off or amortization made in such period of deferred financing costs and premiums paid or other expenses incurred directly in connection with any early extinguishment of Indebtedness, (ii) amortization of intangible assets and (iii) other amortization (including amortization of goodwill, software, deferred or capitalized financing fees, debt issuance costs, commissions and expenses and other intangible assets);</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fees, costs and expenses incurred, or amortization thereof, in connection with, to the extent permitted hereunder, any Investment, any issuance of debt or equity, any Disposition, any casualty event or any amendments or waivers of the Loan Documents, and refinancing, refunding, renewals or extensions permitted hereunder in connection therewith, in each case, whether or not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non-cash compensation charges and/or any other non-cash charges arising from the granting of any stock, stock option or similar arrangement (including any profits interest) or the granting of any restricted stock, stock appreciation right and/or similar arrangement (including any repricing, amendment, modification, substitution or change of any such stock option, restricted stock, stock appreciation right, profits interest or similar arrangement or the vesting of any warrant);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the effects of adjustments (including the effects of such adjustments pushed down to the Company and its subsidiaries) in component amounts required or permitted by GAAP (including, without limitation, in the inventory (including any impact of changes to inventory valuation policy methods, including changes in capitalization of variances), property and equipment, lease, rights fee arrangements, software, goodwill, intangible asset (including customer molds), deferred revenue, advanced billing and debt line items thereof), resulting from the application of recapitalization accounting or acquisition or purchase accounting, as the case may be, in relation to any consummated acquisition or similar Investment or the amortization or write-off of any amounts thereof;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any extraordinary, exceptional one-time or nonrecurring gains or losses.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Consolidated Total Assets</w:t>
      </w:r>
      <w:r>
        <w:rPr>
          <w:color w:val="000000"/>
        </w:rPr>
        <w:t>”</w:t>
      </w:r>
      <w:r>
        <w:rPr>
          <w:rFonts w:ascii="Times New Roman;serif" w:hAnsi="Times New Roman;serif"/>
          <w:b w:val="false"/>
          <w:color w:val="000000"/>
          <w:sz w:val="22"/>
        </w:rPr>
        <w:t>: at any date, all amounts that would, in conformity with GAAP, be set forth opposite the caption “total assets” (or any like caption) on a consolidated balance sheet of the Company and its Subsidiaries at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Consolidated Total Debt</w:t>
      </w:r>
      <w:r>
        <w:rPr>
          <w:color w:val="000000"/>
        </w:rPr>
        <w:t>”</w:t>
      </w:r>
      <w:r>
        <w:rPr>
          <w:rFonts w:ascii="Times New Roman;serif" w:hAnsi="Times New Roman;serif"/>
          <w:b w:val="false"/>
          <w:color w:val="000000"/>
          <w:sz w:val="22"/>
        </w:rPr>
        <w:t xml:space="preserve">: at any date, the aggregate principal amount of debt of the Company and its Subsidiaries at such date in an amount that would be reflected on a balance sheet prepared as of such date on a consolidated basis in accordance with GAAP (but excluding the effects of any discounting of Indebtedness resulting from the application of purchase accounting in connection with any permitted Investment), consisting of Indebtedness for borrowed money, obligations evidenced by notes, bonds (excluding surety bonds), debentures or similar instruments (other than an operating lease, synthetic lease or similar arrangement), purchase money indebtedness and Capital Lease Obligations.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Contingent Purchase Price Obligations</w:t>
      </w:r>
      <w:r>
        <w:rPr>
          <w:color w:val="000000"/>
        </w:rPr>
        <w:t>”</w:t>
      </w:r>
      <w:r>
        <w:rPr>
          <w:rFonts w:ascii="Times New Roman;serif" w:hAnsi="Times New Roman;serif"/>
          <w:b w:val="false"/>
          <w:color w:val="000000"/>
          <w:sz w:val="22"/>
        </w:rPr>
        <w:t>: any earnout obligations or similar deferred or contingent purchase price obligations of the Company or any of its Subsidiaries incurred or created in connection with any acquisition to the extent such obligations are a liability on the consolidated balance sheet of the Company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Contractual Obligation</w:t>
      </w:r>
      <w:r>
        <w:rPr>
          <w:color w:val="000000"/>
        </w:rPr>
        <w:t>”</w:t>
      </w:r>
      <w:r>
        <w:rPr>
          <w:rFonts w:ascii="Times New Roman;serif" w:hAnsi="Times New Roman;serif"/>
          <w:b w:val="false"/>
          <w:color w:val="000000"/>
          <w:sz w:val="22"/>
        </w:rPr>
        <w:t>: as to any Person, any provision of any security issued by such Person or of any agreement, instrument or other undertaking to which such Person is a party or by which it or any of its property is bound.</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Corresponding Tenor</w:t>
      </w:r>
      <w:r>
        <w:rPr>
          <w:color w:val="000000"/>
        </w:rPr>
        <w:t>”</w:t>
      </w:r>
      <w:r>
        <w:rPr>
          <w:rFonts w:ascii="Times New Roman;serif" w:hAnsi="Times New Roman;serif"/>
          <w:b w:val="false"/>
          <w:color w:val="000000"/>
          <w:sz w:val="22"/>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Covered Agreement</w:t>
      </w:r>
      <w:r>
        <w:rPr>
          <w:color w:val="000000"/>
        </w:rPr>
        <w:t>”</w:t>
      </w:r>
      <w:r>
        <w:rPr>
          <w:rFonts w:ascii="Times New Roman;serif" w:hAnsi="Times New Roman;serif"/>
          <w:b w:val="false"/>
          <w:color w:val="000000"/>
          <w:sz w:val="22"/>
        </w:rPr>
        <w:t>: as defined in Section 7.11(c).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Covered Entity</w:t>
      </w:r>
      <w:r>
        <w:rPr>
          <w:color w:val="000000"/>
        </w:rPr>
        <w:t>”</w:t>
      </w:r>
      <w:r>
        <w:rPr>
          <w:rFonts w:ascii="Times New Roman;serif" w:hAnsi="Times New Roman;serif"/>
          <w:b w:val="false"/>
          <w:color w:val="000000"/>
          <w:sz w:val="22"/>
        </w:rPr>
        <w:t>: any of the following: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 “covered entity” as that term is defined in, and interpreted in accordance with, 12 C.F.R. § 252.82(b);</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a “covered bank” as that term is defined in, and interpreted in accordance with, 12 C.F.R. § 47.3(b);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Covered Party</w:t>
      </w:r>
      <w:r>
        <w:rPr>
          <w:color w:val="000000"/>
        </w:rPr>
        <w:t>”</w:t>
      </w:r>
      <w:r>
        <w:rPr>
          <w:rFonts w:ascii="Times New Roman;serif" w:hAnsi="Times New Roman;serif"/>
          <w:b w:val="false"/>
          <w:color w:val="000000"/>
          <w:sz w:val="22"/>
        </w:rPr>
        <w:t>: as defined in Section 10.23.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Credit Agreement Refinancing Indebtedness</w:t>
      </w:r>
      <w:r>
        <w:rPr>
          <w:color w:val="000000"/>
        </w:rPr>
        <w:t>”</w:t>
      </w:r>
      <w:r>
        <w:rPr>
          <w:rFonts w:ascii="Times New Roman;serif" w:hAnsi="Times New Roman;serif"/>
          <w:b w:val="false"/>
          <w:color w:val="000000"/>
          <w:sz w:val="22"/>
        </w:rPr>
        <w:t>: Indebtedness constituting (a) Permitted First Priority Refinancing Debt, (b) Permitted Junior Lien Refinancing Debt or (c) Permitted Unsecured Refinancing Debt; provided that (i) such Indebtedness shall not have a greater principal amount than the principal amount (or accreted value, if applicable) of the Refinanced Debt except by an amount equal to (x) 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(y) any existing commitments unutilized thereunder and (z) additional amounts permitted to be incurred under Section 7.2 and, to the extent secured by a Lien, Section 7.3 (and, in each case, the applicable clause of Section 7.2 and Section 7.3 shall be deemed to be utilized by the amount so incurred), (ii) the other terms and conditions of such Indebtedness shall not be materially more restrictive (taken as a whole) on the Company and its Subsidiaries (as determined by the Company in good faith) than those applicable to the Refinanced Debt being refinanced or replaced (except for covenants or other provisions (I) that reflect market terms and conditions (taken as a whole) at the time of incurrence (as determined by the Company in good faith), (II) that are reasonably satisfactory to the Administrative Agent, (III) that are applicable only to periods after the Latest Maturity Date at the time of incurrence of such Indebtedness, or (IV) that are also added for the benefit of each Facility remaining outstanding (provided that, in the case of each of clauses (I), (II) and (IV), if any financial maintenance covenant for the benefit of any Credit Agreement Refinancing Indebtedness is added or is more restrictive than the financial maintenance covenants then applicable to any then-existing Revolving Facility, such financial maintenance covenant shall be applied to any then-existing Revolving Facility) and (iii) such Refinanced Debt shall be repaid, repurchased, retired, defeased or satisfied and discharged, all accrued interest, fees, premiums (if any) and penalties in connection therewith shall be paid, and all commitments thereunder terminated, on the date such Credit Agreement Refinancing Indebtedness is issued, incurred or obtained.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Credit Party</w:t>
      </w:r>
      <w:r>
        <w:rPr>
          <w:color w:val="000000"/>
        </w:rPr>
        <w:t>”</w:t>
      </w:r>
      <w:r>
        <w:rPr>
          <w:rFonts w:ascii="Times New Roman;serif" w:hAnsi="Times New Roman;serif"/>
          <w:b w:val="false"/>
          <w:color w:val="000000"/>
          <w:sz w:val="22"/>
        </w:rPr>
        <w:t>: the Administrative Agent, any Issuing Bank, the Swingline Lender or any other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Customer Advance</w:t>
      </w:r>
      <w:r>
        <w:rPr>
          <w:color w:val="000000"/>
        </w:rPr>
        <w:t>”</w:t>
      </w:r>
      <w:r>
        <w:rPr>
          <w:rFonts w:ascii="Times New Roman;serif" w:hAnsi="Times New Roman;serif"/>
          <w:b w:val="false"/>
          <w:color w:val="000000"/>
          <w:sz w:val="22"/>
        </w:rPr>
        <w:t>: any loan, advance or other funding to any customer of the Borrowers and their Subsidiaries in connection with any lending and/or non-recourse product offering of the Borrowers and their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Customer Guarantee</w:t>
      </w:r>
      <w:r>
        <w:rPr>
          <w:color w:val="000000"/>
        </w:rPr>
        <w:t>”</w:t>
      </w:r>
      <w:r>
        <w:rPr>
          <w:rFonts w:ascii="Times New Roman;serif" w:hAnsi="Times New Roman;serif"/>
          <w:b w:val="false"/>
          <w:color w:val="000000"/>
          <w:sz w:val="22"/>
        </w:rPr>
        <w:t>: any Guarantee Obligation of the Borrowers and their Subsidiaries in respect of any loan, advance or other funding provided by third-party banking institutions to customers of the Borrowers and their Subsidiaries in connection with any lending and/or non-recourse product offering of the Borrowers and their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Daily Simple SOFR</w:t>
      </w:r>
      <w:r>
        <w:rPr>
          <w:color w:val="000000"/>
        </w:rPr>
        <w:t>”</w:t>
      </w:r>
      <w:r>
        <w:rPr>
          <w:rFonts w:ascii="Times New Roman;serif" w:hAnsi="Times New Roman;serif"/>
          <w:b w:val="false"/>
          <w:color w:val="000000"/>
          <w:sz w:val="22"/>
        </w:rPr>
        <w:t>: for any day (a “</w:t>
      </w:r>
      <w:r>
        <w:rPr>
          <w:rFonts w:ascii="Times New Roman;serif" w:hAnsi="Times New Roman;serif"/>
          <w:b/>
          <w:color w:val="000000"/>
          <w:sz w:val="22"/>
        </w:rPr>
        <w:t>SOFR Rate Day</w:t>
      </w:r>
      <w:r>
        <w:rPr>
          <w:color w:val="000000"/>
        </w:rPr>
        <w:t>”</w:t>
      </w:r>
      <w:r>
        <w:rPr>
          <w:rFonts w:ascii="Times New Roman;serif" w:hAnsi="Times New Roman;serif"/>
          <w:b w:val="false"/>
          <w:color w:val="000000"/>
          <w:sz w:val="22"/>
        </w:rPr>
        <w:t>), a rate per annum equal to SOFR for the day (such day “</w:t>
      </w:r>
      <w:r>
        <w:rPr>
          <w:rFonts w:ascii="Times New Roman;serif" w:hAnsi="Times New Roman;serif"/>
          <w:b/>
          <w:color w:val="000000"/>
          <w:sz w:val="22"/>
        </w:rPr>
        <w:t>SOFR Determination Date</w:t>
      </w:r>
      <w:r>
        <w:rPr>
          <w:color w:val="000000"/>
        </w:rPr>
        <w:t>”</w:t>
      </w:r>
      <w:r>
        <w:rPr>
          <w:rFonts w:ascii="Times New Roman;serif" w:hAnsi="Times New Roman;serif"/>
          <w:b w:val="false"/>
          <w:color w:val="000000"/>
          <w:sz w:val="22"/>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Daily Simple SOFR as so determined would be less than the Floor, such rate shall be deemed to be equal to the Floor for purposes of this Agreement. Any change in Daily Simple SOFR due to a change in SOFR shall be effective from and including the effective date of such change in SOFR without notice to the Borrowers.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Default</w:t>
      </w:r>
      <w:r>
        <w:rPr>
          <w:color w:val="000000"/>
        </w:rPr>
        <w:t>”</w:t>
      </w:r>
      <w:r>
        <w:rPr>
          <w:rFonts w:ascii="Times New Roman;serif" w:hAnsi="Times New Roman;serif"/>
          <w:b w:val="false"/>
          <w:color w:val="000000"/>
          <w:sz w:val="22"/>
        </w:rPr>
        <w:t>: any of the events specified in Section 8, whether or not any requirement for the giving of notice, the lapse of time, or both, has been satisfied.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Default Right</w:t>
      </w:r>
      <w:r>
        <w:rPr>
          <w:color w:val="000000"/>
        </w:rPr>
        <w:t>”</w:t>
      </w:r>
      <w:r>
        <w:rPr>
          <w:rFonts w:ascii="Times New Roman;serif" w:hAnsi="Times New Roman;serif"/>
          <w:b w:val="false"/>
          <w:color w:val="000000"/>
          <w:sz w:val="22"/>
        </w:rPr>
        <w:t>: as defined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Defaulting Lender</w:t>
      </w:r>
      <w:r>
        <w:rPr>
          <w:color w:val="000000"/>
        </w:rPr>
        <w:t>”</w:t>
      </w:r>
      <w:r>
        <w:rPr>
          <w:rFonts w:ascii="Times New Roman;serif" w:hAnsi="Times New Roman;serif"/>
          <w:b w:val="false"/>
          <w:color w:val="000000"/>
          <w:sz w:val="22"/>
        </w:rPr>
        <w:t xml:space="preserve">: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the Swingline Lender or any other Lender any other amount required to be paid by it hereunder (including in respect of its participation in Letters of Credit or Swingline Loans) within two Business Days of the date when due, (b) has notified the Company, the Administrative Agent, any Issuing Bank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(provided that such Lender shall cease to be a Defaulting Lender pursuant to this clause (c) upon receipt of such written confirmation by the Administrative Agent and the Company), or (d) has, or has a direct or indirect company that has, (i) become the subject of any bankruptcy or insolvency proceeding,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state or federal regulatory authority acting in such a capacity (but excluding any receiver, custodian, conservator, trustee, administrator or similar Person appointed by a regulatory authority under or based on the applicable law in the country where such Person is subject to home jurisdiction supervision if applicable law requires that such appointment is not to be publicly disclosed); provided that a Lender shall not be a Defaulting Lender solely by virtue of the ownership or acquisition of any equity interest in that Lender or any direct or indirect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upon delivery of written notice of such determination to the Company, each Issuing Bank, the Swingline Lender and each Lender. For the avoidance of doubt, any Defaulting Revolving Lender shall be deemed a Defaulting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Defaulting Revolving Lender</w:t>
      </w:r>
      <w:r>
        <w:rPr>
          <w:color w:val="000000"/>
        </w:rPr>
        <w:t>”</w:t>
      </w:r>
      <w:r>
        <w:rPr>
          <w:rFonts w:ascii="Times New Roman;serif" w:hAnsi="Times New Roman;serif"/>
          <w:b w:val="false"/>
          <w:color w:val="000000"/>
          <w:sz w:val="22"/>
        </w:rPr>
        <w:t>: as defined in Section 2.27.</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Designated Non-Cash Consideration</w:t>
      </w:r>
      <w:r>
        <w:rPr>
          <w:color w:val="000000"/>
        </w:rPr>
        <w:t>”</w:t>
      </w:r>
      <w:r>
        <w:rPr>
          <w:rFonts w:ascii="Times New Roman;serif" w:hAnsi="Times New Roman;serif"/>
          <w:b w:val="false"/>
          <w:color w:val="000000"/>
          <w:sz w:val="22"/>
        </w:rPr>
        <w:t>: the fair market value (as determined by the Company in good faith) of non-cash consideration received by the Company or any Subsidiary in connection with any Disposition pursuant to Section 7.5(h) that is designated as Designated Non-Cash Consideration by a Responsible Officer of the Company (which amount will be reduced by the amount of cash or Cash Equivalents received in connection with a subsequent sale or conversion of such Designated Non-Cash Consideration to cash or Cash Equivalents).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Disposition</w:t>
      </w:r>
      <w:r>
        <w:rPr>
          <w:color w:val="000000"/>
        </w:rPr>
        <w:t>”</w:t>
      </w:r>
      <w:r>
        <w:rPr>
          <w:rFonts w:ascii="Times New Roman;serif" w:hAnsi="Times New Roman;serif"/>
          <w:b w:val="false"/>
          <w:color w:val="000000"/>
          <w:sz w:val="22"/>
        </w:rPr>
        <w:t xml:space="preserve">: with respect to any property or right, any sale, lease, license, sale and leaseback, assignment, conveyance, transfer or other disposition thereof (other than any transaction for purposes of collateral or security to the extent permitted hereunder). The terms “Dispose” and “Disposed of” shall have correlative meanings.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Disqualified Capital Stock</w:t>
      </w:r>
      <w:r>
        <w:rPr>
          <w:color w:val="000000"/>
        </w:rPr>
        <w:t>”</w:t>
      </w:r>
      <w:r>
        <w:rPr>
          <w:rFonts w:ascii="Times New Roman;serif" w:hAnsi="Times New Roman;serif"/>
          <w:b w:val="false"/>
          <w:color w:val="000000"/>
          <w:sz w:val="22"/>
        </w:rPr>
        <w:t>: any Capital Stock of the Company which is not Qualified Capital Stock. 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Borrowers or any of their Subsidiaries, such Capital Stock shall not constitute Disqualified Capital Stock solely because it may be required to be repurchased by the issuer thereof in order to satisfy applicable statutory or regulatory obligations and (B) no Capital Stock held by any Permitted Payee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Disqualified Lender</w:t>
      </w:r>
      <w:r>
        <w:rPr>
          <w:color w:val="000000"/>
        </w:rPr>
        <w:t>”</w:t>
      </w:r>
      <w:r>
        <w:rPr>
          <w:rFonts w:ascii="Times New Roman;serif" w:hAnsi="Times New Roman;serif"/>
          <w:b w:val="false"/>
          <w:color w:val="000000"/>
          <w:sz w:val="22"/>
        </w:rPr>
        <w:t>: (i) competitors of the Company and its Subsidiaries identified from time to time to the Administrative Agent, (ii) persons identified to the Arrangers prior to June 24, 2025 (the list of such Persons identified pursuant to clauses (i) and (ii), the “</w:t>
      </w:r>
      <w:r>
        <w:rPr>
          <w:rFonts w:ascii="Times New Roman;serif" w:hAnsi="Times New Roman;serif"/>
          <w:b/>
          <w:color w:val="000000"/>
          <w:sz w:val="22"/>
        </w:rPr>
        <w:t>Disqualified Lenders List</w:t>
      </w:r>
      <w:r>
        <w:rPr>
          <w:color w:val="000000"/>
        </w:rPr>
        <w:t>”</w:t>
      </w:r>
      <w:r>
        <w:rPr>
          <w:rFonts w:ascii="Times New Roman;serif" w:hAnsi="Times New Roman;serif"/>
          <w:b w:val="false"/>
          <w:color w:val="000000"/>
          <w:sz w:val="22"/>
        </w:rPr>
        <w:t xml:space="preserve">) and (iii) in each case of clauses (i) and (ii), any of such person’s Affiliates (other than any Bona Fide Debt Fund that would not be a Disqualified Lender but for this clause (iii)) that are (x) clearly identifiable solely by similarity of name or (y) identified in writing by the Company from time to time to the Administrative Agent; provided that, notwithstanding anything herein to the contrary, (A) in no event shall a supplement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apply retroactively to disqualify any parties that have previously acquired an assignment or participation interest in any Loans or Commitments under the Facilities that is otherwise permitted hereunder and (B) no supplements shall become effective until three Business Days after delivery by the Company to the Administrative Agent of such supplement by electronic mail to JPMDQ_Contact@jpmorgan.com.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Disqualified Lenders List</w:t>
      </w:r>
      <w:r>
        <w:rPr>
          <w:color w:val="000000"/>
        </w:rPr>
        <w:t>”</w:t>
      </w:r>
      <w:r>
        <w:rPr>
          <w:rFonts w:ascii="Times New Roman;serif" w:hAnsi="Times New Roman;serif"/>
          <w:b w:val="false"/>
          <w:color w:val="000000"/>
          <w:sz w:val="22"/>
        </w:rPr>
        <w:t>: as defined in clause (ii) of the definition of “Disqualified Lender”, as the same may be supplemented from time to time pursuant to clauses (i) and (iii)(y) of the definition of “Disqualified Lender”.</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color w:val="0000FF"/>
          <w:sz w:val="22"/>
          <w:u w:val="single"/>
        </w:rPr>
        <w:t>Dollar Equivalent</w:t>
      </w:r>
      <w:r>
        <w:rPr>
          <w:color w:val="0000FF"/>
          <w:u w:val="single"/>
        </w:rPr>
        <w:t xml:space="preserve">” </w:t>
      </w:r>
      <w:r>
        <w:rPr>
          <w:rFonts w:ascii="Times New Roman;serif" w:hAnsi="Times New Roman;serif"/>
          <w:b w:val="false"/>
          <w:color w:val="0000FF"/>
          <w:sz w:val="22"/>
          <w:u w:val="single"/>
        </w:rPr>
        <w:t xml:space="preserve">means, for any amount, at the time of determination thereof, (a) if such amount is expressed in U.S. Dollars, such amount, (b) if such amount is expressed in an Alternative Currency, the equivalent of such amount in U.S. Dollars determined by using the rate of exchange for the purchase of U.S.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U.S. Dollars with the Alternative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U.S. Dollars as determined by the Administrative Agent using any method of determination it deems appropriate in its reasonable discretion) and (c) if such amount is denominated in any other currency, the equivalent of such amount in U.S. Dollars as determined by the Administrative Agent using any method of determination it deems appropriate in its reasonable discretion.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Domestic Funding Office</w:t>
      </w:r>
      <w:r>
        <w:rPr>
          <w:color w:val="000000"/>
        </w:rPr>
        <w:t>”</w:t>
      </w:r>
      <w:r>
        <w:rPr>
          <w:rFonts w:ascii="Times New Roman;serif" w:hAnsi="Times New Roman;serif"/>
          <w:b w:val="false"/>
          <w:color w:val="000000"/>
          <w:sz w:val="22"/>
        </w:rPr>
        <w:t>: the Administrative Agent’s office as may be designated by the Administrative Agent by written notice to the Company and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Domestic Subsidiary</w:t>
      </w:r>
      <w:r>
        <w:rPr>
          <w:color w:val="000000"/>
        </w:rPr>
        <w:t>”</w:t>
      </w:r>
      <w:r>
        <w:rPr>
          <w:rFonts w:ascii="Times New Roman;serif" w:hAnsi="Times New Roman;serif"/>
          <w:b w:val="false"/>
          <w:color w:val="000000"/>
          <w:sz w:val="22"/>
        </w:rPr>
        <w:t xml:space="preserve">: any Subsidiary of the Company organized under the laws of the United States or any state thereof or the District of Columbia.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EEA Financial Institution</w:t>
      </w:r>
      <w:r>
        <w:rPr>
          <w:color w:val="000000"/>
        </w:rPr>
        <w:t>”</w:t>
      </w:r>
      <w:r>
        <w:rPr>
          <w:rFonts w:ascii="Times New Roman;serif" w:hAnsi="Times New Roman;serif"/>
          <w:b w:val="false"/>
          <w:color w:val="000000"/>
          <w:sz w:val="22"/>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EEA Member Country</w:t>
      </w:r>
      <w:r>
        <w:rPr>
          <w:color w:val="000000"/>
        </w:rPr>
        <w:t>”</w:t>
      </w:r>
      <w:r>
        <w:rPr>
          <w:rFonts w:ascii="Times New Roman;serif" w:hAnsi="Times New Roman;serif"/>
          <w:b w:val="false"/>
          <w:color w:val="000000"/>
          <w:sz w:val="22"/>
        </w:rPr>
        <w:t>: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EEA Resolution Authority</w:t>
      </w:r>
      <w:r>
        <w:rPr>
          <w:color w:val="000000"/>
        </w:rPr>
        <w:t>”</w:t>
      </w:r>
      <w:r>
        <w:rPr>
          <w:rFonts w:ascii="Times New Roman;serif" w:hAnsi="Times New Roman;serif"/>
          <w:b w:val="false"/>
          <w:color w:val="000000"/>
          <w:sz w:val="22"/>
        </w:rPr>
        <w:t>: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Electronic Signature</w:t>
      </w:r>
      <w:r>
        <w:rPr>
          <w:color w:val="000000"/>
        </w:rPr>
        <w:t>”</w:t>
      </w:r>
      <w:r>
        <w:rPr>
          <w:rFonts w:ascii="Times New Roman;serif" w:hAnsi="Times New Roman;serif"/>
          <w:b w:val="false"/>
          <w:color w:val="000000"/>
          <w:sz w:val="22"/>
        </w:rPr>
        <w:t>: an electronic sound, symbol, or process attached to, or associated with, a contract or other record and adopted by a Person with the intent to sign, authenticate or accept such contract or record.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Environmental Laws</w:t>
      </w:r>
      <w:r>
        <w:rPr>
          <w:color w:val="000000"/>
        </w:rPr>
        <w:t>”</w:t>
      </w:r>
      <w:r>
        <w:rPr>
          <w:rFonts w:ascii="Times New Roman;serif" w:hAnsi="Times New Roman;serif"/>
          <w:b w:val="false"/>
          <w:color w:val="000000"/>
          <w:sz w:val="22"/>
        </w:rPr>
        <w:t xml:space="preserve">: as to any Person, any and all Requirements of Law (including common law) regulating, relating to or imposing liability or standards of conduct concerning protection of human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health (solely as it relates to exposure to Materials of Environmental Concern) or the environment, as now or may at any time hereafter be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ERISA</w:t>
      </w:r>
      <w:r>
        <w:rPr>
          <w:color w:val="000000"/>
        </w:rPr>
        <w:t>”</w:t>
      </w:r>
      <w:r>
        <w:rPr>
          <w:rFonts w:ascii="Times New Roman;serif" w:hAnsi="Times New Roman;serif"/>
          <w:b w:val="false"/>
          <w:color w:val="000000"/>
          <w:sz w:val="22"/>
        </w:rPr>
        <w:t>: the Employee Retirement Income Security Act of 1974,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EU Bail-In Legislation Schedule</w:t>
      </w:r>
      <w:r>
        <w:rPr>
          <w:color w:val="000000"/>
        </w:rPr>
        <w:t>”</w:t>
      </w:r>
      <w:r>
        <w:rPr>
          <w:rFonts w:ascii="Times New Roman;serif" w:hAnsi="Times New Roman;serif"/>
          <w:b w:val="false"/>
          <w:color w:val="000000"/>
          <w:sz w:val="22"/>
        </w:rPr>
        <w:t>: the EU Bail-In Legislation Schedule published by the Loan Market Association (or any successor Person), as in effect from time to time.</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Euro</w:t>
      </w:r>
      <w:r>
        <w:rPr>
          <w:color w:val="0000FF"/>
          <w:u w:val="single"/>
        </w:rPr>
        <w:t xml:space="preserve">” </w:t>
      </w:r>
      <w:r>
        <w:rPr>
          <w:rFonts w:ascii="Times New Roman;serif" w:hAnsi="Times New Roman;serif"/>
          <w:b w:val="false"/>
          <w:color w:val="0000FF"/>
          <w:sz w:val="22"/>
          <w:u w:val="single"/>
        </w:rPr>
        <w:t>or “</w:t>
      </w:r>
      <w:r>
        <w:rPr>
          <w:color w:val="0000FF"/>
          <w:u w:val="single"/>
        </w:rPr>
        <w:t xml:space="preserve">€” </w:t>
      </w:r>
      <w:r>
        <w:rPr>
          <w:rFonts w:ascii="Times New Roman;serif" w:hAnsi="Times New Roman;serif"/>
          <w:b w:val="false"/>
          <w:color w:val="0000FF"/>
          <w:sz w:val="22"/>
          <w:u w:val="single"/>
        </w:rPr>
        <w:t>means the lawful currency of the member states of the European Union that have adopted a single currency in accordance with applicable law or treaty.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Event of Default</w:t>
      </w:r>
      <w:r>
        <w:rPr>
          <w:color w:val="000000"/>
        </w:rPr>
        <w:t>”</w:t>
      </w:r>
      <w:r>
        <w:rPr>
          <w:rFonts w:ascii="Times New Roman;serif" w:hAnsi="Times New Roman;serif"/>
          <w:b w:val="false"/>
          <w:color w:val="000000"/>
          <w:sz w:val="22"/>
        </w:rPr>
        <w:t>: any of the events specified in Section 8; provided that any requirement for the giving of notice, the lapse of time, or both, has been satisfied.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Exchange Act</w:t>
      </w:r>
      <w:r>
        <w:rPr>
          <w:color w:val="000000"/>
        </w:rPr>
        <w:t>”</w:t>
      </w:r>
      <w:r>
        <w:rPr>
          <w:rFonts w:ascii="Times New Roman;serif" w:hAnsi="Times New Roman;serif"/>
          <w:b w:val="false"/>
          <w:color w:val="000000"/>
          <w:sz w:val="22"/>
        </w:rPr>
        <w:t>: the Securities Exchange Act of 1934,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Excluded Assets</w:t>
      </w:r>
      <w:r>
        <w:rPr>
          <w:color w:val="000000"/>
        </w:rPr>
        <w:t>”</w:t>
      </w:r>
      <w:r>
        <w:rPr>
          <w:rFonts w:ascii="Times New Roman;serif" w:hAnsi="Times New Roman;serif"/>
          <w:b w:val="false"/>
          <w:color w:val="000000"/>
          <w:sz w:val="22"/>
        </w:rPr>
        <w:t>: as defined in the Collateral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Excluded Subsidiary</w:t>
      </w:r>
      <w:r>
        <w:rPr>
          <w:color w:val="000000"/>
        </w:rPr>
        <w:t>”</w:t>
      </w:r>
      <w:r>
        <w:rPr>
          <w:rFonts w:ascii="Times New Roman;serif" w:hAnsi="Times New Roman;serif"/>
          <w:b w:val="false"/>
          <w:color w:val="000000"/>
          <w:sz w:val="22"/>
        </w:rPr>
        <w:t xml:space="preserve">: (i) any Foreign Subsidiary or any CFC, (ii) any Subsidiary that is not a Wholly Owned Subsidiary, (iii) any Immaterial Subsidiary, (iv) any Finance Subsidiary or any Special Purpose Finance Subsidiary, (v) any CFC Holding Company, (vi) any Subsidiary of a CFC or a CFC Holding Company, (vii) any Unrestricted Subsidiary, (viii) any Subsidiary that is prohibited by applicable law existing on the Closing Date or by applicable law or contractual obligation existing on the Closing Date or at the time of the formation or acquisition by the Company (or any of its Subsidiaries) of such Subsidiary (including pursuant to Indebtedness permitted to be incurred hereunder as assumed Indebtedness if the terms of such Indebtedness prohibit such Subsidiary from guaranteeing the Obligations) (so long as such contractual obligation is not in favor of the Company or any subsidiary of the Company or entered into in contemplation of such formation or acquisition) from providing a guarantee under the Guarantee Agreement or from having a Lien on its Capital Stock to secure the Obligations, as the context may require, for so long as such prohibition exists, or if such guarantee or such Lien, as the context may require, would require governmental (including regulatory) consent, approval, license or authorization (unless such consent, approval, license or authorization has been obtained, it being understood that the Company shall have no obligation to obtain any such consent, approval, license or authorization), (ix) any Subsidiary that is a not-for-profit organization, broker dealer, captive insurance subsidiaries and other special purpose subsidiaries, (x) any Subsidiary whose provision of a guarantee would result in materially adverse tax consequences to the Company and its Subsidiaries as reasonably determined by the Company, (xi) any Subsidiary listed in Schedule 1.1D hereto on the Closing Date and (xii) any other Subsidiary with respect to which, in the reasonable judgment of the Company, the burden or cost (including any adverse tax consequence) of providing a guarantee under the Guarantee Agreement or a Lien on its Capital Stock to secure the Obligations, as the context may require, will outweigh the benefits to be obtained by the Lenders therefrom;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the foregoing, in no event shall any Borrower be an Excluded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Excluded Swap Obligation</w:t>
      </w:r>
      <w:r>
        <w:rPr>
          <w:color w:val="000000"/>
        </w:rPr>
        <w:t>”</w:t>
      </w:r>
      <w:r>
        <w:rPr>
          <w:rFonts w:ascii="Times New Roman;serif" w:hAnsi="Times New Roman;serif"/>
          <w:b w:val="false"/>
          <w:color w:val="000000"/>
          <w:sz w:val="22"/>
        </w:rPr>
        <w:t xml:space="preserve">: with respect to any Guarantor (a) any Swap Obligation if, and to the extent that, and only for so long as, all or a portion of the guarantee of such Guarantor of, or the grant by such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Guarantor’s failure to constitute an “eligible contract participant,” as defined in the Commodity Exchange Act and the regulations thereunder, at the time the guarantee of (or grant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counterparty applicable to such Swap Obligations, and agreed by the Administrative Agent.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Existing Credit Agreement</w:t>
      </w:r>
      <w:r>
        <w:rPr>
          <w:color w:val="000000"/>
        </w:rPr>
        <w:t xml:space="preserve">” </w:t>
      </w:r>
      <w:r>
        <w:rPr>
          <w:rFonts w:ascii="Times New Roman;serif" w:hAnsi="Times New Roman;serif"/>
          <w:b w:val="false"/>
          <w:color w:val="000000"/>
          <w:sz w:val="22"/>
        </w:rPr>
        <w:t>means the Revolving Credit and Guaranty Agreement dated as of September 13, 2021 (as amended, restated, amended and restated, supplemented or otherwise modified prior to the date hereof), among the Borrowers and JPMorgan Chase Bank, N.A. as administrative agent and collateral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Existing Credit Agreement Refinancing</w:t>
      </w:r>
      <w:r>
        <w:rPr>
          <w:color w:val="000000"/>
        </w:rPr>
        <w:t xml:space="preserve">” </w:t>
      </w:r>
      <w:r>
        <w:rPr>
          <w:rFonts w:ascii="Times New Roman;serif" w:hAnsi="Times New Roman;serif"/>
          <w:b w:val="false"/>
          <w:color w:val="000000"/>
          <w:sz w:val="22"/>
        </w:rPr>
        <w:t>means the payment in full of all principal, interest, fees and other amounts (other than contingent indemnification obligations and other obligations that survive the termination thereof pursuant to the express terms thereof) due or outstanding under the Existing Credit Agreement, the termination of all commitments thereunder and the discharge or release of all Guarantees and Liens provided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Existing Letters of Credit</w:t>
      </w:r>
      <w:r>
        <w:rPr>
          <w:color w:val="000000"/>
        </w:rPr>
        <w:t xml:space="preserve">” </w:t>
      </w:r>
      <w:r>
        <w:rPr>
          <w:rFonts w:ascii="Times New Roman;serif" w:hAnsi="Times New Roman;serif"/>
          <w:b w:val="false"/>
          <w:color w:val="000000"/>
          <w:sz w:val="22"/>
        </w:rPr>
        <w:t xml:space="preserve">means each letter of credit set forth on Schedule 1.1E that was issued prior to the </w:t>
      </w:r>
      <w:r>
        <w:rPr>
          <w:rFonts w:ascii="Times New Roman;serif" w:hAnsi="Times New Roman;serif"/>
          <w:b w:val="false"/>
          <w:strike/>
          <w:color w:val="FF0000"/>
          <w:sz w:val="22"/>
        </w:rPr>
        <w:t>Closing</w:t>
      </w:r>
      <w:r>
        <w:rPr>
          <w:rFonts w:ascii="Times New Roman;serif" w:hAnsi="Times New Roman;serif"/>
          <w:b w:val="false"/>
          <w:color w:val="0000FF"/>
          <w:sz w:val="22"/>
          <w:u w:val="single"/>
        </w:rPr>
        <w:t>Amendment No. 1 Effective</w:t>
      </w:r>
      <w:r>
        <w:rPr>
          <w:color w:val="000000"/>
        </w:rPr>
        <w:t xml:space="preserve"> </w:t>
      </w:r>
      <w:r>
        <w:rPr>
          <w:rFonts w:ascii="Times New Roman;serif" w:hAnsi="Times New Roman;serif"/>
          <w:b w:val="false"/>
          <w:color w:val="000000"/>
          <w:sz w:val="22"/>
        </w:rPr>
        <w:t xml:space="preserve">Date for the account of, or guaranteed by, either or both of the Borrowers or any of their Subsidiaries </w:t>
      </w:r>
      <w:r>
        <w:rPr>
          <w:rFonts w:ascii="Times New Roman;serif" w:hAnsi="Times New Roman;serif"/>
          <w:b w:val="false"/>
          <w:strike/>
          <w:color w:val="FF0000"/>
          <w:sz w:val="22"/>
        </w:rPr>
        <w:t xml:space="preserve">pursuant to the Existing Credit Agreement </w:t>
      </w:r>
      <w:r>
        <w:rPr>
          <w:rFonts w:ascii="Times New Roman;serif" w:hAnsi="Times New Roman;serif"/>
          <w:b w:val="false"/>
          <w:color w:val="000000"/>
          <w:sz w:val="22"/>
        </w:rPr>
        <w:t xml:space="preserve">and that is outstanding on the </w:t>
      </w:r>
      <w:r>
        <w:rPr>
          <w:rFonts w:ascii="Times New Roman;serif" w:hAnsi="Times New Roman;serif"/>
          <w:b w:val="false"/>
          <w:strike/>
          <w:color w:val="FF0000"/>
          <w:sz w:val="22"/>
        </w:rPr>
        <w:t>Closing</w:t>
      </w:r>
      <w:r>
        <w:rPr>
          <w:rFonts w:ascii="Times New Roman;serif" w:hAnsi="Times New Roman;serif"/>
          <w:b w:val="false"/>
          <w:color w:val="0000FF"/>
          <w:sz w:val="22"/>
          <w:u w:val="single"/>
        </w:rPr>
        <w:t>Amendment No. 1 Effective</w:t>
      </w:r>
      <w:r>
        <w:rPr>
          <w:color w:val="000000"/>
        </w:rPr>
        <w:t xml:space="preserve"> </w:t>
      </w:r>
      <w:r>
        <w:rPr>
          <w:rFonts w:ascii="Times New Roman;serif" w:hAnsi="Times New Roman;serif"/>
          <w:b w:val="false"/>
          <w:color w:val="000000"/>
          <w:sz w:val="22"/>
        </w:rPr>
        <w:t>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Existing Revolver Tranche</w:t>
      </w:r>
      <w:r>
        <w:rPr>
          <w:color w:val="000000"/>
        </w:rPr>
        <w:t>”</w:t>
      </w:r>
      <w:r>
        <w:rPr>
          <w:rFonts w:ascii="Times New Roman;serif" w:hAnsi="Times New Roman;serif"/>
          <w:b w:val="false"/>
          <w:color w:val="000000"/>
          <w:sz w:val="22"/>
        </w:rPr>
        <w:t>: as defined in Section 2.24(a)(II).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Expected Cost Savings</w:t>
      </w:r>
      <w:r>
        <w:rPr>
          <w:color w:val="000000"/>
        </w:rPr>
        <w:t>”</w:t>
      </w:r>
      <w:r>
        <w:rPr>
          <w:rFonts w:ascii="Times New Roman;serif" w:hAnsi="Times New Roman;serif"/>
          <w:b w:val="false"/>
          <w:color w:val="000000"/>
          <w:sz w:val="22"/>
        </w:rPr>
        <w:t>: as defined in the definition of “Consolidated EBITDA”.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Extended Revolving Commitments</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as defined in Section 2.24(a)(II).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Extended Term Loans</w:t>
      </w:r>
      <w:r>
        <w:rPr>
          <w:color w:val="000000"/>
        </w:rPr>
        <w:t>”</w:t>
      </w:r>
      <w:r>
        <w:rPr>
          <w:rFonts w:ascii="Times New Roman;serif" w:hAnsi="Times New Roman;serif"/>
          <w:b w:val="false"/>
          <w:color w:val="000000"/>
          <w:sz w:val="22"/>
        </w:rPr>
        <w:t>: as defined in Section 2.24(a).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Extending Revolving Lender</w:t>
      </w:r>
      <w:r>
        <w:rPr>
          <w:color w:val="000000"/>
        </w:rPr>
        <w:t>”</w:t>
      </w:r>
      <w:r>
        <w:rPr>
          <w:rFonts w:ascii="Times New Roman;serif" w:hAnsi="Times New Roman;serif"/>
          <w:b w:val="false"/>
          <w:color w:val="000000"/>
          <w:sz w:val="22"/>
        </w:rPr>
        <w:t>: as defined in Section 2.24(b).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Extension Amendment</w:t>
      </w:r>
      <w:r>
        <w:rPr>
          <w:color w:val="000000"/>
        </w:rPr>
        <w:t>”</w:t>
      </w:r>
      <w:r>
        <w:rPr>
          <w:rFonts w:ascii="Times New Roman;serif" w:hAnsi="Times New Roman;serif"/>
          <w:b w:val="false"/>
          <w:color w:val="000000"/>
          <w:sz w:val="22"/>
        </w:rPr>
        <w:t>: as defined in Section 2.24(c).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Extension Election</w:t>
      </w:r>
      <w:r>
        <w:rPr>
          <w:color w:val="000000"/>
        </w:rPr>
        <w:t>”</w:t>
      </w:r>
      <w:r>
        <w:rPr>
          <w:rFonts w:ascii="Times New Roman;serif" w:hAnsi="Times New Roman;serif"/>
          <w:b w:val="false"/>
          <w:color w:val="000000"/>
          <w:sz w:val="22"/>
        </w:rPr>
        <w:t>: as defined in Section 2.24(b).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Extension Request</w:t>
      </w:r>
      <w:r>
        <w:rPr>
          <w:color w:val="000000"/>
        </w:rPr>
        <w:t>”</w:t>
      </w:r>
      <w:r>
        <w:rPr>
          <w:rFonts w:ascii="Times New Roman;serif" w:hAnsi="Times New Roman;serif"/>
          <w:b w:val="false"/>
          <w:color w:val="000000"/>
          <w:sz w:val="22"/>
        </w:rPr>
        <w:t>: as defined in Section 2.24(b).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Extension Series</w:t>
      </w:r>
      <w:r>
        <w:rPr>
          <w:color w:val="000000"/>
        </w:rPr>
        <w:t>”</w:t>
      </w:r>
      <w:r>
        <w:rPr>
          <w:rFonts w:ascii="Times New Roman;serif" w:hAnsi="Times New Roman;serif"/>
          <w:b w:val="false"/>
          <w:color w:val="000000"/>
          <w:sz w:val="22"/>
        </w:rPr>
        <w:t>: as defined in Section 2.24(b).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Facility</w:t>
      </w:r>
      <w:r>
        <w:rPr>
          <w:color w:val="000000"/>
        </w:rPr>
        <w:t>”</w:t>
      </w:r>
      <w:r>
        <w:rPr>
          <w:rFonts w:ascii="Times New Roman;serif" w:hAnsi="Times New Roman;serif"/>
          <w:b w:val="false"/>
          <w:color w:val="000000"/>
          <w:sz w:val="22"/>
        </w:rPr>
        <w:t>: each of (a) the Revolving Commitments and the extensions of credit made thereunder (the “</w:t>
      </w:r>
      <w:r>
        <w:rPr>
          <w:rFonts w:ascii="Times New Roman;serif" w:hAnsi="Times New Roman;serif"/>
          <w:b/>
          <w:color w:val="000000"/>
          <w:sz w:val="22"/>
        </w:rPr>
        <w:t>Revolving Facility</w:t>
      </w:r>
      <w:r>
        <w:rPr>
          <w:color w:val="000000"/>
        </w:rPr>
        <w:t>”</w:t>
      </w:r>
      <w:r>
        <w:rPr>
          <w:rFonts w:ascii="Times New Roman;serif" w:hAnsi="Times New Roman;serif"/>
          <w:b w:val="false"/>
          <w:color w:val="000000"/>
          <w:sz w:val="22"/>
        </w:rPr>
        <w:t>) and (b) each other credit facility that may be added to this Agreement after the date 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FATCA</w:t>
      </w:r>
      <w:r>
        <w:rPr>
          <w:color w:val="000000"/>
        </w:rPr>
        <w:t>”</w:t>
      </w:r>
      <w:r>
        <w:rPr>
          <w:rFonts w:ascii="Times New Roman;serif" w:hAnsi="Times New Roman;serif"/>
          <w:b w:val="false"/>
          <w:color w:val="000000"/>
          <w:sz w:val="22"/>
        </w:rPr>
        <w:t xml:space="preserve">: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any intergovernmental agreements entered into in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connection with the implementation of the foregoing and any fiscal or regulatory legislation, rules or practices adopted pursuant to any of the foregoing, or any treaty or convention among Governmental Authorities entered into in connection with the implementation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Federal Funds Effective Rate</w:t>
      </w:r>
      <w:r>
        <w:rPr>
          <w:color w:val="000000"/>
        </w:rPr>
        <w:t>”</w:t>
      </w:r>
      <w:r>
        <w:rPr>
          <w:rFonts w:ascii="Times New Roman;serif" w:hAnsi="Times New Roman;serif"/>
          <w:b w:val="false"/>
          <w:color w:val="000000"/>
          <w:sz w:val="22"/>
        </w:rPr>
        <w:t>: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shall be less than zero, such rate shall be deemed to be zero for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Federal Reserve Board</w:t>
      </w:r>
      <w:r>
        <w:rPr>
          <w:color w:val="000000"/>
        </w:rPr>
        <w:t>”</w:t>
      </w:r>
      <w:r>
        <w:rPr>
          <w:rFonts w:ascii="Times New Roman;serif" w:hAnsi="Times New Roman;serif"/>
          <w:b w:val="false"/>
          <w:color w:val="000000"/>
          <w:sz w:val="22"/>
        </w:rPr>
        <w:t>: the Board of Governors of the Federal Reserve System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Fee Letter</w:t>
      </w:r>
      <w:r>
        <w:rPr>
          <w:color w:val="000000"/>
        </w:rPr>
        <w:t>”</w:t>
      </w:r>
      <w:r>
        <w:rPr>
          <w:rFonts w:ascii="Times New Roman;serif" w:hAnsi="Times New Roman;serif"/>
          <w:b w:val="false"/>
          <w:color w:val="000000"/>
          <w:sz w:val="22"/>
        </w:rPr>
        <w:t>: the Fee Letter dated as of May 20, 2025 among the Administrative Agent and Remitly.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Finance Lease</w:t>
      </w:r>
      <w:r>
        <w:rPr>
          <w:color w:val="000000"/>
        </w:rPr>
        <w:t>”</w:t>
      </w:r>
      <w:r>
        <w:rPr>
          <w:rFonts w:ascii="Times New Roman;serif" w:hAnsi="Times New Roman;serif"/>
          <w:b w:val="false"/>
          <w:color w:val="000000"/>
          <w:sz w:val="22"/>
        </w:rPr>
        <w:t xml:space="preserve">: as applied to any Person, any lease of any property (whether real, personal or mixed) by such Person as lessee that, in conformity with GAAP (but subject to Section 1.2(h)), is or should be accounted for as a capital or finance lease on the balance sheet of that Person;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the avoidance of doubt, the amount of obligations attributable to any Finance Lease shall be the amount thereof accounted for as a liability on such balance sheet (excluding the footnotes thereto) in accordance with GAAP;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amount of obligations attributable to any Finance Lease shall exclude any capitalized operating lease liabilities resulting from the adoption of ASC 842, Leases.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Finance Subsidiary</w:t>
      </w:r>
      <w:r>
        <w:rPr>
          <w:color w:val="000000"/>
        </w:rPr>
        <w:t>”</w:t>
      </w:r>
      <w:r>
        <w:rPr>
          <w:rFonts w:ascii="Times New Roman;serif" w:hAnsi="Times New Roman;serif"/>
          <w:b w:val="false"/>
          <w:color w:val="000000"/>
          <w:sz w:val="22"/>
        </w:rPr>
        <w:t>: any Subsidiary of the Company formed for the sole purpose of engaging in a Permitted Receivables Financing.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Financial Covenant</w:t>
      </w:r>
      <w:r>
        <w:rPr>
          <w:color w:val="000000"/>
        </w:rPr>
        <w:t>”</w:t>
      </w:r>
      <w:r>
        <w:rPr>
          <w:rFonts w:ascii="Times New Roman;serif" w:hAnsi="Times New Roman;serif"/>
          <w:b w:val="false"/>
          <w:color w:val="000000"/>
          <w:sz w:val="22"/>
        </w:rPr>
        <w:t>: the covenant set forth in Section 7.1.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First Lien Intercreditor Agreement</w:t>
      </w:r>
      <w:r>
        <w:rPr>
          <w:color w:val="000000"/>
        </w:rPr>
        <w:t>”</w:t>
      </w:r>
      <w:r>
        <w:rPr>
          <w:rFonts w:ascii="Times New Roman;serif" w:hAnsi="Times New Roman;serif"/>
          <w:b w:val="false"/>
          <w:color w:val="000000"/>
          <w:sz w:val="22"/>
        </w:rPr>
        <w:t>: an intercreditor agreement in a form reasonably acceptable to the Administrative Agent and the Company among the Loan Parties from time to time party thereto, the Collateral Agent and the Other Debt Representative for the holders of Indebtedness that is permitted under Sections 7.2 and 7.3 to be, and is intended to be, secured by a Lien on the Collateral that is pari passu (but without regard to the control of remedies) with the Liens securing the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First Lien Net Leverage Ratio</w:t>
      </w:r>
      <w:r>
        <w:rPr>
          <w:color w:val="000000"/>
        </w:rPr>
        <w:t>”</w:t>
      </w:r>
      <w:r>
        <w:rPr>
          <w:rFonts w:ascii="Times New Roman;serif" w:hAnsi="Times New Roman;serif"/>
          <w:b w:val="false"/>
          <w:color w:val="000000"/>
          <w:sz w:val="22"/>
        </w:rPr>
        <w:t>: with respect to any date of determination, the ratio of (a) Consolidated First Lien Debt as of such date less Netted Cash as of such date to (b) Consolidated EBITDA of the Company and its Subsidiaries for the applicable Test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Fitch</w:t>
      </w:r>
      <w:r>
        <w:rPr>
          <w:color w:val="000000"/>
        </w:rPr>
        <w:t>”</w:t>
      </w:r>
      <w:r>
        <w:rPr>
          <w:rFonts w:ascii="Times New Roman;serif" w:hAnsi="Times New Roman;serif"/>
          <w:b w:val="false"/>
          <w:color w:val="000000"/>
          <w:sz w:val="22"/>
        </w:rPr>
        <w:t xml:space="preserve">: Fitch Ratings Inc., together with any successor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Fixed Amount</w:t>
      </w:r>
      <w:r>
        <w:rPr>
          <w:color w:val="000000"/>
        </w:rPr>
        <w:t>”</w:t>
      </w:r>
      <w:r>
        <w:rPr>
          <w:rFonts w:ascii="Times New Roman;serif" w:hAnsi="Times New Roman;serif"/>
          <w:b w:val="false"/>
          <w:color w:val="000000"/>
          <w:sz w:val="22"/>
        </w:rPr>
        <w:t xml:space="preserve">: as defined in Section 1.4(e).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Flood Laws</w:t>
      </w:r>
      <w:r>
        <w:rPr>
          <w:color w:val="000000"/>
        </w:rPr>
        <w:t>”</w:t>
      </w:r>
      <w:r>
        <w:rPr>
          <w:rFonts w:ascii="Times New Roman;serif" w:hAnsi="Times New Roman;serif"/>
          <w:b w:val="false"/>
          <w:color w:val="000000"/>
          <w:sz w:val="22"/>
        </w:rPr>
        <w:t>: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Floor</w:t>
      </w:r>
      <w:r>
        <w:rPr>
          <w:color w:val="000000"/>
        </w:rPr>
        <w:t>”</w:t>
      </w:r>
      <w:r>
        <w:rPr>
          <w:rFonts w:ascii="Times New Roman;serif" w:hAnsi="Times New Roman;serif"/>
          <w:b w:val="false"/>
          <w:color w:val="000000"/>
          <w:sz w:val="22"/>
        </w:rPr>
        <w:t>: the benchmark rate floor, if any, provided in this Agreement initially (as of the execution of this Agreement, the modification, amendment or renewal of this Agreement or otherwise) with respect to the Term SOFR Rate or Daily Simple SOFR, as applicable. For the avoidance of doubt the initial Floor for each of the Term SOFR Rate and Daily Simple SOFR in respect of Revolving Loans shall be 0.00%.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Foreign Subsidiary</w:t>
      </w:r>
      <w:r>
        <w:rPr>
          <w:color w:val="000000"/>
        </w:rPr>
        <w:t>”</w:t>
      </w:r>
      <w:r>
        <w:rPr>
          <w:rFonts w:ascii="Times New Roman;serif" w:hAnsi="Times New Roman;serif"/>
          <w:b w:val="false"/>
          <w:color w:val="000000"/>
          <w:sz w:val="22"/>
        </w:rPr>
        <w:t>: any Subsidiary of the Company that is not a Domestic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Form S-1</w:t>
      </w:r>
      <w:r>
        <w:rPr>
          <w:color w:val="000000"/>
        </w:rPr>
        <w:t>”</w:t>
      </w:r>
      <w:r>
        <w:rPr>
          <w:rFonts w:ascii="Times New Roman;serif" w:hAnsi="Times New Roman;serif"/>
          <w:b w:val="false"/>
          <w:color w:val="000000"/>
          <w:sz w:val="22"/>
        </w:rPr>
        <w:t>: the Registration Statement under the Securities Act of 1933 on Form S-1 filed by the Company on August 30, 2021.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Funding Office</w:t>
      </w:r>
      <w:r>
        <w:rPr>
          <w:color w:val="000000"/>
        </w:rPr>
        <w:t>”</w:t>
      </w:r>
      <w:r>
        <w:rPr>
          <w:rFonts w:ascii="Times New Roman;serif" w:hAnsi="Times New Roman;serif"/>
          <w:b w:val="false"/>
          <w:color w:val="000000"/>
          <w:sz w:val="22"/>
        </w:rPr>
        <w:t>: the office of the Administrative Agent as may be specified from time to time by the Administrative Agent as its funding office by written notice to the Company and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GAAP</w:t>
      </w:r>
      <w:r>
        <w:rPr>
          <w:color w:val="000000"/>
        </w:rPr>
        <w:t>”</w:t>
      </w:r>
      <w:r>
        <w:rPr>
          <w:rFonts w:ascii="Times New Roman;serif" w:hAnsi="Times New Roman;serif"/>
          <w:b w:val="false"/>
          <w:color w:val="000000"/>
          <w:sz w:val="22"/>
        </w:rPr>
        <w:t>: generally accepted accounting principles in the United States as in effect from time to time, except that for purposes of the Financial Covenant, GAAP shall be determined on the basis of such principles in effect on the date hereof and consistent with those used in the preparation of the most recent audited financial statements delivered pursuant to Section 4.1; provided that, if the Company notifies the Administrative Agent following the effectiveness of any applicable Accounting Change (as defined below) that the Company requests an amendment to any provision hereof to eliminate the effect of such Accounting Change or in the application thereof on the operation of such provision (or if the Required Lenders notify the Company following the effectiveness of any such Accounting Change that the Required Lenders request an amendment to any provision hereof for such purpose), regardless of whether any such notice is given before or after such Accounting Change or in the application thereof, then such provision shall be interpreted on the basis of GAAP as in effect and applied immediately before such Accounting Change shall have become effective until such notice shall have been withdrawn or such provision amended in accordance herewith. “</w:t>
      </w:r>
      <w:r>
        <w:rPr>
          <w:rFonts w:ascii="Times New Roman;serif" w:hAnsi="Times New Roman;serif"/>
          <w:b/>
          <w:color w:val="000000"/>
          <w:sz w:val="22"/>
        </w:rPr>
        <w:t>Accounting Change</w:t>
      </w:r>
      <w:r>
        <w:rPr>
          <w:color w:val="000000"/>
        </w:rPr>
        <w:t xml:space="preserve">” </w:t>
      </w:r>
      <w:r>
        <w:rPr>
          <w:rFonts w:ascii="Times New Roman;serif" w:hAnsi="Times New Roman;serif"/>
          <w:b w:val="false"/>
          <w:color w:val="000000"/>
          <w:sz w:val="22"/>
        </w:rPr>
        <w:t>refers to a change after the date hereof in accounting principles required by the promulgation of any rule, regulation, pronouncement or opinion by the Financial Accounting Standards Board of the American Institute of Certified Public Accountants or, if applicable, the SEC.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Governmental Authority</w:t>
      </w:r>
      <w:r>
        <w:rPr>
          <w:color w:val="000000"/>
        </w:rPr>
        <w:t>”</w:t>
      </w:r>
      <w:r>
        <w:rPr>
          <w:rFonts w:ascii="Times New Roman;serif" w:hAnsi="Times New Roman;serif"/>
          <w:b w:val="false"/>
          <w:color w:val="000000"/>
          <w:sz w:val="22"/>
        </w:rPr>
        <w:t xml:space="preserve">: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any self-regulatory organization (including the National Association of Insurance Commissioners) and any applicable supranational bodies (such as the European Union or the European Central Bank).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Guarantee Agreement</w:t>
      </w:r>
      <w:r>
        <w:rPr>
          <w:color w:val="000000"/>
        </w:rPr>
        <w:t>”</w:t>
      </w:r>
      <w:r>
        <w:rPr>
          <w:rFonts w:ascii="Times New Roman;serif" w:hAnsi="Times New Roman;serif"/>
          <w:b w:val="false"/>
          <w:color w:val="000000"/>
          <w:sz w:val="22"/>
        </w:rPr>
        <w:t>: the Guarantee Agreement dated as of the Closing Date executed and delivered by the Company and each Subsidiary Guarantor pursuant to this Agreement, a copy of which is attached hereto as Exhibit A-1, as the same may be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Guarantee Obligation</w:t>
      </w:r>
      <w:r>
        <w:rPr>
          <w:color w:val="000000"/>
        </w:rPr>
        <w:t>”</w:t>
      </w:r>
      <w:r>
        <w:rPr>
          <w:rFonts w:ascii="Times New Roman;serif" w:hAnsi="Times New Roman;serif"/>
          <w:b w:val="false"/>
          <w:color w:val="000000"/>
          <w:sz w:val="22"/>
        </w:rPr>
        <w:t>: as to any Person (the “</w:t>
      </w:r>
      <w:r>
        <w:rPr>
          <w:rFonts w:ascii="Times New Roman;serif" w:hAnsi="Times New Roman;serif"/>
          <w:b/>
          <w:color w:val="000000"/>
          <w:sz w:val="22"/>
        </w:rPr>
        <w:t>guaranteeing person</w:t>
      </w:r>
      <w:r>
        <w:rPr>
          <w:color w:val="000000"/>
        </w:rPr>
        <w:t>”</w:t>
      </w:r>
      <w:r>
        <w:rPr>
          <w:rFonts w:ascii="Times New Roman;serif" w:hAnsi="Times New Roman;serif"/>
          <w:b w:val="false"/>
          <w:color w:val="000000"/>
          <w:sz w:val="22"/>
        </w:rPr>
        <w:t>), any obligation of (a) the guaranteeing person or (b) another Person (including any bank under any letter of credit) to induce the creation of which obligation the guaranteeing person has issued a reimbursement, counter indemnity or similar obligation, in either case guaranteeing or in effect guaranteeing any Indebtedness or other obligations (the “</w:t>
      </w:r>
      <w:r>
        <w:rPr>
          <w:rFonts w:ascii="Times New Roman;serif" w:hAnsi="Times New Roman;serif"/>
          <w:b/>
          <w:color w:val="000000"/>
          <w:sz w:val="22"/>
        </w:rPr>
        <w:t>primary obligations</w:t>
      </w:r>
      <w:r>
        <w:rPr>
          <w:color w:val="000000"/>
        </w:rPr>
        <w:t>”</w:t>
      </w:r>
      <w:r>
        <w:rPr>
          <w:rFonts w:ascii="Times New Roman;serif" w:hAnsi="Times New Roman;serif"/>
          <w:b w:val="false"/>
          <w:color w:val="000000"/>
          <w:sz w:val="22"/>
        </w:rPr>
        <w:t>) of any other third Person (the “</w:t>
      </w:r>
      <w:r>
        <w:rPr>
          <w:rFonts w:ascii="Times New Roman;serif" w:hAnsi="Times New Roman;serif"/>
          <w:b/>
          <w:color w:val="000000"/>
          <w:sz w:val="22"/>
        </w:rPr>
        <w:t>primary obligor</w:t>
      </w:r>
      <w:r>
        <w:rPr>
          <w:color w:val="000000"/>
        </w:rPr>
        <w:t>”</w:t>
      </w:r>
      <w:r>
        <w:rPr>
          <w:rFonts w:ascii="Times New Roman;serif" w:hAnsi="Times New Roman;serif"/>
          <w:b w:val="false"/>
          <w:color w:val="000000"/>
          <w:sz w:val="22"/>
        </w:rPr>
        <w:t xml:space="preserve">) in any manner, whether directly or indirectly, including any obligation of the guaranteeing person, whether or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Guarantors</w:t>
      </w:r>
      <w:r>
        <w:rPr>
          <w:color w:val="000000"/>
        </w:rPr>
        <w:t>”</w:t>
      </w:r>
      <w:r>
        <w:rPr>
          <w:rFonts w:ascii="Times New Roman;serif" w:hAnsi="Times New Roman;serif"/>
          <w:b w:val="false"/>
          <w:color w:val="000000"/>
          <w:sz w:val="22"/>
        </w:rPr>
        <w:t xml:space="preserve">: the collective reference to the Company, the Subsidiary Guarantors and any other Person that guarantees payment of all or a portion of the Obligations, including, following any Holding Company Reorganization, the Holding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Hedge Agreements</w:t>
      </w:r>
      <w:r>
        <w:rPr>
          <w:color w:val="000000"/>
        </w:rPr>
        <w:t>”</w:t>
      </w:r>
      <w:r>
        <w:rPr>
          <w:rFonts w:ascii="Times New Roman;serif" w:hAnsi="Times New Roman;serif"/>
          <w:b w:val="false"/>
          <w:color w:val="000000"/>
          <w:sz w:val="22"/>
        </w:rPr>
        <w:t>: all interest rate swaps, caps, collar, forward, future or option agreements or similar arrangements dealing with interest rates, currency exchange rates, the exchange of nominal interest obligations or commodities, in each case either generally or under specific contingencies, or any other arrangement constituting a Swap Agreement (including, for the avoidance of doubt, any Lender Hedge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Holding Company</w:t>
      </w:r>
      <w:r>
        <w:rPr>
          <w:color w:val="000000"/>
        </w:rPr>
        <w:t>”</w:t>
      </w:r>
      <w:r>
        <w:rPr>
          <w:rFonts w:ascii="Times New Roman;serif" w:hAnsi="Times New Roman;serif"/>
          <w:b w:val="false"/>
          <w:color w:val="000000"/>
          <w:sz w:val="22"/>
        </w:rPr>
        <w:t xml:space="preserve">: a corporation or other legal entity organized under a state of the United States which becomes the direct owner of 100% of the Capital Stock of the Company pursuant to a Holding Company Reorganization.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Holding Company Reorganization</w:t>
      </w:r>
      <w:r>
        <w:rPr>
          <w:color w:val="000000"/>
        </w:rPr>
        <w:t>”</w:t>
      </w:r>
      <w:r>
        <w:rPr>
          <w:rFonts w:ascii="Times New Roman;serif" w:hAnsi="Times New Roman;serif"/>
          <w:b w:val="false"/>
          <w:color w:val="000000"/>
          <w:sz w:val="22"/>
        </w:rPr>
        <w:t xml:space="preserve">: a transaction or series of transactions (a) pursuant to which the Company shall become a direct wholly-owned Subsidiary of the Holding Company and (b) that are in compliance with the requirements set forth in Section 6.13.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Immaterial Subsidiaries</w:t>
      </w:r>
      <w:r>
        <w:rPr>
          <w:color w:val="000000"/>
        </w:rPr>
        <w:t>”</w:t>
      </w:r>
      <w:r>
        <w:rPr>
          <w:rFonts w:ascii="Times New Roman;serif" w:hAnsi="Times New Roman;serif"/>
          <w:b w:val="false"/>
          <w:color w:val="000000"/>
          <w:sz w:val="22"/>
        </w:rPr>
        <w:t xml:space="preserve">: at any time, Subsidiaries of the Company (i) having aggregate total assets (as determined in accordance with GAAP) in an amount of less than 5% of Consolidated Total Assets of the Company and its Subsidiaries as of the last day of the immediately preceding Test Period and (ii) contributing in the aggregate less than 5% to Consolidated EBITDA for the most recently ended Test Period. In the event that total assets of all Immaterial Subsidiaries exceed 20% of Consolidated Total Assets as of the last day of the immediately preceding Test Period or the total contribution to Consolidated EBITDA of all Immaterial Subsidiaries exceeds 20% of Consolidated EBITDA for the relevant period, as the case may be, the Company will designate Subsidiaries which would otherwise constitute Immaterial Subsidiaries to be excluded as Immaterial Subsidiaries until such 20% thresholds are met.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Incremental Cap</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Shared Incremental Amount, plus</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 the amount of any optional prepayment of any Loan (including any Incremental Loan) in accordance with Section 2.10 and/or the amount of any permanent reduction of any undrawn Revolving Commitment, (ii) the amount of any optional prepayment, redemption, repurchase or retirement of Incremental Equivalent Debt that is secured by a Lien on the Collateral that is pari passu (but without regard to the control of remedies) with the Liens securing the Obligations, (iii) the amount of any optional prepayment, redemption, repurchase or retirement of any Refinancing Term Loans or Other Revolving Loans or any Credit Agreement Refinancing Indebtedness previously applied to the permanent prepayment of any Loan, Revolving Commitment or of any Incremental Equivalent Debt referred to in clauses (i) and (ii) above (with respect to any such Credit Agreement Refinancing Indebtedness, in an aggregate amount not to exceed the aggregate amount of Loans, Revolving Commitments or Incremental Equivalent Debt, as applicable, refinanced by such Credit Agreement Refinancing Indebtedness), and (iv) the aggregate amount of any Indebtedness referred to in clauses (i) through (iii) above that is (x) repaid or retired resulting from any assignment to or purchase by such Indebtedness (and/or assignment and/or purchase of such Indebtedness by) the Company and/or any Subsidiary or (y) terminated pursuant to Section 2.22, which shall be credited to the extent of the principal amount of the Indebtedness repaid, retired or terminated; provided that for each of clauses (i) through (iv), (x) the relevant prepayment, redemption, repurchase, retirement or assignment and/or purchase was not funded with the proceeds of any Long-Term Indebtedness and (y) in the case of any prepayment of Loans under any revolving facility, such prepayment shall be accompanied by a permanent reduction in the commitments in respect thereof, plus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an unlimited amount so long as, in the case of this clause (c), on the date of incurrence thereof on a Pro Forma Basis after giving effect to the incurrence of the Incremental Facility, the Incremental Equivalent Debt, the Ratio Debt or the Incurred Acquisition Debt, as applicable, and the application of the proceeds thereof (without netting the cash proceeds thereof) and to any relevant Specified Transaction (and, in the case of any Incremental Revolving Facility or delayed draw Incremental Term Facility, or any revolving facility or delayed draw term facility incurred as Incremental Equivalent Debt, Ratio Debt or Incurred Acquisition Debt, in each case then being established, assuming a full drawing thereunder), (1) if such Indebtedness is secured by a Lien on the Collateral that is pari passu (but without regard to the control of remedies) with the Liens securing the Obligations, the First Lien Net Leverage Ratio does not exceed (i) 3.00 to 1.00, or (ii) to the extent such Incremental Facility, Incremental Equivalent Debt, Ratio Debt or Incurred Acquisition Debt, as applicable, is incurred in connection with a permitted acquisition or other permitted Investment, the greater of (A) 3.00 to 1.00 and (B) the First Lien Net Leverage Ratio in effect immediately prior to such incurrence and such permitted acquisition or permitted Investment, (2) if such Indebtedness is secured by a Lien on the Collateral that is junior to the Liens securing the Obligations, the Senior Secured Net Leverage Ratio does not exceed (i) 3.50 to 1.00 or (ii) to the extent such Incremental Facility, Incremental Equivalent Debt, Ratio Debt or Incurred Acquisition Debt, as applicable, is incurred in connection with a permitted acquisition or other permitted Investment, the greater of (A) 3.50 to 1.00 and (B) the Senior Secured Net Leverage Ratio in effect immediately prior to such incurrence and such permitted acquisition or permitted Investment, and (3) if such Indebtedness is unsecured or secured solely by assets that do not constitute Collateral, either (I) the Total Net Leverage Ratio does not exceed (i) 4.50 to 1.00 or (ii) to the extent such Incremental Facility, Incremental Equivalent Debt, Ratio Debt or Incurred Acquisition Debt, as applicable, is incurred in connection with a permitted acquisition or other permitted Investment, the greater of (A) 4.50 to 1.0 and (B) the Total Net Leverage Ratio in effect immediately prior to such incurrence and such permitted acquisition or permitted Investment or (II) the Interest Coverage Ratio is not less than (i) 2.00 to 1.00 or (ii) to the extent such Incremental Facility, Incremental Equivalent Debt, Ratio Debt or Incurred Acquisition Debt, as applicable, is incurred in connection with a permitted acquisition or other permitted Investment, the lesser of (A) 2.00 to 1.00 and (B) the Interest Coverage Ratio in effect immediately prior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to such incurrence and such permitted acquisition or permitted Investment (this clause (c), the “</w:t>
      </w:r>
      <w:r>
        <w:rPr>
          <w:rFonts w:ascii="Times New Roman;serif" w:hAnsi="Times New Roman;serif"/>
          <w:b/>
          <w:color w:val="000000"/>
          <w:sz w:val="22"/>
        </w:rPr>
        <w:t>Ratio Based Amount</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provided that: (1) any Incremental Facility, Incremental Equivalent Debt, Ratio Debt or Incurred Acquisition Debt may be incurred under one or more of clauses (a) through (c) of this definition as selected by the Company in its sole discretion (provided that, in the case of clause (c), an Incremental Facility may be incurred only under clause (i) thereof), and (2) upon delivery of any financial statements pursuant to Section 6.1 following the initial incurrence or implementation of any Incremental Facility, Incremental Equivalent Debt, Ratio Debt or Incurred Acquisition Debt, to the extent such Incremental Facility, Incremental Equivalent Debt, Ratio Debt or Incurred Acquisition Debt or any portion thereof could, based on such financial statements, have been incurred or made in reliance on clause (c), unless otherwise elected by the Company, such Incremental Facility, Incremental Equivalent Debt, Ratio Debt or Incurred Acquisition Debt or portion thereof shall automatically be reclassified (subject to clause (1) of this proviso and to any other applicable provision of clause (c)) as having been incurred under clause (c).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Incremental Commitment</w:t>
      </w:r>
      <w:r>
        <w:rPr>
          <w:color w:val="000000"/>
        </w:rPr>
        <w:t>”</w:t>
      </w:r>
      <w:r>
        <w:rPr>
          <w:rFonts w:ascii="Times New Roman;serif" w:hAnsi="Times New Roman;serif"/>
          <w:b w:val="false"/>
          <w:color w:val="000000"/>
          <w:sz w:val="22"/>
        </w:rPr>
        <w:t>: as defined in Section 2.25(a)(i).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Incremental Equivalent Debt</w:t>
      </w:r>
      <w:r>
        <w:rPr>
          <w:color w:val="000000"/>
        </w:rPr>
        <w:t>”</w:t>
      </w:r>
      <w:r>
        <w:rPr>
          <w:rFonts w:ascii="Times New Roman;serif" w:hAnsi="Times New Roman;serif"/>
          <w:b w:val="false"/>
          <w:color w:val="000000"/>
          <w:sz w:val="22"/>
        </w:rPr>
        <w:t>: Indebtedness in an amount not to exceed the Incremental Cap incurred by any Loan Party consisting of the incurrence or issuance of one or more series of senior secured notes or loans, junior lien loans or notes, subordinated loans or notes or senior unsecured loans or notes (in each case in respect of the issuance of notes, whether issued in a public offering, Rule 144A or other private placement or purchase or otherwise) or any bridge financing in lieu of the foregoing, or secured or unsecured “mezzanine” debt, in each case, to the extent secured, subject to (x) with respect to Incremental Equivalent Debt secured by a Lien on the Collateral that is junior to the Lien securing the Obligations, a Junior Lien Intercreditor Agreement and (y) with respect to Incremental Equivalent Debt secured by a Lien on the Collateral that is pari passu (but without regard to the control of remedies) with the Liens securing the Obligations, a First Lien Intercreditor Agreement; provided that such Incremental Equivalent Debt shall be subject to the requirements set forth in Sections 2.25(a) mutatis mutandis, except that (a) the requirements set forth in Section 2.25(a)(viii)(A) shall not apply to such Indebtedness and (b) the requirements set forth in Section 2.25(a)(iv) shall not apply to a customary bridge facility which, subject to customary conditions, automatically convert into long-term debt satisfying the requirements of such clauses.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Incremental Facility</w:t>
      </w:r>
      <w:r>
        <w:rPr>
          <w:color w:val="000000"/>
        </w:rPr>
        <w:t>”</w:t>
      </w:r>
      <w:r>
        <w:rPr>
          <w:rFonts w:ascii="Times New Roman;serif" w:hAnsi="Times New Roman;serif"/>
          <w:b w:val="false"/>
          <w:color w:val="000000"/>
          <w:sz w:val="22"/>
        </w:rPr>
        <w:t>: as defined in Section 2.25(a).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Incremental Facility Amendment</w:t>
      </w:r>
      <w:r>
        <w:rPr>
          <w:color w:val="000000"/>
        </w:rPr>
        <w:t>”</w:t>
      </w:r>
      <w:r>
        <w:rPr>
          <w:rFonts w:ascii="Times New Roman;serif" w:hAnsi="Times New Roman;serif"/>
          <w:b w:val="false"/>
          <w:color w:val="000000"/>
          <w:sz w:val="22"/>
        </w:rPr>
        <w:t>: an amendment to this Agreement executed by each of (a) the Borrowers, (b) the Administrative Agent and (c) each Lender that agrees to provide all or any portion of the Incremental Facility being incurred pursuant thereto and in accordance with Section 2.25.</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Incremental Loans</w:t>
      </w:r>
      <w:r>
        <w:rPr>
          <w:color w:val="000000"/>
        </w:rPr>
        <w:t>”</w:t>
      </w:r>
      <w:r>
        <w:rPr>
          <w:rFonts w:ascii="Times New Roman;serif" w:hAnsi="Times New Roman;serif"/>
          <w:b w:val="false"/>
          <w:color w:val="000000"/>
          <w:sz w:val="22"/>
        </w:rPr>
        <w:t>: as defined in Section 2.25.</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Incremental Revolving Commitments</w:t>
      </w:r>
      <w:r>
        <w:rPr>
          <w:color w:val="000000"/>
        </w:rPr>
        <w:t>”</w:t>
      </w:r>
      <w:r>
        <w:rPr>
          <w:rFonts w:ascii="Times New Roman;serif" w:hAnsi="Times New Roman;serif"/>
          <w:b w:val="false"/>
          <w:color w:val="000000"/>
          <w:sz w:val="22"/>
        </w:rPr>
        <w:t>: as defined in Section 2.25(b).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Incremental Revolving Facility</w:t>
      </w:r>
      <w:r>
        <w:rPr>
          <w:color w:val="000000"/>
        </w:rPr>
        <w:t>”</w:t>
      </w:r>
      <w:r>
        <w:rPr>
          <w:rFonts w:ascii="Times New Roman;serif" w:hAnsi="Times New Roman;serif"/>
          <w:b w:val="false"/>
          <w:color w:val="000000"/>
          <w:sz w:val="22"/>
        </w:rPr>
        <w:t>: as defined in Section 2.25(a).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Incremental Revolving Loans</w:t>
      </w:r>
      <w:r>
        <w:rPr>
          <w:color w:val="000000"/>
        </w:rPr>
        <w:t>”</w:t>
      </w:r>
      <w:r>
        <w:rPr>
          <w:rFonts w:ascii="Times New Roman;serif" w:hAnsi="Times New Roman;serif"/>
          <w:b w:val="false"/>
          <w:color w:val="000000"/>
          <w:sz w:val="22"/>
        </w:rPr>
        <w:t>: as defined in Section 2.25(a).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Incremental Term Facility</w:t>
      </w:r>
      <w:r>
        <w:rPr>
          <w:color w:val="000000"/>
        </w:rPr>
        <w:t>”</w:t>
      </w:r>
      <w:r>
        <w:rPr>
          <w:rFonts w:ascii="Times New Roman;serif" w:hAnsi="Times New Roman;serif"/>
          <w:b w:val="false"/>
          <w:color w:val="000000"/>
          <w:sz w:val="22"/>
        </w:rPr>
        <w:t>: as defined in Section 2.25(a).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Incremental Term Loans</w:t>
      </w:r>
      <w:r>
        <w:rPr>
          <w:color w:val="000000"/>
        </w:rPr>
        <w:t>”</w:t>
      </w:r>
      <w:r>
        <w:rPr>
          <w:rFonts w:ascii="Times New Roman;serif" w:hAnsi="Times New Roman;serif"/>
          <w:b w:val="false"/>
          <w:color w:val="000000"/>
          <w:sz w:val="22"/>
        </w:rPr>
        <w:t>: as defined in Section 2.25(a).</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Incurred Acquisition Debt</w:t>
      </w:r>
      <w:r>
        <w:rPr>
          <w:color w:val="000000"/>
        </w:rPr>
        <w:t>”</w:t>
      </w:r>
      <w:r>
        <w:rPr>
          <w:rFonts w:ascii="Times New Roman;serif" w:hAnsi="Times New Roman;serif"/>
          <w:b w:val="false"/>
          <w:color w:val="000000"/>
          <w:sz w:val="22"/>
        </w:rPr>
        <w:t>: as defined in Section 7.2(m)(i).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Incurrence-Based Amount</w:t>
      </w:r>
      <w:r>
        <w:rPr>
          <w:color w:val="000000"/>
        </w:rPr>
        <w:t>”</w:t>
      </w:r>
      <w:r>
        <w:rPr>
          <w:rFonts w:ascii="Times New Roman;serif" w:hAnsi="Times New Roman;serif"/>
          <w:b w:val="false"/>
          <w:color w:val="000000"/>
          <w:sz w:val="22"/>
        </w:rPr>
        <w:t>: as defined in Section 1.4(e).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Indebtedness</w:t>
      </w:r>
      <w:r>
        <w:rPr>
          <w:color w:val="000000"/>
        </w:rPr>
        <w:t>”</w:t>
      </w:r>
      <w:r>
        <w:rPr>
          <w:rFonts w:ascii="Times New Roman;serif" w:hAnsi="Times New Roman;serif"/>
          <w:b w:val="false"/>
          <w:color w:val="000000"/>
          <w:sz w:val="22"/>
        </w:rPr>
        <w:t>: of any Person at any date, without duplication, (a) all indebtedness of such Person for borrowed money, (b) all obligations of such Person for the deferred purchase price of property or services (other than any such obligations incurred in the ordinary course of such Person’s business maturing less than one year from the creation thereof), including Contingent Purchase Price Obligations solely to the extent satisfying the definition thereof, (c) all obligations of such Person evidenced by notes, bonds (excluding surety bonds), debentures or other similar instruments (other than an operating lease, synthetic lease or similar arrangement), (d) for the purposes of Sections 7.2 and 8(e) only, all indebtedness created or arising under any conditional sale or other title retention agreement (other than an operating lease) with respect to property acquired by such Person (even though the rights and remedies of the seller or lender under such agreement in the event of default are limited to repossession or sale of such property), (e) for the purposes of Sections 7.2 and 8(e) only, all Capital Lease Obligations of such Person; (f) for the purposes of Sections 7.2 and 8(e) only, all obligations of such Person, contingent or otherwise, as an account party under acceptances, surety bonds or similar arrangements (other than obligations arising out of endorsements of instruments for deposit or collection in the ordinary course of business), (g) all unpaid reimbursement obligations of such Person in respect of drawings under letters of credit and surety bonds and, for purposes of Sections 7.2 and 8(e) only, the face amount of all letters of credit issued for the account of such Person, (h) for the purposes of Sections 7.2 and 8(e) only, all Guarantee Obligations of such Person in respect of obligations of the kind referred to in clauses (a) through (g) above, (i) without limitation of the foregoing,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provided that the amount of any such obligation shall be deemed to be the lesser of the face principal amount thereof and the fair market value of the property subject to such Lien and (j) for the purposes of Sections 7.2 and 8(e) only, all obligations of such Person in respect of Hedge Agreements; provided that, for purposes of Sections 7.2 and 8(e), the amount of “Indebtedness” included with respect to any such Hedge Agreement shall be based on the net termination value thereof. Notwithstanding the foregoing, overdrafts by the Company and its Subsidiaries in the ordinary course of business in connection with cash management (and not working capital) and trade letter of credit with a maturity of less than 180 days issued in the ordinary course of business shall not constitute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Indemnitee</w:t>
      </w:r>
      <w:r>
        <w:rPr>
          <w:color w:val="000000"/>
        </w:rPr>
        <w:t>”</w:t>
      </w:r>
      <w:r>
        <w:rPr>
          <w:rFonts w:ascii="Times New Roman;serif" w:hAnsi="Times New Roman;serif"/>
          <w:b w:val="false"/>
          <w:color w:val="000000"/>
          <w:sz w:val="22"/>
        </w:rPr>
        <w:t xml:space="preserve">: as defined in Section 10.5.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Ineligible Institution</w:t>
      </w:r>
      <w:r>
        <w:rPr>
          <w:color w:val="000000"/>
        </w:rPr>
        <w:t>”</w:t>
      </w:r>
      <w:r>
        <w:rPr>
          <w:rFonts w:ascii="Times New Roman;serif" w:hAnsi="Times New Roman;serif"/>
          <w:b w:val="false"/>
          <w:color w:val="000000"/>
          <w:sz w:val="22"/>
        </w:rPr>
        <w:t>: as defined in Section 10.6(b).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Information</w:t>
      </w:r>
      <w:r>
        <w:rPr>
          <w:color w:val="000000"/>
        </w:rPr>
        <w:t>”</w:t>
      </w:r>
      <w:r>
        <w:rPr>
          <w:rFonts w:ascii="Times New Roman;serif" w:hAnsi="Times New Roman;serif"/>
          <w:b w:val="false"/>
          <w:color w:val="000000"/>
          <w:sz w:val="22"/>
        </w:rPr>
        <w:t>: as defined in Section 4.18(a).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Inside Maturity Basket</w:t>
      </w:r>
      <w:r>
        <w:rPr>
          <w:color w:val="000000"/>
        </w:rPr>
        <w:t>”</w:t>
      </w:r>
      <w:r>
        <w:rPr>
          <w:rFonts w:ascii="Times New Roman;serif" w:hAnsi="Times New Roman;serif"/>
          <w:b w:val="false"/>
          <w:color w:val="000000"/>
          <w:sz w:val="22"/>
        </w:rPr>
        <w:t>: with respect to any Indebtedness incurred in reliance on the Inside Maturity Basket, an aggregate amount of such Indebtedness at any time outstanding not exceeding the greater of (x) $177,000,000 and (y) 100% of Consolidated EBITDA for the most recently ended Test Period calculated on a Pro Forma Basis.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Insolvency</w:t>
      </w:r>
      <w:r>
        <w:rPr>
          <w:color w:val="000000"/>
        </w:rPr>
        <w:t>”</w:t>
      </w:r>
      <w:r>
        <w:rPr>
          <w:rFonts w:ascii="Times New Roman;serif" w:hAnsi="Times New Roman;serif"/>
          <w:b w:val="false"/>
          <w:color w:val="000000"/>
          <w:sz w:val="22"/>
        </w:rPr>
        <w:t>: with respect to any Multiemployer Plan, the condition that such Plan is insolvent within the meaning of Section 4245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Insolvent</w:t>
      </w:r>
      <w:r>
        <w:rPr>
          <w:color w:val="000000"/>
        </w:rPr>
        <w:t>”</w:t>
      </w:r>
      <w:r>
        <w:rPr>
          <w:rFonts w:ascii="Times New Roman;serif" w:hAnsi="Times New Roman;serif"/>
          <w:b w:val="false"/>
          <w:color w:val="000000"/>
          <w:sz w:val="22"/>
        </w:rPr>
        <w:t>: pertaining to a condition of Insolvency.</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Intellectual Property</w:t>
      </w:r>
      <w:r>
        <w:rPr>
          <w:color w:val="000000"/>
        </w:rPr>
        <w:t>”</w:t>
      </w:r>
      <w:r>
        <w:rPr>
          <w:rFonts w:ascii="Times New Roman;serif" w:hAnsi="Times New Roman;serif"/>
          <w:b w:val="false"/>
          <w:color w:val="000000"/>
          <w:sz w:val="22"/>
        </w:rPr>
        <w:t>: all rights, priorities and privileges, whether arising under United States, multinational or foreign laws or otherwise, relating to copyrights, patents, trademarks, technology, know-how and processes and other intellectual property, and all rights to sue at law or in equity for any infringement or other impairment thereof, including the right to receive all proceeds and damages therefrom.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Interest Coverage Ratio</w:t>
      </w:r>
      <w:r>
        <w:rPr>
          <w:color w:val="000000"/>
        </w:rPr>
        <w:t>”</w:t>
      </w:r>
      <w:r>
        <w:rPr>
          <w:rFonts w:ascii="Times New Roman;serif" w:hAnsi="Times New Roman;serif"/>
          <w:b w:val="false"/>
          <w:color w:val="000000"/>
          <w:sz w:val="22"/>
        </w:rPr>
        <w:t>: as of any date of determination, the ratio for the most recently ended Test Period of (a) Consolidated EBITDA for such Test Period to (b) Consolidated Interest Expense for such Test Period; provided that, for purposes of calculating the Interest Coverage Ratio for any period ending prior to the first anniversary of the Closing Date, Consolidated Interest Expense shall be an amount equal to actual Consolidated Interest Expense from the Closing Date through the date of determination multiplied by a fraction the numerator of which is 365 and the denominator of which is the number of days from the Closing Date through the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Interest Payment Date</w:t>
      </w:r>
      <w:r>
        <w:rPr>
          <w:color w:val="000000"/>
        </w:rPr>
        <w:t>”</w:t>
      </w:r>
      <w:r>
        <w:rPr>
          <w:rFonts w:ascii="Times New Roman;serif" w:hAnsi="Times New Roman;serif"/>
          <w:b w:val="false"/>
          <w:color w:val="000000"/>
          <w:sz w:val="22"/>
        </w:rPr>
        <w:t>: (a) with respect to any ABR Loan (other than a Swingline Loan), the last day of each March, June, September and December and the Revolving Termination Date, as applicable,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Termination Date, as applicable, (c) with respect to any RFR Loan, each date that is on the numerically corresponding day in each calendar month that is one month after the Borrowing of such RFR Loan (or, if there is no such numerically corresponding day in such month, then the last day of such month) and the Revolving Termination Date and (d) with respect to any Swingline Loan, the day that such Loan is required to be repaid and the Revolving Termination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Interest Period</w:t>
      </w:r>
      <w:r>
        <w:rPr>
          <w:color w:val="000000"/>
        </w:rPr>
        <w:t>”</w:t>
      </w:r>
      <w:r>
        <w:rPr>
          <w:rFonts w:ascii="Times New Roman;serif" w:hAnsi="Times New Roman;serif"/>
          <w:b w:val="false"/>
          <w:color w:val="000000"/>
          <w:sz w:val="22"/>
        </w:rPr>
        <w:t>: as to any Term Benchmark Loan (i) initially, the period commencing on the borrowing or conversion date, as the case may be, with respect to such Term Benchmark Borrowing, and ending on the numerically corresponding day in the calendar month that is one, three or six months thereafter, (in each case, subject to the availability for the Benchmark applicable to the relevant Loan or Commitment) as selected by such Borrower in its Borrowing request or interest election request, as the case may be, given with respect thereto; (ii) thereafter, each period commencing on the last day of the next preceding Interest Period applicable to such Term Benchmark Loan and ending one, three or six months thereafter (in each case, subject to the availability for the Benchmark applicable to the relevant Loan or Commitment), as selected by such Borrower by irrevocable notice in an interest election request submitted to the Administrative Agent not later than 12:00 Noon, New York City time, on the date that is three Business Days prior to the last day of the then current Interest Period with respect thereto; provided that all of the foregoing provisions relating to Interest Periods are subject to the following: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Borrowers may not select an Interest Period under the Revolving Facility that would extend beyond the Revolving 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any Interest Period that begins on the last Business Day of a calendar month (or on a day for which there is no numerically corresponding day in the last calendar month of such Interest Period) shall end on the last Business Day of the last calendar month of such Interest Period;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no tenor that has been removed from this definition pursuant to Section 2.16(f) shall be available.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Investments</w:t>
      </w:r>
      <w:r>
        <w:rPr>
          <w:color w:val="000000"/>
        </w:rPr>
        <w:t>”</w:t>
      </w:r>
      <w:r>
        <w:rPr>
          <w:rFonts w:ascii="Times New Roman;serif" w:hAnsi="Times New Roman;serif"/>
          <w:b w:val="false"/>
          <w:color w:val="000000"/>
          <w:sz w:val="22"/>
        </w:rPr>
        <w:t xml:space="preserve">: as defined in Section 7.7.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Issuing Bank</w:t>
      </w:r>
      <w:r>
        <w:rPr>
          <w:color w:val="000000"/>
        </w:rPr>
        <w:t xml:space="preserve">” </w:t>
      </w:r>
      <w:r>
        <w:rPr>
          <w:rFonts w:ascii="Times New Roman;serif" w:hAnsi="Times New Roman;serif"/>
          <w:b w:val="false"/>
          <w:color w:val="000000"/>
          <w:sz w:val="22"/>
        </w:rPr>
        <w:t>means JPMorgan Chase Bank, N.A., Bank of America, N.A., Wells Fargo Bank, N.A. and any other Lender that agrees to act as an Issuing Bank (in each case, through itself or through one of its designated affiliates or branch offices), each in its capacity as the issuer of Letters of Credit hereunder, and its successors in such capacity as provided in Section 2.13.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Joint Venture</w:t>
      </w:r>
      <w:r>
        <w:rPr>
          <w:color w:val="000000"/>
        </w:rPr>
        <w:t>”</w:t>
      </w:r>
      <w:r>
        <w:rPr>
          <w:rFonts w:ascii="Times New Roman;serif" w:hAnsi="Times New Roman;serif"/>
          <w:b w:val="false"/>
          <w:color w:val="000000"/>
          <w:sz w:val="22"/>
        </w:rPr>
        <w:t>: any Person in which the Company and/or its Subsidiaries hold less than a majority of the Capital Stock, and which does not constitute a Subsidiary of the Company, whether direct or indirect.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JPMCB</w:t>
      </w:r>
      <w:r>
        <w:rPr>
          <w:color w:val="000000"/>
        </w:rPr>
        <w:t>”</w:t>
      </w:r>
      <w:r>
        <w:rPr>
          <w:rFonts w:ascii="Times New Roman;serif" w:hAnsi="Times New Roman;serif"/>
          <w:b w:val="false"/>
          <w:color w:val="000000"/>
          <w:sz w:val="22"/>
        </w:rPr>
        <w:t xml:space="preserve">: JPMorgan Chase Bank, N.A.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Judgment Currency</w:t>
      </w:r>
      <w:r>
        <w:rPr>
          <w:color w:val="000000"/>
        </w:rPr>
        <w:t>”</w:t>
      </w:r>
      <w:r>
        <w:rPr>
          <w:rFonts w:ascii="Times New Roman;serif" w:hAnsi="Times New Roman;serif"/>
          <w:b w:val="false"/>
          <w:color w:val="000000"/>
          <w:sz w:val="22"/>
        </w:rPr>
        <w:t>: as defined in Section 10.20(b).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Junior Lien Intercreditor Agreemen</w:t>
      </w:r>
      <w:r>
        <w:rPr>
          <w:rFonts w:ascii="Times New Roman;serif" w:hAnsi="Times New Roman;serif"/>
          <w:b w:val="false"/>
          <w:color w:val="000000"/>
          <w:sz w:val="22"/>
        </w:rPr>
        <w:t>t”: an intercreditor agreement in a form reasonably acceptable to the Administrative Agent and the Company among the Loan Parties from time to time party thereto, the Administrative Agent and an Other Debt Representative for the holders of Indebtedness that is permitted under Sections 7.2 and 7.3 to be, and is intended to be, secured by a Lien on the Collateral that is junior to the Liens securing the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Knowledge</w:t>
      </w:r>
      <w:r>
        <w:rPr>
          <w:color w:val="000000"/>
        </w:rPr>
        <w:t xml:space="preserve">” </w:t>
      </w:r>
      <w:r>
        <w:rPr>
          <w:rFonts w:ascii="Times New Roman;serif" w:hAnsi="Times New Roman;serif"/>
          <w:b w:val="false"/>
          <w:color w:val="000000"/>
          <w:sz w:val="22"/>
        </w:rPr>
        <w:t>or to the “</w:t>
      </w:r>
      <w:r>
        <w:rPr>
          <w:rFonts w:ascii="Times New Roman;serif" w:hAnsi="Times New Roman;serif"/>
          <w:b/>
          <w:color w:val="000000"/>
          <w:sz w:val="22"/>
        </w:rPr>
        <w:t>Knowledge</w:t>
      </w:r>
      <w:r>
        <w:rPr>
          <w:color w:val="000000"/>
        </w:rPr>
        <w:t>”</w:t>
      </w:r>
      <w:r>
        <w:rPr>
          <w:rFonts w:ascii="Times New Roman;serif" w:hAnsi="Times New Roman;serif"/>
          <w:b w:val="false"/>
          <w:color w:val="000000"/>
          <w:sz w:val="22"/>
        </w:rPr>
        <w:t>: of any Loan Party or any Subsidiaries of any Loan Party, the actual knowledge, after reasonable good faith investigation, of a Responsible Officer of such Loan Party or such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Latest Maturity Date</w:t>
      </w:r>
      <w:r>
        <w:rPr>
          <w:color w:val="000000"/>
        </w:rPr>
        <w:t>”</w:t>
      </w:r>
      <w:r>
        <w:rPr>
          <w:rFonts w:ascii="Times New Roman;serif" w:hAnsi="Times New Roman;serif"/>
          <w:b w:val="false"/>
          <w:color w:val="000000"/>
          <w:sz w:val="22"/>
        </w:rPr>
        <w:t>: at any date of determination, the latest maturity or expiration date applicable to any Loan or Commitment hereunder at such time, including the latest maturity or expiration date of any Term Loan.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LC Disbursement</w:t>
      </w:r>
      <w:r>
        <w:rPr>
          <w:color w:val="000000"/>
        </w:rPr>
        <w:t xml:space="preserve">” </w:t>
      </w:r>
      <w:r>
        <w:rPr>
          <w:rFonts w:ascii="Times New Roman;serif" w:hAnsi="Times New Roman;serif"/>
          <w:b w:val="false"/>
          <w:color w:val="000000"/>
          <w:sz w:val="22"/>
        </w:rPr>
        <w:t>means a payment made by an Issuing Bank pursuant to a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LC Exposure</w:t>
      </w:r>
      <w:r>
        <w:rPr>
          <w:color w:val="000000"/>
        </w:rPr>
        <w:t xml:space="preserve">” </w:t>
      </w:r>
      <w:r>
        <w:rPr>
          <w:rFonts w:ascii="Times New Roman;serif" w:hAnsi="Times New Roman;serif"/>
          <w:b w:val="false"/>
          <w:color w:val="000000"/>
          <w:sz w:val="22"/>
        </w:rPr>
        <w:t>means, at any time, the sum</w:t>
      </w:r>
      <w:r>
        <w:rPr>
          <w:color w:val="0000FF"/>
          <w:u w:val="single"/>
        </w:rPr>
        <w:t xml:space="preserve"> </w:t>
      </w:r>
      <w:r>
        <w:rPr>
          <w:rFonts w:ascii="Times New Roman;serif" w:hAnsi="Times New Roman;serif"/>
          <w:b w:val="false"/>
          <w:color w:val="0000FF"/>
          <w:sz w:val="22"/>
          <w:u w:val="single"/>
        </w:rPr>
        <w:t>of the Dollar Equivalent</w:t>
      </w:r>
      <w:r>
        <w:rPr>
          <w:color w:val="000000"/>
        </w:rPr>
        <w:t xml:space="preserve"> </w:t>
      </w:r>
      <w:r>
        <w:rPr>
          <w:rFonts w:ascii="Times New Roman;serif" w:hAnsi="Times New Roman;serif"/>
          <w:b w:val="false"/>
          <w:color w:val="000000"/>
          <w:sz w:val="22"/>
        </w:rPr>
        <w:t xml:space="preserve">of (a) the aggregate undrawn amount of all outstanding Letters of Credit at such time, plus (b) the aggregate amount of all LC Disbursements that have not yet been reimbursed by or on behalf of the Borrowers at such time. The LC Exposure of any Lender at any time shall be its Aggregate Exposure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Lender Affiliate</w:t>
      </w:r>
      <w:r>
        <w:rPr>
          <w:color w:val="000000"/>
        </w:rPr>
        <w:t>”</w:t>
      </w:r>
      <w:r>
        <w:rPr>
          <w:rFonts w:ascii="Times New Roman;serif" w:hAnsi="Times New Roman;serif"/>
          <w:b w:val="false"/>
          <w:color w:val="000000"/>
          <w:sz w:val="22"/>
        </w:rPr>
        <w:t>: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such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Lender Cash Management Obligations</w:t>
      </w:r>
      <w:r>
        <w:rPr>
          <w:color w:val="000000"/>
        </w:rPr>
        <w:t>”</w:t>
      </w:r>
      <w:r>
        <w:rPr>
          <w:rFonts w:ascii="Times New Roman;serif" w:hAnsi="Times New Roman;serif"/>
          <w:b w:val="false"/>
          <w:color w:val="000000"/>
          <w:sz w:val="22"/>
        </w:rPr>
        <w:t>: Cash Management Obligations owed to any Person who is, or was, the Administrative Agent or a Lender (or any Affiliate of the Administrative Agent or any Lender) (x) at the time the agreement governing such Cash Management Obligations was entered into, with respect to any Cash Management Obligations arising from any agreement entered into after the Closing Date or (y) as of the Closing Date, with respect to any Cash Management Obligations arising from any agreement existing on the Closing Date, in each case of clauses (x) and (y), regardless of whether such Person subsequently ceases to be the Administrative Agent or a Lender or an Affiliate of the Administrative Agent or a Lender (each such Person, a “</w:t>
      </w:r>
      <w:r>
        <w:rPr>
          <w:rFonts w:ascii="Times New Roman;serif" w:hAnsi="Times New Roman;serif"/>
          <w:b/>
          <w:color w:val="000000"/>
          <w:sz w:val="22"/>
        </w:rPr>
        <w:t>Lender Cash Management Counterparty</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Lender Hedge Agreements</w:t>
      </w:r>
      <w:r>
        <w:rPr>
          <w:color w:val="000000"/>
        </w:rPr>
        <w:t>”</w:t>
      </w:r>
      <w:r>
        <w:rPr>
          <w:rFonts w:ascii="Times New Roman;serif" w:hAnsi="Times New Roman;serif"/>
          <w:b w:val="false"/>
          <w:color w:val="000000"/>
          <w:sz w:val="22"/>
        </w:rPr>
        <w:t xml:space="preserve">: as defined in the Guarantee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Lenders</w:t>
      </w:r>
      <w:r>
        <w:rPr>
          <w:color w:val="000000"/>
        </w:rPr>
        <w:t>”</w:t>
      </w:r>
      <w:r>
        <w:rPr>
          <w:rFonts w:ascii="Times New Roman;serif" w:hAnsi="Times New Roman;serif"/>
          <w:b w:val="false"/>
          <w:color w:val="000000"/>
          <w:sz w:val="22"/>
        </w:rPr>
        <w:t>: as defined in the preamble hereto. Unless the context otherwise requires, the term “Lenders” includes the Swingline Lender and the Issuing Banks.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Letter of Credit</w:t>
      </w:r>
      <w:r>
        <w:rPr>
          <w:color w:val="000000"/>
        </w:rPr>
        <w:t>”</w:t>
      </w:r>
      <w:r>
        <w:rPr>
          <w:rFonts w:ascii="Times New Roman;serif" w:hAnsi="Times New Roman;serif"/>
          <w:b w:val="false"/>
          <w:color w:val="000000"/>
          <w:sz w:val="22"/>
        </w:rPr>
        <w:t xml:space="preserve">: (a) any letter of credit issued pursuant to this Agreement and (b) for so long as the same remain outstanding, the Existing Letters of Credit.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Letter of Credit Agreement</w:t>
      </w:r>
      <w:r>
        <w:rPr>
          <w:color w:val="000000"/>
        </w:rPr>
        <w:t>”</w:t>
      </w:r>
      <w:r>
        <w:rPr>
          <w:rFonts w:ascii="Times New Roman;serif" w:hAnsi="Times New Roman;serif"/>
          <w:b w:val="false"/>
          <w:color w:val="000000"/>
          <w:sz w:val="22"/>
        </w:rPr>
        <w:t>: has the meaning assigned to it in Section 2.13.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Letter of Credit Commitment</w:t>
      </w:r>
      <w:r>
        <w:rPr>
          <w:color w:val="000000"/>
        </w:rPr>
        <w:t>”</w:t>
      </w:r>
      <w:r>
        <w:rPr>
          <w:rFonts w:ascii="Times New Roman;serif" w:hAnsi="Times New Roman;serif"/>
          <w:b w:val="false"/>
          <w:color w:val="000000"/>
          <w:sz w:val="22"/>
        </w:rPr>
        <w:t>: with respect to each Issuing Bank, the commitment of such Issuing Bank to issue Letters of Credit hereunder. The initial amount of each Issuing Bank’s Letter of Credit Commitment is set forth on Schedule 1.1A, or if an Issuing Bank has entered into an Assignment and Assumption or has otherwise assumed a Letter of Credit Commitment after the Closing Date,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Lien</w:t>
      </w:r>
      <w:r>
        <w:rPr>
          <w:color w:val="000000"/>
        </w:rPr>
        <w:t>”</w:t>
      </w:r>
      <w:r>
        <w:rPr>
          <w:rFonts w:ascii="Times New Roman;serif" w:hAnsi="Times New Roman;serif"/>
          <w:b w:val="false"/>
          <w:color w:val="000000"/>
          <w:sz w:val="22"/>
        </w:rPr>
        <w:t>: any mortgage, pledge, hypothecation, assignment, deposit arrangement, encumbrance, lien (statutory or other), charge or other security interest or any preference, priority or other security agreement (including any conditional sale or other title retention agreement and any capital lease having substantially the same economic effect as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Limited Condition Transaction</w:t>
      </w:r>
      <w:r>
        <w:rPr>
          <w:color w:val="000000"/>
        </w:rPr>
        <w:t>”</w:t>
      </w:r>
      <w:r>
        <w:rPr>
          <w:rFonts w:ascii="Times New Roman;serif" w:hAnsi="Times New Roman;serif"/>
          <w:b w:val="false"/>
          <w:color w:val="000000"/>
          <w:sz w:val="22"/>
        </w:rPr>
        <w:t xml:space="preserve">: as defined in Section 1.4(d).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Loan</w:t>
      </w:r>
      <w:r>
        <w:rPr>
          <w:color w:val="000000"/>
        </w:rPr>
        <w:t>”</w:t>
      </w:r>
      <w:r>
        <w:rPr>
          <w:rFonts w:ascii="Times New Roman;serif" w:hAnsi="Times New Roman;serif"/>
          <w:b w:val="false"/>
          <w:color w:val="000000"/>
          <w:sz w:val="22"/>
        </w:rPr>
        <w:t>: any loan made by any Lender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Loan Documents</w:t>
      </w:r>
      <w:r>
        <w:rPr>
          <w:color w:val="000000"/>
        </w:rPr>
        <w:t>”</w:t>
      </w:r>
      <w:r>
        <w:rPr>
          <w:rFonts w:ascii="Times New Roman;serif" w:hAnsi="Times New Roman;serif"/>
          <w:b w:val="false"/>
          <w:color w:val="000000"/>
          <w:sz w:val="22"/>
        </w:rPr>
        <w:t>: this Agreement, the Guarantee Agreement, the Security Documents and the Notes, as the same may be amended, modified or supplemented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Loan Parties</w:t>
      </w:r>
      <w:r>
        <w:rPr>
          <w:color w:val="000000"/>
        </w:rPr>
        <w:t>”</w:t>
      </w:r>
      <w:r>
        <w:rPr>
          <w:rFonts w:ascii="Times New Roman;serif" w:hAnsi="Times New Roman;serif"/>
          <w:b w:val="false"/>
          <w:color w:val="000000"/>
          <w:sz w:val="22"/>
        </w:rPr>
        <w:t>: the Company, each Borrower, each other Subsidiary of the Company that is a party to a Loan Document. For the avoidance of doubt, the Loan Parties as of the Closing Date are set forth on Schedule 1.1C 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Local Time</w:t>
      </w:r>
      <w:r>
        <w:rPr>
          <w:color w:val="000000"/>
        </w:rPr>
        <w:t>”</w:t>
      </w:r>
      <w:r>
        <w:rPr>
          <w:rFonts w:ascii="Times New Roman;serif" w:hAnsi="Times New Roman;serif"/>
          <w:b w:val="false"/>
          <w:color w:val="000000"/>
          <w:sz w:val="22"/>
        </w:rPr>
        <w:t>: New York City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Long-Term Indebtedness</w:t>
      </w:r>
      <w:r>
        <w:rPr>
          <w:color w:val="000000"/>
        </w:rPr>
        <w:t>”</w:t>
      </w:r>
      <w:r>
        <w:rPr>
          <w:rFonts w:ascii="Times New Roman;serif" w:hAnsi="Times New Roman;serif"/>
          <w:b w:val="false"/>
          <w:color w:val="000000"/>
          <w:sz w:val="22"/>
        </w:rPr>
        <w:t>: any Indebtedness that, in accordance with GAAP, constitutes (or, when incurred, constituted) a long-term liability; provided that revolving indebtedness shall not constitute Long-Term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Majority Facility Lenders</w:t>
      </w:r>
      <w:r>
        <w:rPr>
          <w:color w:val="000000"/>
        </w:rPr>
        <w:t>”</w:t>
      </w:r>
      <w:r>
        <w:rPr>
          <w:rFonts w:ascii="Times New Roman;serif" w:hAnsi="Times New Roman;serif"/>
          <w:b w:val="false"/>
          <w:color w:val="000000"/>
          <w:sz w:val="22"/>
        </w:rPr>
        <w:t xml:space="preserve">: with respect to any Facility, the holders (other than Defaulting Lenders) of more than 50% of the aggregate unpaid principal amount of the Loans outstanding under such Facility (excluding Loans held by Defaulting Lenders) or in the case of (a) the Revolving Facility, prior to any termination of the Revolving Commitments, the holders (other than Defaulting Lenders) of more than 50% of the Total Revolving Commitments (excluding Revolving Commitments of Defaulting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“Majority Facility Lenders” shall not be fewer than two Lenders and, for purposes of this proviso, a Lender and its Affiliates shall be deemed to constitute one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Material Adverse Effect</w:t>
      </w:r>
      <w:r>
        <w:rPr>
          <w:color w:val="000000"/>
        </w:rPr>
        <w:t>”</w:t>
      </w:r>
      <w:r>
        <w:rPr>
          <w:rFonts w:ascii="Times New Roman;serif" w:hAnsi="Times New Roman;serif"/>
          <w:b w:val="false"/>
          <w:color w:val="000000"/>
          <w:sz w:val="22"/>
        </w:rPr>
        <w:t>: a material adverse effect on (a) the business, property, operations or financial condition of the Company and its Subsidiaries taken as a whole, (b) the ability of the Loan Parties, taken as a whole, to perform their payment obligations under the Loan Documents or (c) the rights of or benefits available to the Lenders, taken as a whole, under this Agreement or any other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Material IP</w:t>
      </w:r>
      <w:r>
        <w:rPr>
          <w:color w:val="000000"/>
        </w:rPr>
        <w:t xml:space="preserve">” </w:t>
      </w:r>
      <w:r>
        <w:rPr>
          <w:rFonts w:ascii="Times New Roman;serif" w:hAnsi="Times New Roman;serif"/>
          <w:b w:val="false"/>
          <w:color w:val="000000"/>
          <w:sz w:val="22"/>
        </w:rPr>
        <w:t>means any Intellectual Property that is material to the conduct of the business of the Company and its Subsidiaries, taken as a whole.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Materials of Environmental Concern</w:t>
      </w:r>
      <w:r>
        <w:rPr>
          <w:color w:val="000000"/>
        </w:rPr>
        <w:t>”</w:t>
      </w:r>
      <w:r>
        <w:rPr>
          <w:rFonts w:ascii="Times New Roman;serif" w:hAnsi="Times New Roman;serif"/>
          <w:b w:val="false"/>
          <w:color w:val="000000"/>
          <w:sz w:val="22"/>
        </w:rPr>
        <w:t>: any gasoline or petroleum (including crude oil or any fraction thereof) or petroleum products or any hazardous or toxic substances, materials or wastes, in each case that are defined or regulated as such in or under any Requirement of Law relating to the environment, including asbestos, polychlorinated biphenyls and urea-formaldehyde insulation.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Maximum Rate</w:t>
      </w:r>
      <w:r>
        <w:rPr>
          <w:color w:val="000000"/>
        </w:rPr>
        <w:t>”</w:t>
      </w:r>
      <w:r>
        <w:rPr>
          <w:rFonts w:ascii="Times New Roman;serif" w:hAnsi="Times New Roman;serif"/>
          <w:b w:val="false"/>
          <w:color w:val="000000"/>
          <w:sz w:val="22"/>
        </w:rPr>
        <w:t xml:space="preserve">: as defined in Section 10.18.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Moody’s</w:t>
      </w:r>
      <w:r>
        <w:rPr>
          <w:color w:val="000000"/>
        </w:rPr>
        <w:t>”</w:t>
      </w:r>
      <w:r>
        <w:rPr>
          <w:rFonts w:ascii="Times New Roman;serif" w:hAnsi="Times New Roman;serif"/>
          <w:b w:val="false"/>
          <w:color w:val="000000"/>
          <w:sz w:val="22"/>
        </w:rPr>
        <w:t>: as defined in the definition of “Cash Equivalents”.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Mortgaged Properties</w:t>
      </w:r>
      <w:r>
        <w:rPr>
          <w:color w:val="000000"/>
        </w:rPr>
        <w:t>”</w:t>
      </w:r>
      <w:r>
        <w:rPr>
          <w:rFonts w:ascii="Times New Roman;serif" w:hAnsi="Times New Roman;serif"/>
          <w:b w:val="false"/>
          <w:color w:val="000000"/>
          <w:sz w:val="22"/>
        </w:rPr>
        <w:t>: the real properties subject to the Mortgages designated in part (a) of Schedule 1.1B and any other real properties required to be mortgaged pursuant to Section 6.9; provided that Mortgaged Properties shall not include any Excluded Asset.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Mortgages</w:t>
      </w:r>
      <w:r>
        <w:rPr>
          <w:color w:val="000000"/>
        </w:rPr>
        <w:t>”</w:t>
      </w:r>
      <w:r>
        <w:rPr>
          <w:rFonts w:ascii="Times New Roman;serif" w:hAnsi="Times New Roman;serif"/>
          <w:b w:val="false"/>
          <w:color w:val="000000"/>
          <w:sz w:val="22"/>
        </w:rPr>
        <w:t xml:space="preserve">: each mortgage, deed of trust, deed to secure debt, trust deed or any other security document entered into by the owner of a Mortgaged Property in favor of the Administrative Agent for the benefit of the Administrative Agent and the Secured Parties creating a lien on such Mortgaged Property in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2"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form as reasonably agreed between the Company and the Administrative Agent, as the same may be amended, supplemented or otherwise modified from time to time; provided, however, in the event any Mortgaged Property is located in a jurisdiction which imposes mortgage recording taxes or similar fees, the applicable Mortgage shall not secure an amount in excess of 100% of the fair market value of such Mortgaged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Multiemployer Plan</w:t>
      </w:r>
      <w:r>
        <w:rPr>
          <w:color w:val="000000"/>
        </w:rPr>
        <w:t>”</w:t>
      </w:r>
      <w:r>
        <w:rPr>
          <w:rFonts w:ascii="Times New Roman;serif" w:hAnsi="Times New Roman;serif"/>
          <w:b w:val="false"/>
          <w:color w:val="000000"/>
          <w:sz w:val="22"/>
        </w:rPr>
        <w:t>: a Plan that is a multiemployer plan as defined in Section 4001(a)(3)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Net Cash Proceeds</w:t>
      </w:r>
      <w:r>
        <w:rPr>
          <w:color w:val="000000"/>
        </w:rPr>
        <w:t>”</w:t>
      </w:r>
      <w:r>
        <w:rPr>
          <w:rFonts w:ascii="Times New Roman;serif" w:hAnsi="Times New Roman;serif"/>
          <w:b w:val="false"/>
          <w:color w:val="000000"/>
          <w:sz w:val="22"/>
        </w:rPr>
        <w:t>: in connection with any issuance or sale of Capital Stock or any incurrence of Indebtedness, the cash proceeds received from such issuance or incurrence, net of attorneys’ fees, investment banking fees, accountants’ fees, underwriting discounts and commissions and other fees and expenses actually incurred in connection therewith.</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Netted Cash</w:t>
      </w:r>
      <w:r>
        <w:rPr>
          <w:color w:val="000000"/>
        </w:rPr>
        <w:t>”</w:t>
      </w:r>
      <w:r>
        <w:rPr>
          <w:rFonts w:ascii="Times New Roman;serif" w:hAnsi="Times New Roman;serif"/>
          <w:b w:val="false"/>
          <w:color w:val="000000"/>
          <w:sz w:val="22"/>
        </w:rPr>
        <w:t>: at any date of determination, the aggregate amount of all unrestricted cash and Cash Equivalents of the Company and its Subsidiaries as of such date</w:t>
      </w:r>
      <w:r>
        <w:rPr>
          <w:color w:val="000000"/>
        </w:rPr>
        <w:t xml:space="preserve"> </w:t>
      </w:r>
      <w:r>
        <w:rPr>
          <w:rFonts w:ascii="Times New Roman;serif" w:hAnsi="Times New Roman;serif"/>
          <w:b w:val="false"/>
          <w:i/>
          <w:color w:val="000000"/>
          <w:sz w:val="22"/>
        </w:rPr>
        <w:t>less</w:t>
      </w:r>
      <w:r>
        <w:rPr>
          <w:rFonts w:ascii="Times New Roman;serif" w:hAnsi="Times New Roman;serif"/>
          <w:b w:val="false"/>
          <w:color w:val="000000"/>
          <w:sz w:val="22"/>
        </w:rPr>
        <w:t>, to the extent included in such unrestricted cash and Cash Equivalents, any cash or Cash Equivalents to the extent required to be held by a money transmitter, financial institution, or other financial services or financial technology service provider in respect of customer transactions or balances or obligations pursuant to any applicable law, rule, or regulation, regardless of how such assets are designated under such law, rule, or regulation (including as “permissible investments” or “eligible securities”).</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color w:val="0000FF"/>
          <w:sz w:val="22"/>
          <w:u w:val="single"/>
        </w:rPr>
        <w:t>New Israeli Shekel</w:t>
      </w:r>
      <w:r>
        <w:rPr>
          <w:color w:val="0000FF"/>
          <w:u w:val="single"/>
        </w:rPr>
        <w:t xml:space="preserve">” </w:t>
      </w:r>
      <w:r>
        <w:rPr>
          <w:rFonts w:ascii="Times New Roman;serif" w:hAnsi="Times New Roman;serif"/>
          <w:b w:val="false"/>
          <w:color w:val="0000FF"/>
          <w:sz w:val="22"/>
          <w:u w:val="single"/>
        </w:rPr>
        <w:t>means the lawful currency of Israel.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Non-Consenting Lender</w:t>
      </w:r>
      <w:r>
        <w:rPr>
          <w:color w:val="000000"/>
        </w:rPr>
        <w:t>”</w:t>
      </w:r>
      <w:r>
        <w:rPr>
          <w:rFonts w:ascii="Times New Roman;serif" w:hAnsi="Times New Roman;serif"/>
          <w:b w:val="false"/>
          <w:color w:val="000000"/>
          <w:sz w:val="22"/>
        </w:rPr>
        <w:t>: as defined in Section 2.22.</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Non-Excluded Taxes</w:t>
      </w:r>
      <w:r>
        <w:rPr>
          <w:color w:val="000000"/>
        </w:rPr>
        <w:t>”</w:t>
      </w:r>
      <w:r>
        <w:rPr>
          <w:rFonts w:ascii="Times New Roman;serif" w:hAnsi="Times New Roman;serif"/>
          <w:b w:val="false"/>
          <w:color w:val="000000"/>
          <w:sz w:val="22"/>
        </w:rPr>
        <w:t>: Taxes imposed on or with respect to any payment made by or on account of any obligation of any Loan Party under any Loan Document, other than Taxes that are (i) Taxes imposed on or measured by net income (however denominated), franchise taxes, and branch profits taxes (A) imposed as a result of the Administrative Agent or any Lender being organized under the laws of, or having its principal office or, in the case of any Lender, its applicable lending office located in, the jurisdiction imposing such Tax (or any political subdivision thereof) or (B)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become a party to, performed its obligations under, received payments under, received or perfected a security interest under, engaged in any other transaction pursuant to, or enforced this Agreement or any Loan Document), (ii) attributable to a Lender’s failure to comply with the requirements of paragraph (e) or (f) of Section 2.19, (iii) withholding taxes imposed on amounts payable to or for the account of a Lender with respect to an applicable interest in a Loan or Commitment pursuant to a law in effect on the date on which such Lender becomes a party to this Agreement or changes its lending office, except to the extent that, pursuant to Section 2.19, amounts with respect to such Taxes were payable either to such Lender’s assignor (if any) immediately before such Lender acquired such interest or to such Lender immediately before it changed its lending office, (iv) any withholding Taxes imposed or collected pursuant to, or as a result of the application of, Section 899 of the Code (as proposed in the One Big Beautiful Act) or any substantially similar provision, in each case, as finally enacted, or any substantially similar amended or successor provision or (v) any withholding Taxes imposed pursuant to FATCA.</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3"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Non-Finance Lease Obligation</w:t>
      </w:r>
      <w:r>
        <w:rPr>
          <w:color w:val="000000"/>
        </w:rPr>
        <w:t>”</w:t>
      </w:r>
      <w:r>
        <w:rPr>
          <w:rFonts w:ascii="Times New Roman;serif" w:hAnsi="Times New Roman;serif"/>
          <w:b w:val="false"/>
          <w:color w:val="000000"/>
          <w:sz w:val="22"/>
        </w:rPr>
        <w:t>: with respect to any Person, a lease obligation of such Person that is not an obligation in respect of a Finance Lease. A straight-line or operating lease shall be considered a Non-Finance Lease Obligation.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Non-U.S. Lender</w:t>
      </w:r>
      <w:r>
        <w:rPr>
          <w:color w:val="000000"/>
        </w:rPr>
        <w:t>”</w:t>
      </w:r>
      <w:r>
        <w:rPr>
          <w:rFonts w:ascii="Times New Roman;serif" w:hAnsi="Times New Roman;serif"/>
          <w:b w:val="false"/>
          <w:color w:val="000000"/>
          <w:sz w:val="22"/>
        </w:rPr>
        <w:t>: as defined in Section 2.19(f)(ii).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Notes</w:t>
      </w:r>
      <w:r>
        <w:rPr>
          <w:color w:val="000000"/>
        </w:rPr>
        <w:t>”</w:t>
      </w:r>
      <w:r>
        <w:rPr>
          <w:rFonts w:ascii="Times New Roman;serif" w:hAnsi="Times New Roman;serif"/>
          <w:b w:val="false"/>
          <w:color w:val="000000"/>
          <w:sz w:val="22"/>
        </w:rPr>
        <w:t xml:space="preserve">: the collective reference to any promissory note evidencing Loans.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NYFRB</w:t>
      </w:r>
      <w:r>
        <w:rPr>
          <w:color w:val="000000"/>
        </w:rPr>
        <w:t>”</w:t>
      </w:r>
      <w:r>
        <w:rPr>
          <w:rFonts w:ascii="Times New Roman;serif" w:hAnsi="Times New Roman;serif"/>
          <w:b w:val="false"/>
          <w:color w:val="000000"/>
          <w:sz w:val="22"/>
        </w:rPr>
        <w:t>: the Federal Reserve Bank of New York.</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NYFRB Rate</w:t>
      </w:r>
      <w:r>
        <w:rPr>
          <w:color w:val="000000"/>
        </w:rPr>
        <w:t>”</w:t>
      </w:r>
      <w:r>
        <w:rPr>
          <w:rFonts w:ascii="Times New Roman;serif" w:hAnsi="Times New Roman;serif"/>
          <w:b w:val="false"/>
          <w:color w:val="000000"/>
          <w:sz w:val="22"/>
        </w:rPr>
        <w:t>: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provided, further, that if any of the aforesaid rates as so determined shall be less than zero, such rate shall be deemed to be zero for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NYFRB’s Website</w:t>
      </w:r>
      <w:r>
        <w:rPr>
          <w:color w:val="000000"/>
        </w:rPr>
        <w:t>”</w:t>
      </w:r>
      <w:r>
        <w:rPr>
          <w:rFonts w:ascii="Times New Roman;serif" w:hAnsi="Times New Roman;serif"/>
          <w:b w:val="false"/>
          <w:color w:val="000000"/>
          <w:sz w:val="22"/>
        </w:rPr>
        <w:t>: the website of the NYFRB at http://www.newyorkfed.org, or any successor source.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Obligations</w:t>
      </w:r>
      <w:r>
        <w:rPr>
          <w:color w:val="000000"/>
        </w:rPr>
        <w:t>”</w:t>
      </w:r>
      <w:r>
        <w:rPr>
          <w:rFonts w:ascii="Times New Roman;serif" w:hAnsi="Times New Roman;serif"/>
          <w:b w:val="false"/>
          <w:color w:val="000000"/>
          <w:sz w:val="22"/>
        </w:rPr>
        <w:t xml:space="preserve">: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any Borrower, whether or not a claim for post-filing or post-petition interest is allowed in such proceeding) the Loans and all other obligations and liabilities of the Borrowers to the Administrative Agent or to any Lender (or, in the case of Lender Hedge Agreements or Lender Cash Management Obligations, any Affiliate of the Administrative Agent or any Lender), whether direct or indirect, absolute or contingent, due or to become due, or now existing or hereafter incurred, which may arise under, out of, or in connection with, this Agreement, any other Loan Document (including, for the avoidance of doubt, any guarantee of Lender Cash Management Obligations and Lender Hedge Agreements in each case arising under the Guarantee Agreement), the Letters of Credit, Lender Cash Management Obligations, Lender Hedge Agreements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Borrowers pursuant hereto) or otherwise.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Other Debt Representative</w:t>
      </w:r>
      <w:r>
        <w:rPr>
          <w:color w:val="000000"/>
        </w:rPr>
        <w:t>”</w:t>
      </w:r>
      <w:r>
        <w:rPr>
          <w:rFonts w:ascii="Times New Roman;serif" w:hAnsi="Times New Roman;serif"/>
          <w:b w:val="false"/>
          <w:color w:val="000000"/>
          <w:sz w:val="22"/>
        </w:rPr>
        <w:t>: with respect to any series of Indebtedness permitted to be incurred and secured by a Lien on the Collateral that is pari passu (but without regard to the control of remedies) with or junior to the Lien securing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Other Revolving Commitments</w:t>
      </w:r>
      <w:r>
        <w:rPr>
          <w:color w:val="000000"/>
        </w:rPr>
        <w:t>”</w:t>
      </w:r>
      <w:r>
        <w:rPr>
          <w:rFonts w:ascii="Times New Roman;serif" w:hAnsi="Times New Roman;serif"/>
          <w:b w:val="false"/>
          <w:color w:val="000000"/>
          <w:sz w:val="22"/>
        </w:rPr>
        <w:t>: one or more Classes of revolving credit commitments hereunder that result from a Refinancing Revolving Amendment.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Other Revolving Loans</w:t>
      </w:r>
      <w:r>
        <w:rPr>
          <w:color w:val="000000"/>
        </w:rPr>
        <w:t>”</w:t>
      </w:r>
      <w:r>
        <w:rPr>
          <w:rFonts w:ascii="Times New Roman;serif" w:hAnsi="Times New Roman;serif"/>
          <w:b w:val="false"/>
          <w:color w:val="000000"/>
          <w:sz w:val="22"/>
        </w:rPr>
        <w:t>: one or more Classes of Revolving Loans that result from a Refinancing Revolving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4"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Other Taxes</w:t>
      </w:r>
      <w:r>
        <w:rPr>
          <w:color w:val="000000"/>
        </w:rPr>
        <w:t>”</w:t>
      </w:r>
      <w:r>
        <w:rPr>
          <w:rFonts w:ascii="Times New Roman;serif" w:hAnsi="Times New Roman;serif"/>
          <w:b w:val="false"/>
          <w:color w:val="000000"/>
          <w:sz w:val="22"/>
        </w:rPr>
        <w:t>: all present or future stamp, court or documentary, intangible, recording, filing or any other similar Taxes that arise from any payment made under, from the execution, delivery or enforcement of, from the receipt or perfection of a security interest under, or otherwise with respect to, this Agreement or any other Loan Document, except any such Taxes imposed with respect to an assignment.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Outbound Investment Rules</w:t>
      </w:r>
      <w:r>
        <w:rPr>
          <w:color w:val="000000"/>
        </w:rPr>
        <w:t>”</w:t>
      </w:r>
      <w:r>
        <w:rPr>
          <w:rFonts w:ascii="Times New Roman;serif" w:hAnsi="Times New Roman;serif"/>
          <w:b w:val="false"/>
          <w:color w:val="000000"/>
          <w:sz w:val="22"/>
        </w:rPr>
        <w:t>: the regulations administered and enforced, together with any related public guidance issued, by the United States Treasury Department under U.S. Executive Order 14105 of August 9, 2023; as of the date of this Agreement, and as codified at 31 C.F.R. § 850.101 et seq.</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Overnight Bank Funding Rate</w:t>
      </w:r>
      <w:r>
        <w:rPr>
          <w:color w:val="000000"/>
        </w:rPr>
        <w:t>”</w:t>
      </w:r>
      <w:r>
        <w:rPr>
          <w:rFonts w:ascii="Times New Roman;serif" w:hAnsi="Times New Roman;serif"/>
          <w:b w:val="false"/>
          <w:color w:val="000000"/>
          <w:sz w:val="22"/>
        </w:rPr>
        <w:t>: for any day, the rate comprised of both overnight federal funds and overnight eurodollar transactions in U.S.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 xml:space="preserve">: as defined in Section 10.6(b).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Participant Register</w:t>
      </w:r>
      <w:r>
        <w:rPr>
          <w:color w:val="000000"/>
        </w:rPr>
        <w:t>”</w:t>
      </w:r>
      <w:r>
        <w:rPr>
          <w:rFonts w:ascii="Times New Roman;serif" w:hAnsi="Times New Roman;serif"/>
          <w:b w:val="false"/>
          <w:color w:val="000000"/>
          <w:sz w:val="22"/>
        </w:rPr>
        <w:t xml:space="preserve">: as defined in Section 10.6(b).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Participating Member State</w:t>
      </w:r>
      <w:r>
        <w:rPr>
          <w:color w:val="000000"/>
        </w:rPr>
        <w:t>”</w:t>
      </w:r>
      <w:r>
        <w:rPr>
          <w:rFonts w:ascii="Times New Roman;serif" w:hAnsi="Times New Roman;serif"/>
          <w:b w:val="false"/>
          <w:color w:val="000000"/>
          <w:sz w:val="22"/>
        </w:rPr>
        <w:t>: each state so described in any EMU legislation.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Patriot Act</w:t>
      </w:r>
      <w:r>
        <w:rPr>
          <w:color w:val="000000"/>
        </w:rPr>
        <w:t>”</w:t>
      </w:r>
      <w:r>
        <w:rPr>
          <w:rFonts w:ascii="Times New Roman;serif" w:hAnsi="Times New Roman;serif"/>
          <w:b w:val="false"/>
          <w:color w:val="000000"/>
          <w:sz w:val="22"/>
        </w:rPr>
        <w:t>: as defined in Section 10.16.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PBGC</w:t>
      </w:r>
      <w:r>
        <w:rPr>
          <w:color w:val="000000"/>
        </w:rPr>
        <w:t>”</w:t>
      </w:r>
      <w:r>
        <w:rPr>
          <w:rFonts w:ascii="Times New Roman;serif" w:hAnsi="Times New Roman;serif"/>
          <w:b w:val="false"/>
          <w:color w:val="000000"/>
          <w:sz w:val="22"/>
        </w:rPr>
        <w:t xml:space="preserve">: the Pension Benefit Guaranty Corporation established pursuant to Subtitle A of Title IV of ERISA (or any successor).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First Priority Refinancing Debt</w:t>
      </w:r>
      <w:r>
        <w:rPr>
          <w:color w:val="000000"/>
        </w:rPr>
        <w:t>”</w:t>
      </w:r>
      <w:r>
        <w:rPr>
          <w:rFonts w:ascii="Times New Roman;serif" w:hAnsi="Times New Roman;serif"/>
          <w:b w:val="false"/>
          <w:color w:val="000000"/>
          <w:sz w:val="22"/>
        </w:rPr>
        <w:t xml:space="preserve">: any Permitted First Priority Refinancing Notes and any Permitted First Priority Refinancing Loans.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First Priority Refinancing Loans</w:t>
      </w:r>
      <w:r>
        <w:rPr>
          <w:color w:val="000000"/>
        </w:rPr>
        <w:t>”</w:t>
      </w:r>
      <w:r>
        <w:rPr>
          <w:rFonts w:ascii="Times New Roman;serif" w:hAnsi="Times New Roman;serif"/>
          <w:b w:val="false"/>
          <w:color w:val="000000"/>
          <w:sz w:val="22"/>
        </w:rPr>
        <w:t xml:space="preserve">: any Credit Agreement Refinancing Indebtedness in the form of secured loans incurred by the Company and/or the Subsidiary Guarantors in the form of one or more tranches of loans under this Agreement; provided that (i) such Indebtedness is secured by a Lien on the Collateral that is pari passu (but without regard to the control of remedies) with the Liens securing the Obligations and (ii) such Indebtedness meets the Permitted Other Debt Conditions.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First Priority Refinancing Notes</w:t>
      </w:r>
      <w:r>
        <w:rPr>
          <w:color w:val="000000"/>
        </w:rPr>
        <w:t>”</w:t>
      </w:r>
      <w:r>
        <w:rPr>
          <w:rFonts w:ascii="Times New Roman;serif" w:hAnsi="Times New Roman;serif"/>
          <w:b w:val="false"/>
          <w:color w:val="000000"/>
          <w:sz w:val="22"/>
        </w:rPr>
        <w:t>: any Credit Agreement Refinancing Indebtedness in the form of secured Indebtedness (including any Registered Equivalent Notes) incurred by the Company and/or the Subsidiary Guarantors in the form of one or more series of senior secured notes (whether issued in a public offering, Rule 144A, private placement or otherwise) or loans not under this Agreement;</w:t>
      </w:r>
      <w:r>
        <w:rPr>
          <w:color w:val="000000"/>
        </w:rPr>
        <w:t xml:space="preserve"> </w:t>
      </w:r>
      <w:r>
        <w:rPr>
          <w:rFonts w:ascii="Times New Roman;serif" w:hAnsi="Times New Roman;serif"/>
          <w:b w:val="false"/>
          <w:color w:val="000000"/>
          <w:sz w:val="22"/>
        </w:rPr>
        <w:t>provided that (i) such Indebtedness is secured by a Lien on the Collateral that is pari passu (but without regard to the control of remedies) with the Liens securing the Obligations, (ii) such Indebtedness meets the Permitted Other Debt Conditions and (iii) an Other Debt Representative acting on behalf of the holders of such Indebtedness shall have become party to a First Lien Intercreditor Agreement and, if required thereby, any other Applicable Intercreditor Agreement then in effect. Permitted First Priority Refinancing Notes will include any Registered Equivalent Notes issued in exchange therefor.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Junior Lien Refinancing Debt</w:t>
      </w:r>
      <w:r>
        <w:rPr>
          <w:color w:val="000000"/>
        </w:rPr>
        <w:t>”</w:t>
      </w:r>
      <w:r>
        <w:rPr>
          <w:rFonts w:ascii="Times New Roman;serif" w:hAnsi="Times New Roman;serif"/>
          <w:b w:val="false"/>
          <w:color w:val="000000"/>
          <w:sz w:val="22"/>
        </w:rPr>
        <w:t xml:space="preserve">: Credit Agreement Refinancing Indebtedness constituting secured Indebtedness (including any Registered Equivalent Notes) incurred by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5"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and/or the Subsidiary Guarantors in the form of one or more series of junior lien secured notes or junior lien secured loans; provided that (i) such Indebtedness is secured by a Lien on the Collateral that is junior to the Liens securing the Obligations, (ii) such Indebtedness meets the Permitted Other Debt Conditions and (iii) an Other Debt Representative acting on behalf of the holders of such Indebtedness shall have become party to the Junior Lien Intercreditor Agreement as a “Junior Priority Representative” (or similar term, in each case, to be defined in the Junior Lien Intercreditor Agreement). Permitted Junior Lien Refinancing Debt will include any Registered Equivalent Notes issued in exchange therefor.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Other Debt Conditions</w:t>
      </w:r>
      <w:r>
        <w:rPr>
          <w:color w:val="000000"/>
        </w:rPr>
        <w:t>”</w:t>
      </w:r>
      <w:r>
        <w:rPr>
          <w:rFonts w:ascii="Times New Roman;serif" w:hAnsi="Times New Roman;serif"/>
          <w:b w:val="false"/>
          <w:color w:val="000000"/>
          <w:sz w:val="22"/>
        </w:rPr>
        <w:t>: with respect to any Indebtedness, that such applicable Indebtedness (i) is issued, incurred or otherwise obtained (including by means of the extension or renewal of existing Indebtedness) in exchange for, or to extend, renew, replace, repurchase, retire or refinance, in whole or part, existing Term Loans and Revolving Loans (or Commitments in respect to Revolving Loans), or any then-existing Credit Agreement Refinancing Indebtedness (“</w:t>
      </w:r>
      <w:r>
        <w:rPr>
          <w:rFonts w:ascii="Times New Roman;serif" w:hAnsi="Times New Roman;serif"/>
          <w:b/>
          <w:color w:val="000000"/>
          <w:sz w:val="22"/>
        </w:rPr>
        <w:t>Refinanced Debt</w:t>
      </w:r>
      <w:r>
        <w:rPr>
          <w:color w:val="000000"/>
        </w:rPr>
        <w:t>”</w:t>
      </w:r>
      <w:r>
        <w:rPr>
          <w:rFonts w:ascii="Times New Roman;serif" w:hAnsi="Times New Roman;serif"/>
          <w:b w:val="false"/>
          <w:color w:val="000000"/>
          <w:sz w:val="22"/>
        </w:rPr>
        <w:t>), (ii) has a maturity no earlier than, and a Weighted Average Life to Maturity equal to or greater than the applicable Refinanced Debt; provided, that the foregoing limitation shall not apply to a customary bridge facility which, subject to customary conditions, automatically convert into long-term debt satisfying the requirements of this clause (ii) or to Indebtedness in the form of a revolving credit facility that is incurred in reliance on the Inside Maturity Basket, (iii) is not at any time guaranteed by any Subsidiaries other than Subsidiaries that are Guarantors, and (iv) is not secured by any property or assets of the Company or any Subsidiaries other than the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Payee</w:t>
      </w:r>
      <w:r>
        <w:rPr>
          <w:color w:val="000000"/>
        </w:rPr>
        <w:t>”</w:t>
      </w:r>
      <w:r>
        <w:rPr>
          <w:rFonts w:ascii="Times New Roman;serif" w:hAnsi="Times New Roman;serif"/>
          <w:b w:val="false"/>
          <w:color w:val="000000"/>
          <w:sz w:val="22"/>
        </w:rPr>
        <w:t>: any future, current or former director, officer, member of management, manager, employee, independent contractor or consultant (or any Affiliate, immediate family member or transferee of any of the foregoing) of the Company (or any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Receivables Assets</w:t>
      </w:r>
      <w:r>
        <w:rPr>
          <w:color w:val="000000"/>
        </w:rPr>
        <w:t>”</w:t>
      </w:r>
      <w:r>
        <w:rPr>
          <w:rFonts w:ascii="Times New Roman;serif" w:hAnsi="Times New Roman;serif"/>
          <w:b w:val="false"/>
          <w:color w:val="000000"/>
          <w:sz w:val="22"/>
        </w:rPr>
        <w:t>: means (i) accounts receivable or, as applicable, loan receivables, in each case generated in connection with any Customer Advances or Customer Guarantees and (ii) accounts receivable generated in connection with the ordinary course remittance business of the Borrowers and their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Receivables Financing</w:t>
      </w:r>
      <w:r>
        <w:rPr>
          <w:color w:val="000000"/>
        </w:rPr>
        <w:t>”</w:t>
      </w:r>
      <w:r>
        <w:rPr>
          <w:rFonts w:ascii="Times New Roman;serif" w:hAnsi="Times New Roman;serif"/>
          <w:b w:val="false"/>
          <w:color w:val="000000"/>
          <w:sz w:val="22"/>
        </w:rPr>
        <w:t xml:space="preserve">: (a) any sale by the Company or a Subsidiary of Permitted Receivables Assets and related assets to a Finance Subsidiary intended to be (and which shall be treated for the purposes hereof as) a true sale transaction with customary limited recourse based upon the collectability of the Permitted Receivables Assets sold and the corresponding sale or pledge of such Permitted Receivables Assets and related assets (or an interest therein) by the Finance Subsidiary, in each case without any guarantee of the collectability of such Permitted Receivables Assets by the Company or any other Subsidiary thereof (other than by such Finance Subsidiary) and (b) (i) any sale by the Company or a Subsidiary of Permitted Receivables Assets and related assets under a factoring agreement that is intended to be (and which shall be treated for the purposes hereof as) a true sale transaction with customary limited recourse based upon collectability of the Permitted Receivables Assets sold, without any guarantee by the Company and any other Subsidiary thereof of the collectability of such Permitted Receivables Assets and (ii) any sale or financing by any Foreign Subsidiary to or with local buyers or lenders of Permitted Receivables Assets and related assets in the ordinary course of business, in each case without any guarantee by the Company or any Domestic Subsidiary. In addition to Permitted Receivables Assets and their proceeds, the related assets transferred in a Permitted Receivables Financing shall be limited to assets customarily transferred (or in respect of which security interests are customarily granted) in connection with a securitization, factoring or receivable sale transaction and may include (A) any collateral for transferred Permitted Receivables Assets (other than any interest in goods the sale of which gave rise to such Permitted Receivables Assets) and any agreements supporting or securing payment of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6"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transferred Permitted Receivables Assets, (B) any service contracts or other agreements associated with such Permitted Receivables Assets and records relating to such Permitted Receivables Assets, (C) any bank account or lock box maintained primarily for the purpose of receiving collections of transferred Permitted Receivables Assets and (D) proceeds of all of the foregoing.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Refinancing</w:t>
      </w:r>
      <w:r>
        <w:rPr>
          <w:color w:val="000000"/>
        </w:rPr>
        <w:t>”</w:t>
      </w:r>
      <w:r>
        <w:rPr>
          <w:rFonts w:ascii="Times New Roman;serif" w:hAnsi="Times New Roman;serif"/>
          <w:b w:val="false"/>
          <w:color w:val="000000"/>
          <w:sz w:val="22"/>
        </w:rPr>
        <w:t>: with respect to any Person, any modification, refinancing, refunding, renewal, replacement or extension (collectively, a “</w:t>
      </w:r>
      <w:r>
        <w:rPr>
          <w:rFonts w:ascii="Times New Roman;serif" w:hAnsi="Times New Roman;serif"/>
          <w:b/>
          <w:color w:val="000000"/>
          <w:sz w:val="22"/>
        </w:rPr>
        <w:t>Refinancing</w:t>
      </w:r>
      <w:r>
        <w:rPr>
          <w:color w:val="000000"/>
        </w:rPr>
        <w:t xml:space="preserve">” </w:t>
      </w:r>
      <w:r>
        <w:rPr>
          <w:rFonts w:ascii="Times New Roman;serif" w:hAnsi="Times New Roman;serif"/>
          <w:b w:val="false"/>
          <w:color w:val="000000"/>
          <w:sz w:val="22"/>
        </w:rPr>
        <w:t>and the Indebtedness being so Refinanced, the “</w:t>
      </w:r>
      <w:r>
        <w:rPr>
          <w:rFonts w:ascii="Times New Roman;serif" w:hAnsi="Times New Roman;serif"/>
          <w:b/>
          <w:color w:val="000000"/>
          <w:sz w:val="22"/>
        </w:rPr>
        <w:t>Refinanced Indebtedness</w:t>
      </w:r>
      <w:r>
        <w:rPr>
          <w:color w:val="000000"/>
        </w:rPr>
        <w:t>”</w:t>
      </w:r>
      <w:r>
        <w:rPr>
          <w:rFonts w:ascii="Times New Roman;serif" w:hAnsi="Times New Roman;serif"/>
          <w:b w:val="false"/>
          <w:color w:val="000000"/>
          <w:sz w:val="22"/>
        </w:rPr>
        <w:t>) of any Indebtedness of such Person; provided that (a) the principal amount (or accreted value, if applicable) thereof does not exceed the principal amount (or accreted value, if applicable) of the Indebtedness so modified, refinanced, refunded, renewed, replaced or extended except by an amount equal to (x) 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modification, refinancing, refunding, renewal, replacement or extension, (y) any existing commitments unutilized thereunder and (z) additional amounts permitted to be incurred under Section 7.2 and, to the extent secured by a Lien, Section 7.3 (and, in each case, the applicable clause of Section 7.2 and Section 7.3 shall be deemed to be utilized by the amount so incurred), (b) other than with respect to a Permitted Refinancing in respect of Indebtedness permitted pursuant to Section 7.2(d), such modification, refinancing, refunding, renewal, replacement or extension has a maturity no earlier than, and a Weighted Average Life to Maturity equal to or greater than the Indebtedness being modified, refinanced, refunded, renewed, replaced or extended, (c) if such Refinanced Indebtedness is subordinated in right of payment to the Obligations, such modification, refinancing, refunding, renewal, replacement or extension is subordinated in right of payment to the Obligations on terms at least as favorable to the Lenders as those contained in the documentation governing the Refinanced Indebtedness, (d) such modification, refinancing, refunding, renewal, replacement or extension has no different obligors, or greater guarantees or security than the Refinanced Indebtedness (provided that (i) Indebtedness of any Loan Party may be Refinanced to add or substitute as an obligor another Loan Party and (ii) any Indebtedness of any Subsidiary that is not a Loan Party may be Refinanced to add or substitute as an obligor another Subsidiary that is not a Loan Party, in each case to the extent then permitted under Section 7.2) and (d) if the Indebtedness being modified, refinanced, refunded, renewed, replaced or extended was subject to an Applicable Intercreditor Agreement, the holders of such modified, refinanced, refunded, renewed, replaced or extended Indebtedness (if such Indebtedness is secured) or their representative on their behalf shall become party to the Applicable Intercreditor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Sale/Leasebacks</w:t>
      </w:r>
      <w:r>
        <w:rPr>
          <w:color w:val="000000"/>
        </w:rPr>
        <w:t>”</w:t>
      </w:r>
      <w:r>
        <w:rPr>
          <w:rFonts w:ascii="Times New Roman;serif" w:hAnsi="Times New Roman;serif"/>
          <w:b w:val="false"/>
          <w:color w:val="000000"/>
          <w:sz w:val="22"/>
        </w:rPr>
        <w:t>: as defined in Section 7.9.</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Unsecured Refinancing Debt</w:t>
      </w:r>
      <w:r>
        <w:rPr>
          <w:color w:val="000000"/>
        </w:rPr>
        <w:t>”</w:t>
      </w:r>
      <w:r>
        <w:rPr>
          <w:rFonts w:ascii="Times New Roman;serif" w:hAnsi="Times New Roman;serif"/>
          <w:b w:val="false"/>
          <w:color w:val="000000"/>
          <w:sz w:val="22"/>
        </w:rPr>
        <w:t>: Credit Agreement Refinancing Indebtedness in the form of unsecured Indebtedness (including any Registered Equivalent Notes) incurred by the Company and/or the Subsidiary Guarantors in the form of one or more series of unsecured notes or loans; provided that such Indebtedness meets the Permitted Other Debt Conditions (to the extent applicable thereto). Permitted Unsecured Refinancing Debt will include any Registered Equivalent Notes issued in exchange therefor.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Person</w:t>
      </w:r>
      <w:r>
        <w:rPr>
          <w:color w:val="000000"/>
        </w:rPr>
        <w:t>”</w:t>
      </w:r>
      <w:r>
        <w:rPr>
          <w:rFonts w:ascii="Times New Roman;serif" w:hAnsi="Times New Roman;serif"/>
          <w:b w:val="false"/>
          <w:color w:val="000000"/>
          <w:sz w:val="22"/>
        </w:rPr>
        <w:t>: an individual, partnership, corporation, limited liability company, business trust, joint stock company, trust, unincorporated association, joint venture, Governmental Authority or other entity of whatever nature.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 xml:space="preserve">: at a particular time, any “employee benefit plan” (as defined by Section 3(3) of ERISA) that is subject to Title IV of ERISA and in respect of which the Company or a Commonly Controlled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7"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Entity is (or, if such plan were terminated at such time, would under Section 4069 of ERISA be deemed to be) an “employer” as defined in Section 3(5)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Plan Asset Regulations</w:t>
      </w:r>
      <w:r>
        <w:rPr>
          <w:color w:val="000000"/>
        </w:rPr>
        <w:t>”</w:t>
      </w:r>
      <w:r>
        <w:rPr>
          <w:rFonts w:ascii="Times New Roman;serif" w:hAnsi="Times New Roman;serif"/>
          <w:b w:val="false"/>
          <w:color w:val="000000"/>
          <w:sz w:val="22"/>
        </w:rPr>
        <w:t>: 29 CFR § 2510.3-101, as modified by Section 3(42) of ERISA,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Pledged Stock</w:t>
      </w:r>
      <w:r>
        <w:rPr>
          <w:color w:val="000000"/>
        </w:rPr>
        <w:t>”</w:t>
      </w:r>
      <w:r>
        <w:rPr>
          <w:rFonts w:ascii="Times New Roman;serif" w:hAnsi="Times New Roman;serif"/>
          <w:b w:val="false"/>
          <w:color w:val="000000"/>
          <w:sz w:val="22"/>
        </w:rPr>
        <w:t>: collectively, “Pledged Stock”, as defined in the Collateral Agreement.</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color w:val="0000FF"/>
          <w:sz w:val="22"/>
          <w:u w:val="single"/>
        </w:rPr>
        <w:t>Polish Złoty</w:t>
      </w:r>
      <w:r>
        <w:rPr>
          <w:color w:val="0000FF"/>
          <w:u w:val="single"/>
        </w:rPr>
        <w:t xml:space="preserve">” </w:t>
      </w:r>
      <w:r>
        <w:rPr>
          <w:rFonts w:ascii="Times New Roman;serif" w:hAnsi="Times New Roman;serif"/>
          <w:b w:val="false"/>
          <w:color w:val="0000FF"/>
          <w:sz w:val="22"/>
          <w:u w:val="single"/>
        </w:rPr>
        <w:t>means the lawful currency of Poland.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Prime Rate</w:t>
      </w:r>
      <w:r>
        <w:rPr>
          <w:color w:val="000000"/>
        </w:rPr>
        <w:t>”</w:t>
      </w:r>
      <w:r>
        <w:rPr>
          <w:rFonts w:ascii="Times New Roman;serif" w:hAnsi="Times New Roman;serif"/>
          <w:b w:val="false"/>
          <w:color w:val="000000"/>
          <w:sz w:val="22"/>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Pro Forma Basis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pro forma effect</w:t>
      </w:r>
      <w:r>
        <w:rPr>
          <w:color w:val="000000"/>
        </w:rPr>
        <w:t>”</w:t>
      </w:r>
      <w:r>
        <w:rPr>
          <w:rFonts w:ascii="Times New Roman;serif" w:hAnsi="Times New Roman;serif"/>
          <w:b w:val="false"/>
          <w:color w:val="000000"/>
          <w:sz w:val="22"/>
        </w:rPr>
        <w:t>: with respect to any determination of the Total Net Leverage Ratio, the First Lien Net Leverage Ratio, the Senior Secured Net Leverage Ratio, Consolidated EBITDA, Consolidated Net Income or Interest Coverage Ratio (including component definitions thereof), that each Specified Transaction shall be deemed to have occurred as of the first day of the applicable Test Period with respect to any test or covenant for which such calculation is being made and that: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 in the case of (A) any Disposition of all or substantially all of the Capital Stock of any Subsidiary or any division and/or product line of the Company or any Subsidiary or (B) any designation of a Subsidiary as an Unrestricted Subsidiary, income statement items (whether positive or negative) attributable to the property or Person subject to such Specified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Subsidiary described in the definition of the term “Specified Transaction”, income statement items (whether positive or negative) attributable to the property or Person subject to such Specified Transaction shall be included as of the first day of the applicable Test Period with respect to any test or covenant for which the relevant determination is being made; provided that any pro forma adjustment may be applied to any such test or covenant solely to the extent that such adjustment is consistent with, subject to the limitations set forth in and without duplication with respect to the application of, the definition of “Consolidated EBITDA”,</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any Expected Cost Savings shall be calculated on a Pro Forma Basis as though such Expected Cost Savings had been realized on the first day of the applicable Test Period and as if such Expected Cost Savings were realized in full during the entirety of such period; provided that any pro forma adjustment may be applied to any such test or covenant solely to the extent that such adjustment is consistent with, subject to the limitations set forth in and without duplication with respect to the application of, the definition of “Consolidated EBITDA”,</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any retirement or repayment of Indebtedness (other than normal fluctuations in revolving Indebtedness incurred for working capital purposes) shall be deemed to have occurred as of the first day of the applicable Test Period with respect to any test or covenant for which the relevant determination is being made, and</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any Indebtedness incurred by the Company or any of its Subsidiaries in connection therewith shall be deemed to have occurred as of the first day of the applicable Test Period with respect to any test or covenant for which the relevant determination is being made; provided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capital lease shall be deemed to accrue at an interest rate determined by a Responsible Officer of the Company in good faith to be the rate of interest implicit in such obligation in accordance with GAAP and (z) interest on any Indebtedness that may optionally be determined at an interest rate based upon a factor of a prime or similar rate, a Term Benchmark, an interbank offered rate or other rate shall be determined to have been based upon the rate actually chosen, or if none, then based upon such optional rate chosen by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set forth in the immediately preceding paragraph, for the avoidance of doubt, when calculating the Total Net Leverage Ratio for purposes of the Financial Covenant, the events described in the immediately preceding paragraph that occurred subsequent to the end of the applicable Test Period shall not be given pro forma effect.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Proceeding</w:t>
      </w:r>
      <w:r>
        <w:rPr>
          <w:color w:val="000000"/>
        </w:rPr>
        <w:t>”</w:t>
      </w:r>
      <w:r>
        <w:rPr>
          <w:rFonts w:ascii="Times New Roman;serif" w:hAnsi="Times New Roman;serif"/>
          <w:b w:val="false"/>
          <w:color w:val="000000"/>
          <w:sz w:val="22"/>
        </w:rPr>
        <w:t>: as defined in Section 10.5.</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Projections</w:t>
      </w:r>
      <w:r>
        <w:rPr>
          <w:color w:val="000000"/>
        </w:rPr>
        <w:t>”</w:t>
      </w:r>
      <w:r>
        <w:rPr>
          <w:rFonts w:ascii="Times New Roman;serif" w:hAnsi="Times New Roman;serif"/>
          <w:b w:val="false"/>
          <w:color w:val="000000"/>
          <w:sz w:val="22"/>
        </w:rPr>
        <w:t>: the financial projections for the Company and its Subsidiaries delivered to the Arrangers on May 15, 2025.</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Properties</w:t>
      </w:r>
      <w:r>
        <w:rPr>
          <w:color w:val="000000"/>
        </w:rPr>
        <w:t>”</w:t>
      </w:r>
      <w:r>
        <w:rPr>
          <w:rFonts w:ascii="Times New Roman;serif" w:hAnsi="Times New Roman;serif"/>
          <w:b w:val="false"/>
          <w:color w:val="000000"/>
          <w:sz w:val="22"/>
        </w:rPr>
        <w:t xml:space="preserve">: as defined in Section 4.17(a).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PTE</w:t>
      </w:r>
      <w:r>
        <w:rPr>
          <w:color w:val="000000"/>
        </w:rPr>
        <w:t>”</w:t>
      </w:r>
      <w:r>
        <w:rPr>
          <w:rFonts w:ascii="Times New Roman;serif" w:hAnsi="Times New Roman;serif"/>
          <w:b w:val="false"/>
          <w:color w:val="000000"/>
          <w:sz w:val="22"/>
        </w:rPr>
        <w:t>: a prohibited transaction class exemption issued by the U.S. Department of Labor, as any such exemption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QFC</w:t>
      </w:r>
      <w:r>
        <w:rPr>
          <w:color w:val="000000"/>
        </w:rPr>
        <w:t>”</w:t>
      </w:r>
      <w:r>
        <w:rPr>
          <w:rFonts w:ascii="Times New Roman;serif" w:hAnsi="Times New Roman;serif"/>
          <w:b w:val="false"/>
          <w:color w:val="000000"/>
          <w:sz w:val="22"/>
        </w:rPr>
        <w:t>: as assigned to the term “qualified financial contract” in, and which shall be interpreted in accordance with, 12 U.S.C. § 5390(c)(8)(D).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QFC Credit Support</w:t>
      </w:r>
      <w:r>
        <w:rPr>
          <w:color w:val="000000"/>
        </w:rPr>
        <w:t>”</w:t>
      </w:r>
      <w:r>
        <w:rPr>
          <w:rFonts w:ascii="Times New Roman;serif" w:hAnsi="Times New Roman;serif"/>
          <w:b w:val="false"/>
          <w:color w:val="000000"/>
          <w:sz w:val="22"/>
        </w:rPr>
        <w:t>: as defined in Section 10.23.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Qualified Acquisition</w:t>
      </w:r>
      <w:r>
        <w:rPr>
          <w:color w:val="000000"/>
        </w:rPr>
        <w:t>”</w:t>
      </w:r>
      <w:r>
        <w:rPr>
          <w:rFonts w:ascii="Times New Roman;serif" w:hAnsi="Times New Roman;serif"/>
          <w:b w:val="false"/>
          <w:color w:val="000000"/>
          <w:sz w:val="22"/>
        </w:rPr>
        <w:t>: any acquisition permitted under this Agreement that (a) involves the payment of consideration (including Indebtedness assumed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by the Company and its Subsidiaries in excess of $50,000,000 and (b) is designated as a “Qualified Acquisition” by any Borrower in a written notice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Qualified Capital Stock</w:t>
      </w:r>
      <w:r>
        <w:rPr>
          <w:color w:val="000000"/>
        </w:rPr>
        <w:t>”</w:t>
      </w:r>
      <w:r>
        <w:rPr>
          <w:rFonts w:ascii="Times New Roman;serif" w:hAnsi="Times New Roman;serif"/>
          <w:b w:val="false"/>
          <w:color w:val="000000"/>
          <w:sz w:val="22"/>
        </w:rPr>
        <w:t>: Capital Stock of the Company in respect of which no scheduled, mandatory or required payments are due (other than payments in kind) prior to the Latest Maturity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Ratio Based Amount</w:t>
      </w:r>
      <w:r>
        <w:rPr>
          <w:color w:val="000000"/>
        </w:rPr>
        <w:t>”</w:t>
      </w:r>
      <w:r>
        <w:rPr>
          <w:rFonts w:ascii="Times New Roman;serif" w:hAnsi="Times New Roman;serif"/>
          <w:b w:val="false"/>
          <w:color w:val="000000"/>
          <w:sz w:val="22"/>
        </w:rPr>
        <w:t>: as defined in the definition of “Incremental Cap”.</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Ratio Debt</w:t>
      </w:r>
      <w:r>
        <w:rPr>
          <w:color w:val="000000"/>
        </w:rPr>
        <w:t>”</w:t>
      </w:r>
      <w:r>
        <w:rPr>
          <w:rFonts w:ascii="Times New Roman;serif" w:hAnsi="Times New Roman;serif"/>
          <w:b w:val="false"/>
          <w:color w:val="000000"/>
          <w:sz w:val="22"/>
        </w:rPr>
        <w:t>: as defined in Section 7.2(i)(i).</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Reclassifiable Item</w:t>
      </w:r>
      <w:r>
        <w:rPr>
          <w:color w:val="000000"/>
        </w:rPr>
        <w:t>”</w:t>
      </w:r>
      <w:r>
        <w:rPr>
          <w:rFonts w:ascii="Times New Roman;serif" w:hAnsi="Times New Roman;serif"/>
          <w:b w:val="false"/>
          <w:color w:val="000000"/>
          <w:sz w:val="22"/>
        </w:rPr>
        <w:t>: as defined in Section 1.4(a).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Reference Time</w:t>
      </w:r>
      <w:r>
        <w:rPr>
          <w:color w:val="000000"/>
        </w:rPr>
        <w:t>”</w:t>
      </w:r>
      <w:r>
        <w:rPr>
          <w:rFonts w:ascii="Times New Roman;serif" w:hAnsi="Times New Roman;serif"/>
          <w:b w:val="false"/>
          <w:color w:val="000000"/>
          <w:sz w:val="22"/>
        </w:rPr>
        <w:t>: with respect to any setting of the then-current Benchmark means (1) if such Benchmark is the Term SOFR Rate, 5:00 a.m. (Chicago time) on the day that is two U.S. Government Securities Business Days preceding the date of such setting, (2) if, following a Benchmark Transition Event and a Benchmark Replacement Date with respect to the Term SOFR Rate, such Benchmark is Daily Simple SOFR, then four U.S. Government Securities Business Days prior to such setting, or (3) if such Benchmark is none of the Term SOFR Rate or Daily Simple SOFR, the time determined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Refinanced Debt</w:t>
      </w:r>
      <w:r>
        <w:rPr>
          <w:color w:val="000000"/>
        </w:rPr>
        <w:t>”</w:t>
      </w:r>
      <w:r>
        <w:rPr>
          <w:rFonts w:ascii="Times New Roman;serif" w:hAnsi="Times New Roman;serif"/>
          <w:b w:val="false"/>
          <w:color w:val="000000"/>
          <w:sz w:val="22"/>
        </w:rPr>
        <w:t>: as defined in the definition of “Permitted Other Debt Conditions”.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Refinanced Indebtedness</w:t>
      </w:r>
      <w:r>
        <w:rPr>
          <w:color w:val="000000"/>
        </w:rPr>
        <w:t>”</w:t>
      </w:r>
      <w:r>
        <w:rPr>
          <w:rFonts w:ascii="Times New Roman;serif" w:hAnsi="Times New Roman;serif"/>
          <w:b w:val="false"/>
          <w:color w:val="000000"/>
          <w:sz w:val="22"/>
        </w:rPr>
        <w:t>: as defined in the definition of “Permitted Refinancing”.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Refinancing Amendment</w:t>
      </w:r>
      <w:r>
        <w:rPr>
          <w:color w:val="000000"/>
        </w:rPr>
        <w:t xml:space="preserve">” </w:t>
      </w:r>
      <w:r>
        <w:rPr>
          <w:rFonts w:ascii="Times New Roman;serif" w:hAnsi="Times New Roman;serif"/>
          <w:b w:val="false"/>
          <w:color w:val="000000"/>
          <w:sz w:val="22"/>
        </w:rPr>
        <w:t>a Refinancing Revolving Amendment or a Refinancing Term Amendment, as the context requires.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Refinancing Series</w:t>
      </w:r>
      <w:r>
        <w:rPr>
          <w:color w:val="000000"/>
        </w:rPr>
        <w:t>”</w:t>
      </w:r>
      <w:r>
        <w:rPr>
          <w:rFonts w:ascii="Times New Roman;serif" w:hAnsi="Times New Roman;serif"/>
          <w:b w:val="false"/>
          <w:color w:val="000000"/>
          <w:sz w:val="22"/>
        </w:rPr>
        <w:t>: Refinancing Term Loans or Refinancing Term Commitments that are established pursuant to the same Refinancing Term Amendment (or any subsequent Refinancing Term Amendment to the extent such Refinancing Term Amendment expressly provides that the Refinancing Term Loans or Refinancing Term Commitments provided for therein are intended to be a part of any previously established Refinancing Series) and that provide for the same All-in Yield and, in the case of Refinancing Term Loans or Refinancing Term Commitments, amortization schedule.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Refinancing Revolving Amendment</w:t>
      </w:r>
      <w:r>
        <w:rPr>
          <w:color w:val="000000"/>
        </w:rPr>
        <w:t>”</w:t>
      </w:r>
      <w:r>
        <w:rPr>
          <w:rFonts w:ascii="Times New Roman;serif" w:hAnsi="Times New Roman;serif"/>
          <w:b w:val="false"/>
          <w:color w:val="000000"/>
          <w:sz w:val="22"/>
        </w:rPr>
        <w:t>: an amendment to this Agreement executed by each of (a) each Borrower, (b) the Administrative Agent, (c) each Additional Refinancing Lender and (d) each Lender that agrees to provide any portion of Other Revolving Commitments in accordance with Section 2.28.</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Refinancing Term Amendment</w:t>
      </w:r>
      <w:r>
        <w:rPr>
          <w:color w:val="000000"/>
        </w:rPr>
        <w:t>”</w:t>
      </w:r>
      <w:r>
        <w:rPr>
          <w:rFonts w:ascii="Times New Roman;serif" w:hAnsi="Times New Roman;serif"/>
          <w:b w:val="false"/>
          <w:color w:val="000000"/>
          <w:sz w:val="22"/>
        </w:rPr>
        <w:t>: an amendment to this Agreement executed by each of (a) each Borrower, (b) the Administrative Agent, (c) each Additional Refinancing Lender and (d) each Lender that agrees to provide any portion of Refinancing Term Loans in accordance with Section 2.28.</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Refinancing Term Commitments</w:t>
      </w:r>
      <w:r>
        <w:rPr>
          <w:color w:val="000000"/>
        </w:rPr>
        <w:t>”</w:t>
      </w:r>
      <w:r>
        <w:rPr>
          <w:rFonts w:ascii="Times New Roman;serif" w:hAnsi="Times New Roman;serif"/>
          <w:b w:val="false"/>
          <w:color w:val="000000"/>
          <w:sz w:val="22"/>
        </w:rPr>
        <w:t>: one or more Classes of Term Commitments hereunder that are established to fund Refinancing Term Loans of the applicable Refinancing Series hereunder pursuant to a Refinancing Term Amendment.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Refinancing Term Loans</w:t>
      </w:r>
      <w:r>
        <w:rPr>
          <w:color w:val="000000"/>
        </w:rPr>
        <w:t>”</w:t>
      </w:r>
      <w:r>
        <w:rPr>
          <w:rFonts w:ascii="Times New Roman;serif" w:hAnsi="Times New Roman;serif"/>
          <w:b w:val="false"/>
          <w:color w:val="000000"/>
          <w:sz w:val="22"/>
        </w:rPr>
        <w:t>: one or more Classes of Term Loans hereunder that result from a Refinancing Term Amendment.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Register</w:t>
      </w:r>
      <w:r>
        <w:rPr>
          <w:color w:val="000000"/>
        </w:rPr>
        <w:t>”</w:t>
      </w:r>
      <w:r>
        <w:rPr>
          <w:rFonts w:ascii="Times New Roman;serif" w:hAnsi="Times New Roman;serif"/>
          <w:b w:val="false"/>
          <w:color w:val="000000"/>
          <w:sz w:val="22"/>
        </w:rPr>
        <w:t>: as defined in Section 10.6(d).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Registered Equivalent Notes</w:t>
      </w:r>
      <w:r>
        <w:rPr>
          <w:color w:val="000000"/>
        </w:rPr>
        <w:t>”</w:t>
      </w:r>
      <w:r>
        <w:rPr>
          <w:rFonts w:ascii="Times New Roman;serif" w:hAnsi="Times New Roman;serif"/>
          <w:b w:val="false"/>
          <w:color w:val="000000"/>
          <w:sz w:val="22"/>
        </w:rPr>
        <w:t>: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Regulation U</w:t>
      </w:r>
      <w:r>
        <w:rPr>
          <w:color w:val="000000"/>
        </w:rPr>
        <w:t>”</w:t>
      </w:r>
      <w:r>
        <w:rPr>
          <w:rFonts w:ascii="Times New Roman;serif" w:hAnsi="Times New Roman;serif"/>
          <w:b w:val="false"/>
          <w:color w:val="000000"/>
          <w:sz w:val="22"/>
        </w:rPr>
        <w:t>: Regulation U of the Board as in effect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Reimbursement Obligation</w:t>
      </w:r>
      <w:r>
        <w:rPr>
          <w:color w:val="000000"/>
        </w:rPr>
        <w:t>”</w:t>
      </w:r>
      <w:r>
        <w:rPr>
          <w:rFonts w:ascii="Times New Roman;serif" w:hAnsi="Times New Roman;serif"/>
          <w:b w:val="false"/>
          <w:color w:val="000000"/>
          <w:sz w:val="22"/>
        </w:rPr>
        <w:t>: the obligation of the applicable Borrower to reimburse an Issuing Bank pursuant to Section 2.13 for amounts drawn under Letters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Related Parties</w:t>
      </w:r>
      <w:r>
        <w:rPr>
          <w:color w:val="000000"/>
        </w:rPr>
        <w:t>”</w:t>
      </w:r>
      <w:r>
        <w:rPr>
          <w:rFonts w:ascii="Times New Roman;serif" w:hAnsi="Times New Roman;serif"/>
          <w:b w:val="false"/>
          <w:color w:val="000000"/>
          <w:sz w:val="22"/>
        </w:rPr>
        <w:t>: with respect to any specified Person, such Person’s Affiliates and the respective directors, officers, employees, agents and advisors of such Person and such Person’s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Relevant Governmental Body</w:t>
      </w:r>
      <w:r>
        <w:rPr>
          <w:color w:val="000000"/>
        </w:rPr>
        <w:t>”</w:t>
      </w:r>
      <w:r>
        <w:rPr>
          <w:rFonts w:ascii="Times New Roman;serif" w:hAnsi="Times New Roman;serif"/>
          <w:b w:val="false"/>
          <w:color w:val="000000"/>
          <w:sz w:val="22"/>
        </w:rPr>
        <w:t>: the Board or the NYFRB, or a committee officially endorsed or convened by the Board or the NYFRB, or, in each case,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Relevant Rate</w:t>
      </w:r>
      <w:r>
        <w:rPr>
          <w:color w:val="000000"/>
        </w:rPr>
        <w:t>”</w:t>
      </w:r>
      <w:r>
        <w:rPr>
          <w:rFonts w:ascii="Times New Roman;serif" w:hAnsi="Times New Roman;serif"/>
          <w:b w:val="false"/>
          <w:color w:val="000000"/>
          <w:sz w:val="22"/>
        </w:rPr>
        <w:t xml:space="preserve">: (i) with respect to any Term Benchmark Borrowing denominated in </w:t>
      </w:r>
      <w:r>
        <w:rPr>
          <w:rFonts w:ascii="Times New Roman;serif" w:hAnsi="Times New Roman;serif"/>
          <w:b w:val="false"/>
          <w:color w:val="0000FF"/>
          <w:sz w:val="22"/>
          <w:u w:val="single"/>
        </w:rPr>
        <w:t xml:space="preserve">U.S. </w:t>
      </w:r>
      <w:r>
        <w:rPr>
          <w:rFonts w:ascii="Times New Roman;serif" w:hAnsi="Times New Roman;serif"/>
          <w:b w:val="false"/>
          <w:color w:val="000000"/>
          <w:sz w:val="22"/>
        </w:rPr>
        <w:t>Dollars, the Term SOFR Rate or (ii) with respect to any RFR Borrowing, Daily Simple SOFR,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Relevant Screen Rate</w:t>
      </w:r>
      <w:r>
        <w:rPr>
          <w:color w:val="000000"/>
        </w:rPr>
        <w:t>”</w:t>
      </w:r>
      <w:r>
        <w:rPr>
          <w:rFonts w:ascii="Times New Roman;serif" w:hAnsi="Times New Roman;serif"/>
          <w:b w:val="false"/>
          <w:color w:val="000000"/>
          <w:sz w:val="22"/>
        </w:rPr>
        <w:t xml:space="preserve">: with respect to any Term Benchmark Borrowing denominated in </w:t>
      </w:r>
      <w:r>
        <w:rPr>
          <w:rFonts w:ascii="Times New Roman;serif" w:hAnsi="Times New Roman;serif"/>
          <w:b w:val="false"/>
          <w:color w:val="0000FF"/>
          <w:sz w:val="22"/>
          <w:u w:val="single"/>
        </w:rPr>
        <w:t xml:space="preserve">U.S. </w:t>
      </w:r>
      <w:r>
        <w:rPr>
          <w:rFonts w:ascii="Times New Roman;serif" w:hAnsi="Times New Roman;serif"/>
          <w:b w:val="false"/>
          <w:color w:val="000000"/>
          <w:sz w:val="22"/>
        </w:rPr>
        <w:t>Dollars, the Term SOFR Reference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Remitly</w:t>
      </w:r>
      <w:r>
        <w:rPr>
          <w:color w:val="000000"/>
        </w:rPr>
        <w:t>”</w:t>
      </w:r>
      <w:r>
        <w:rPr>
          <w:rFonts w:ascii="Times New Roman;serif" w:hAnsi="Times New Roman;serif"/>
          <w:b w:val="false"/>
          <w:color w:val="000000"/>
          <w:sz w:val="22"/>
        </w:rPr>
        <w:t>: as defined in the preamble 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Reportable Event</w:t>
      </w:r>
      <w:r>
        <w:rPr>
          <w:color w:val="000000"/>
        </w:rPr>
        <w:t>”</w:t>
      </w:r>
      <w:r>
        <w:rPr>
          <w:rFonts w:ascii="Times New Roman;serif" w:hAnsi="Times New Roman;serif"/>
          <w:b w:val="false"/>
          <w:color w:val="000000"/>
          <w:sz w:val="22"/>
        </w:rPr>
        <w:t>: any of the events set forth in Section 4043(c) of ERISA, other than those events as to which the thirty day notice period is waived.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Required Lenders</w:t>
      </w:r>
      <w:r>
        <w:rPr>
          <w:color w:val="000000"/>
        </w:rPr>
        <w:t>”</w:t>
      </w:r>
      <w:r>
        <w:rPr>
          <w:rFonts w:ascii="Times New Roman;serif" w:hAnsi="Times New Roman;serif"/>
          <w:b w:val="false"/>
          <w:color w:val="000000"/>
          <w:sz w:val="22"/>
        </w:rPr>
        <w:t>: at any time, the holders (other than Defaulting Lenders) of more than 50.0% of the sum of (i) the aggregate unpaid principal amount of the Term Loans (excluding Term Loans held by Defaulting Lenders) then outstanding and (ii) the Total Revolving Commitments (excluding Revolving Commitments of Defaulting Lenders) then in effect or, if the Revolving Commitments have been terminated, the Total Revolving Extensions of Credit (excluding Revolving Extensions of Credit held by Defaulting Lenders) then outstanding; provided that the “Required Lenders” shall not be fewer than two Lenders and, for purposes of this proviso, a Lender and its Affiliates shall be deemed to constitute one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Required Revolving Lenders</w:t>
      </w:r>
      <w:r>
        <w:rPr>
          <w:color w:val="000000"/>
        </w:rPr>
        <w:t>”</w:t>
      </w:r>
      <w:r>
        <w:rPr>
          <w:rFonts w:ascii="Times New Roman;serif" w:hAnsi="Times New Roman;serif"/>
          <w:b w:val="false"/>
          <w:color w:val="000000"/>
          <w:sz w:val="22"/>
        </w:rPr>
        <w:t xml:space="preserve">: at any time, the holders (other than Defaulting Lenders) of more than 50.0% of the Total Revolving Commitments (excluding Revolving Commitments of Defaulting Lenders) then in effect or, if the Revolving Commitments have been terminated, the Total Revolving Extensions of Credit (excluding Revolving Extensions of Credit held by Defaulting Lenders) then outstanding;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“Required Revolving Lenders” shall not be fewer than two Lenders and, for purposes of this proviso, a Lender and its Affiliates shall be deemed to constitute one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Requirement of Law</w:t>
      </w:r>
      <w:r>
        <w:rPr>
          <w:color w:val="000000"/>
        </w:rPr>
        <w:t>”</w:t>
      </w:r>
      <w:r>
        <w:rPr>
          <w:rFonts w:ascii="Times New Roman;serif" w:hAnsi="Times New Roman;serif"/>
          <w:b w:val="false"/>
          <w:color w:val="000000"/>
          <w:sz w:val="22"/>
        </w:rPr>
        <w:t>: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Resolution Authority</w:t>
      </w:r>
      <w:r>
        <w:rPr>
          <w:color w:val="000000"/>
        </w:rPr>
        <w:t>”</w:t>
      </w:r>
      <w:r>
        <w:rPr>
          <w:rFonts w:ascii="Times New Roman;serif" w:hAnsi="Times New Roman;serif"/>
          <w:b w:val="false"/>
          <w:color w:val="000000"/>
          <w:sz w:val="22"/>
        </w:rPr>
        <w:t>: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Responsible Officer</w:t>
      </w:r>
      <w:r>
        <w:rPr>
          <w:color w:val="000000"/>
        </w:rPr>
        <w:t>”</w:t>
      </w:r>
      <w:r>
        <w:rPr>
          <w:rFonts w:ascii="Times New Roman;serif" w:hAnsi="Times New Roman;serif"/>
          <w:b w:val="false"/>
          <w:color w:val="000000"/>
          <w:sz w:val="22"/>
        </w:rPr>
        <w:t>: the chief executive officer, president or chief financial officer of the Company or any other applicable Loan Party, but in any event, with respect to financial matters, the chief financial officer, Treasurer and Controller of the Company or such Loan Party, as the case may be.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Restricted Debt Payments</w:t>
      </w:r>
      <w:r>
        <w:rPr>
          <w:color w:val="000000"/>
        </w:rPr>
        <w:t>”</w:t>
      </w:r>
      <w:r>
        <w:rPr>
          <w:rFonts w:ascii="Times New Roman;serif" w:hAnsi="Times New Roman;serif"/>
          <w:b w:val="false"/>
          <w:color w:val="000000"/>
          <w:sz w:val="22"/>
        </w:rPr>
        <w:t>: as defined in Section 7.13.</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1"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Restricted Payments</w:t>
      </w:r>
      <w:r>
        <w:rPr>
          <w:color w:val="000000"/>
        </w:rPr>
        <w:t>”</w:t>
      </w:r>
      <w:r>
        <w:rPr>
          <w:rFonts w:ascii="Times New Roman;serif" w:hAnsi="Times New Roman;serif"/>
          <w:b w:val="false"/>
          <w:color w:val="000000"/>
          <w:sz w:val="22"/>
        </w:rPr>
        <w:t xml:space="preserve">: as defined in Section 7.6. </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color w:val="0000FF"/>
          <w:sz w:val="22"/>
          <w:u w:val="single"/>
        </w:rPr>
        <w:t>Revaluation Date</w:t>
      </w:r>
      <w:r>
        <w:rPr>
          <w:color w:val="0000FF"/>
          <w:u w:val="single"/>
        </w:rPr>
        <w:t>”</w:t>
      </w:r>
      <w:r>
        <w:rPr>
          <w:rFonts w:ascii="Times New Roman;serif" w:hAnsi="Times New Roman;serif"/>
          <w:b w:val="false"/>
          <w:color w:val="0000FF"/>
          <w:sz w:val="22"/>
          <w:u w:val="single"/>
        </w:rPr>
        <w:t>: with respect to any Letter of Credit denominated in an Alternative Currency, each of the following: (i) the date on which such Letter of Credit is issued, (ii) the first Business Day of each calendar month, (iii) the date of any amendment of such Letter of Credit that has the effect of increasing the face amount thereof and (iv) any additional date as the Administrative Agent may in its discretion determine.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Revolver Extension Request</w:t>
      </w:r>
      <w:r>
        <w:rPr>
          <w:color w:val="000000"/>
        </w:rPr>
        <w:t>”</w:t>
      </w:r>
      <w:r>
        <w:rPr>
          <w:rFonts w:ascii="Times New Roman;serif" w:hAnsi="Times New Roman;serif"/>
          <w:b w:val="false"/>
          <w:color w:val="000000"/>
          <w:sz w:val="22"/>
        </w:rPr>
        <w:t>: as defined in Section 2.24(a)(II).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Revolver Extension Series</w:t>
      </w:r>
      <w:r>
        <w:rPr>
          <w:color w:val="000000"/>
        </w:rPr>
        <w:t>”</w:t>
      </w:r>
      <w:r>
        <w:rPr>
          <w:rFonts w:ascii="Times New Roman;serif" w:hAnsi="Times New Roman;serif"/>
          <w:b w:val="false"/>
          <w:color w:val="000000"/>
          <w:sz w:val="22"/>
        </w:rPr>
        <w:t>: as defined in Section 2.24(a)(II).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Revolving Commitment</w:t>
      </w:r>
      <w:r>
        <w:rPr>
          <w:color w:val="000000"/>
        </w:rPr>
        <w:t>”</w:t>
      </w:r>
      <w:r>
        <w:rPr>
          <w:rFonts w:ascii="Times New Roman;serif" w:hAnsi="Times New Roman;serif"/>
          <w:b w:val="false"/>
          <w:color w:val="000000"/>
          <w:sz w:val="22"/>
        </w:rPr>
        <w:t>: as to any Revolving Lender, the obligation of such Revolving Lender, if any, to make Revolving Loans and participate in Swingline Loans and Letters of Credit in an aggregate principal and/or face amount not to exceed the amount set forth under the heading “Revolving Commitment” opposite such Lender’s name on Schedule 1.1A or in the Assignment and Assumption pursuant to which such Lender became a party hereto, as the same may be changed from time to time pursuant to the terms hereof. The initial amount of the Total Revolving Commitments on the Closing Date is $550,000,000.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Revolving Commitment Period</w:t>
      </w:r>
      <w:r>
        <w:rPr>
          <w:color w:val="000000"/>
        </w:rPr>
        <w:t>”</w:t>
      </w:r>
      <w:r>
        <w:rPr>
          <w:rFonts w:ascii="Times New Roman;serif" w:hAnsi="Times New Roman;serif"/>
          <w:b w:val="false"/>
          <w:color w:val="000000"/>
          <w:sz w:val="22"/>
        </w:rPr>
        <w:t xml:space="preserve">: the period from and including the Closing Date to the Revolving Termination Date.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Revolving Extensions of Credit</w:t>
      </w:r>
      <w:r>
        <w:rPr>
          <w:color w:val="000000"/>
        </w:rPr>
        <w:t>”</w:t>
      </w:r>
      <w:r>
        <w:rPr>
          <w:rFonts w:ascii="Times New Roman;serif" w:hAnsi="Times New Roman;serif"/>
          <w:b w:val="false"/>
          <w:color w:val="000000"/>
          <w:sz w:val="22"/>
        </w:rPr>
        <w:t xml:space="preserve">: as to any Revolving Lender at any time, an amount equal to the sum of (a) the aggregate principal amount of all Revolving Loans held by such Lender then outstanding, (b) such Lender’s LC Exposure and (c) such Lender’s Swingline Exposure.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Revolving Facility</w:t>
      </w:r>
      <w:r>
        <w:rPr>
          <w:color w:val="000000"/>
        </w:rPr>
        <w:t>”</w:t>
      </w:r>
      <w:r>
        <w:rPr>
          <w:rFonts w:ascii="Times New Roman;serif" w:hAnsi="Times New Roman;serif"/>
          <w:b w:val="false"/>
          <w:color w:val="000000"/>
          <w:sz w:val="22"/>
        </w:rPr>
        <w:t>: as defined in the definition of the term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Revolving Lender</w:t>
      </w:r>
      <w:r>
        <w:rPr>
          <w:color w:val="000000"/>
        </w:rPr>
        <w:t>”</w:t>
      </w:r>
      <w:r>
        <w:rPr>
          <w:rFonts w:ascii="Times New Roman;serif" w:hAnsi="Times New Roman;serif"/>
          <w:b w:val="false"/>
          <w:color w:val="000000"/>
          <w:sz w:val="22"/>
        </w:rPr>
        <w:t>: each Lender that has a Revolving Commitment or that holds Revolving Loans.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Revolving Loans</w:t>
      </w:r>
      <w:r>
        <w:rPr>
          <w:color w:val="000000"/>
        </w:rPr>
        <w:t>”</w:t>
      </w:r>
      <w:r>
        <w:rPr>
          <w:rFonts w:ascii="Times New Roman;serif" w:hAnsi="Times New Roman;serif"/>
          <w:b w:val="false"/>
          <w:color w:val="000000"/>
          <w:sz w:val="22"/>
        </w:rPr>
        <w:t>: as defined in Section 2.4(a).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Revolving Percentage</w:t>
      </w:r>
      <w:r>
        <w:rPr>
          <w:color w:val="000000"/>
        </w:rPr>
        <w:t>”</w:t>
      </w:r>
      <w:r>
        <w:rPr>
          <w:rFonts w:ascii="Times New Roman;serif" w:hAnsi="Times New Roman;serif"/>
          <w:b w:val="false"/>
          <w:color w:val="000000"/>
          <w:sz w:val="22"/>
        </w:rPr>
        <w:t>: as to any Revolving Lender at any time, the percentage which such Lender’s Revolving Commitment then constitutes of the Total Revolving Commitments (or, at any time after the Revolving Commitments shall have expired or terminated, the percentage which the aggregate principal amount of such Lender’s Revolving Extensions of Credit then outstanding constitutes of the aggregate principal amount of the Revolving Extensions of Credit then outstanding).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Revolving Termination Date</w:t>
      </w:r>
      <w:r>
        <w:rPr>
          <w:color w:val="000000"/>
        </w:rPr>
        <w:t>”</w:t>
      </w:r>
      <w:r>
        <w:rPr>
          <w:rFonts w:ascii="Times New Roman;serif" w:hAnsi="Times New Roman;serif"/>
          <w:b w:val="false"/>
          <w:color w:val="000000"/>
          <w:sz w:val="22"/>
        </w:rPr>
        <w:t>: the date which is the earlier to occur of (a) the fifth anniversary of the Closing Date and (b) the date on which the Revolving Commitments are terminated; provided, however, if such date is not a Business Day, the Revolving Termination Date shall be the next preceding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RFR Borrowing</w:t>
      </w:r>
      <w:r>
        <w:rPr>
          <w:color w:val="000000"/>
        </w:rPr>
        <w:t>”</w:t>
      </w:r>
      <w:r>
        <w:rPr>
          <w:rFonts w:ascii="Times New Roman;serif" w:hAnsi="Times New Roman;serif"/>
          <w:b w:val="false"/>
          <w:color w:val="000000"/>
          <w:sz w:val="22"/>
        </w:rPr>
        <w:t>: as to any Borrowing, the RFR Loans comprising such Borrowing.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RFR Loan</w:t>
      </w:r>
      <w:r>
        <w:rPr>
          <w:color w:val="000000"/>
        </w:rPr>
        <w:t>”</w:t>
      </w:r>
      <w:r>
        <w:rPr>
          <w:rFonts w:ascii="Times New Roman;serif" w:hAnsi="Times New Roman;serif"/>
          <w:b w:val="false"/>
          <w:color w:val="000000"/>
          <w:sz w:val="22"/>
        </w:rPr>
        <w:t xml:space="preserve">: a Loan that bears interest at a rate based on Daily Simple SOFR.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102" name="Frame1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Sanctioned Country</w:t>
      </w:r>
      <w:r>
        <w:rPr>
          <w:color w:val="000000"/>
        </w:rPr>
        <w:t>”</w:t>
      </w:r>
      <w:r>
        <w:rPr>
          <w:rFonts w:ascii="Times New Roman;serif" w:hAnsi="Times New Roman;serif"/>
          <w:b w:val="false"/>
          <w:color w:val="000000"/>
          <w:sz w:val="22"/>
        </w:rPr>
        <w:t>: at any time, a country, region or territory which is itself the subject or target of any Sanctions (at the time of this Agreement, the so - called Donetsk People’s Republic, the so- called Luhansk People’s Republic, the Crimea Region of Ukraine, the Zaporizhzhia and Kherson Regions of Ukraine, Cuba, Iran, North Korea and Syria).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Sanctioned Person</w:t>
      </w:r>
      <w:r>
        <w:rPr>
          <w:color w:val="000000"/>
        </w:rPr>
        <w:t>”</w:t>
      </w:r>
      <w:r>
        <w:rPr>
          <w:rFonts w:ascii="Times New Roman;serif" w:hAnsi="Times New Roman;serif"/>
          <w:b w:val="false"/>
          <w:color w:val="000000"/>
          <w:sz w:val="22"/>
        </w:rPr>
        <w:t>: at any time, any Person subject or target of any Sanctions, including (a) any Person listed in any Sanctions-related list of designated Persons maintained by the U.S. government, including by the Office of Foreign Assets Control of the U.S. Department of the Treasury or the U.S. Department of State, or by the United Nations Security Council, the European Union, any European Union member state, His Majesty’s Treasury of the United Kingdom or other relevant sanctions authority of any other jurisdiction in which any Guarantor or Foreign Subsidiary is organized, (b) any Person operating, organized or ordinarily resident in a Sanctioned Country, (c) any Person owned or controlled by any such Person or Persons described in the foregoing clauses (a) or (b) (as ownership and control may be defined and/or established in and/or by any applicable laws, rules, regulations, or orders for purposes of defining a Sanctioned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Sanctions</w:t>
      </w:r>
      <w:r>
        <w:rPr>
          <w:color w:val="000000"/>
        </w:rPr>
        <w:t>”</w:t>
      </w:r>
      <w:r>
        <w:rPr>
          <w:rFonts w:ascii="Times New Roman;serif" w:hAnsi="Times New Roman;serif"/>
          <w:b w:val="false"/>
          <w:color w:val="000000"/>
          <w:sz w:val="22"/>
        </w:rPr>
        <w:t>: all economic or financial sanctions, trade embargoes or similar restrictions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 of any other jurisdiction in which any Guarantor or Foreign Subsidiary is organized.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S&amp;P</w:t>
      </w:r>
      <w:r>
        <w:rPr>
          <w:color w:val="000000"/>
        </w:rPr>
        <w:t>”</w:t>
      </w:r>
      <w:r>
        <w:rPr>
          <w:rFonts w:ascii="Times New Roman;serif" w:hAnsi="Times New Roman;serif"/>
          <w:b w:val="false"/>
          <w:color w:val="000000"/>
          <w:sz w:val="22"/>
        </w:rPr>
        <w:t>: as defined in the definition of “Cash Equivalents”.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 the Securities and Exchange Commission, any successor thereto and any analogous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Secured Party</w:t>
      </w:r>
      <w:r>
        <w:rPr>
          <w:color w:val="000000"/>
        </w:rPr>
        <w:t>”</w:t>
      </w:r>
      <w:r>
        <w:rPr>
          <w:rFonts w:ascii="Times New Roman;serif" w:hAnsi="Times New Roman;serif"/>
          <w:b w:val="false"/>
          <w:color w:val="000000"/>
          <w:sz w:val="22"/>
        </w:rPr>
        <w:t>: as defined in the Collateral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Security Documents</w:t>
      </w:r>
      <w:r>
        <w:rPr>
          <w:color w:val="000000"/>
        </w:rPr>
        <w:t>”</w:t>
      </w:r>
      <w:r>
        <w:rPr>
          <w:rFonts w:ascii="Times New Roman;serif" w:hAnsi="Times New Roman;serif"/>
          <w:b w:val="false"/>
          <w:color w:val="000000"/>
          <w:sz w:val="22"/>
        </w:rPr>
        <w:t>: the collective reference to the Collateral Agreement, any Applicable Intercreditor Agreement, the Mortgages and all other security documents hereafter delivered to the Administrative Agent granting a Lien on any property of any Person to secure the obligations and liabilities of any Loan Party under any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Senior Secured Net Leverage Ratio</w:t>
      </w:r>
      <w:r>
        <w:rPr>
          <w:color w:val="000000"/>
        </w:rPr>
        <w:t>”</w:t>
      </w:r>
      <w:r>
        <w:rPr>
          <w:rFonts w:ascii="Times New Roman;serif" w:hAnsi="Times New Roman;serif"/>
          <w:b w:val="false"/>
          <w:color w:val="000000"/>
          <w:sz w:val="22"/>
        </w:rPr>
        <w:t>: with respect to any date of determination, the ratio of (x) Consolidated Total Debt that is secured by a Lien on the Collateral as of such date less Netted Cash as of such date to (y) Consolidated EBITDA of the Company and its Subsidiaries for the applicable Test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Shared Incremental Amount</w:t>
      </w:r>
      <w:r>
        <w:rPr>
          <w:color w:val="000000"/>
        </w:rPr>
        <w:t>”</w:t>
      </w:r>
      <w:r>
        <w:rPr>
          <w:rFonts w:ascii="Times New Roman;serif" w:hAnsi="Times New Roman;serif"/>
          <w:b w:val="false"/>
          <w:color w:val="000000"/>
          <w:sz w:val="22"/>
        </w:rPr>
        <w:t xml:space="preserve">: as of any date of determination, (a) the greater of (x) $177,000,000 and (y) 100% of Consolidated EBITDA for the most recently ended Test Period calculated on a Pro Forma Basis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(b) the aggregate principal amount of all Incremental Facilities, Incremental Equivalent Debt, Ratio Debt and/or Incurred Acquisition Debt incurred or issued in reliance on the Shared Incremental Amount outstanding on such date, in each case after giving effect to any reclassification of any such Indebtedness as having been incurred under the Ratio Based Amount or clauses (i)(i)(B) or (m)(i)(B) of Section 7.2,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Significant Subsidiary</w:t>
      </w:r>
      <w:r>
        <w:rPr>
          <w:color w:val="000000"/>
        </w:rPr>
        <w:t>”</w:t>
      </w:r>
      <w:r>
        <w:rPr>
          <w:rFonts w:ascii="Times New Roman;serif" w:hAnsi="Times New Roman;serif"/>
          <w:b w:val="false"/>
          <w:color w:val="000000"/>
          <w:sz w:val="22"/>
        </w:rPr>
        <w:t xml:space="preserve">: at any time any Subsidiary, which at such time would meet the definition of “significant subsidiary” in Regulation S-X promulgated by the SEC.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0655"/>
                <wp:effectExtent l="0" t="0" r="0" b="0"/>
                <wp:wrapNone/>
                <wp:docPr id="103" name="Frame1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Similar Business</w:t>
      </w:r>
      <w:r>
        <w:rPr>
          <w:color w:val="000000"/>
        </w:rPr>
        <w:t>”</w:t>
      </w:r>
      <w:r>
        <w:rPr>
          <w:rFonts w:ascii="Times New Roman;serif" w:hAnsi="Times New Roman;serif"/>
          <w:b w:val="false"/>
          <w:color w:val="000000"/>
          <w:sz w:val="22"/>
        </w:rPr>
        <w:t>: any Person the majority of the revenues of which are derived from a business that would be permitted by Section 7.12 if the references to “Subsidiaries” in Section 7.12 were deemed to refer to such Person.</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Singapore Dollar</w:t>
      </w:r>
      <w:r>
        <w:rPr>
          <w:color w:val="0000FF"/>
          <w:u w:val="single"/>
        </w:rPr>
        <w:t xml:space="preserve">” </w:t>
      </w:r>
      <w:r>
        <w:rPr>
          <w:rFonts w:ascii="Times New Roman;serif" w:hAnsi="Times New Roman;serif"/>
          <w:b w:val="false"/>
          <w:color w:val="0000FF"/>
          <w:sz w:val="22"/>
          <w:u w:val="single"/>
        </w:rPr>
        <w:t>means the lawful currency of Singapore.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Single Employer Plan</w:t>
      </w:r>
      <w:r>
        <w:rPr>
          <w:color w:val="000000"/>
        </w:rPr>
        <w:t>”</w:t>
      </w:r>
      <w:r>
        <w:rPr>
          <w:rFonts w:ascii="Times New Roman;serif" w:hAnsi="Times New Roman;serif"/>
          <w:b w:val="false"/>
          <w:color w:val="000000"/>
          <w:sz w:val="22"/>
        </w:rPr>
        <w:t>: any Plan that is not a Multiemployer Plan.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SOFR</w:t>
      </w:r>
      <w:r>
        <w:rPr>
          <w:color w:val="000000"/>
        </w:rPr>
        <w:t>”</w:t>
      </w:r>
      <w:r>
        <w:rPr>
          <w:rFonts w:ascii="Times New Roman;serif" w:hAnsi="Times New Roman;serif"/>
          <w:b w:val="false"/>
          <w:color w:val="000000"/>
          <w:sz w:val="22"/>
        </w:rPr>
        <w:t>: a rate equal to the secured overnight financing rate as administered by the SOFR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SOFR Administrator</w:t>
      </w:r>
      <w:r>
        <w:rPr>
          <w:color w:val="000000"/>
        </w:rPr>
        <w:t>”</w:t>
      </w:r>
      <w:r>
        <w:rPr>
          <w:rFonts w:ascii="Times New Roman;serif" w:hAnsi="Times New Roman;serif"/>
          <w:b w:val="false"/>
          <w:color w:val="000000"/>
          <w:sz w:val="22"/>
        </w:rPr>
        <w:t>: the NYFRB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SOFR Administrator’s Website</w:t>
      </w:r>
      <w:r>
        <w:rPr>
          <w:color w:val="000000"/>
        </w:rPr>
        <w:t>”</w:t>
      </w:r>
      <w:r>
        <w:rPr>
          <w:rFonts w:ascii="Times New Roman;serif" w:hAnsi="Times New Roman;serif"/>
          <w:b w:val="false"/>
          <w:color w:val="000000"/>
          <w:sz w:val="22"/>
        </w:rPr>
        <w:t>: the NYFRB’s website, currently at http://www.newyorkfed.org, or any successor source for the secured overnight financing rate identified as such by the SOFR Administrator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Solvent</w:t>
      </w:r>
      <w:r>
        <w:rPr>
          <w:color w:val="000000"/>
        </w:rPr>
        <w:t>”</w:t>
      </w:r>
      <w:r>
        <w:rPr>
          <w:rFonts w:ascii="Times New Roman;serif" w:hAnsi="Times New Roman;serif"/>
          <w:b w:val="false"/>
          <w:color w:val="000000"/>
          <w:sz w:val="22"/>
        </w:rPr>
        <w:t>: when used with respect to any Person, means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in the ordinary course of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Special Purpose Finance Subsidiary</w:t>
      </w:r>
      <w:r>
        <w:rPr>
          <w:color w:val="000000"/>
        </w:rPr>
        <w:t>”</w:t>
      </w:r>
      <w:r>
        <w:rPr>
          <w:rFonts w:ascii="Times New Roman;serif" w:hAnsi="Times New Roman;serif"/>
          <w:b w:val="false"/>
          <w:color w:val="000000"/>
          <w:sz w:val="22"/>
        </w:rPr>
        <w:t>: a special purpose entity organized under the laws of any state of the United States of America that is formed by the Company or any of its Subsidiaries for the purpose of incurring Indebtedness the proceeds of which will be placed in escrow, pending the use of such proceeds, to effect transactions that at the time such proceeds are released from escrow are permitted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Specified Event of Default</w:t>
      </w:r>
      <w:r>
        <w:rPr>
          <w:color w:val="000000"/>
        </w:rPr>
        <w:t>”</w:t>
      </w:r>
      <w:r>
        <w:rPr>
          <w:rFonts w:ascii="Times New Roman;serif" w:hAnsi="Times New Roman;serif"/>
          <w:b w:val="false"/>
          <w:color w:val="000000"/>
          <w:sz w:val="22"/>
        </w:rPr>
        <w:t>: any of the Events of Default described in clause (a) or (f) of Section 8.</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Specified Transaction</w:t>
      </w:r>
      <w:r>
        <w:rPr>
          <w:color w:val="000000"/>
        </w:rPr>
        <w:t>”</w:t>
      </w:r>
      <w:r>
        <w:rPr>
          <w:rFonts w:ascii="Times New Roman;serif" w:hAnsi="Times New Roman;serif"/>
          <w:b w:val="false"/>
          <w:color w:val="000000"/>
          <w:sz w:val="22"/>
        </w:rPr>
        <w:t>: with respect to any period, any merger, Investment, Disposition, incurrence, assumption or repayment of Indebtedness (including the incurrence of Incremental Term Facilities), Restricted Payment or designation of a Subsidiary as an Unrestricted Subsidiary or of an Unrestricted Subsidiary as a Subsidiary or other event that by the terms of this Agreement requires “compliance on a Pro Forma Basis” with a test or covenant hereunder or requires such test or covenant to be calculated on a “Pro Forma Basis”.</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Sterling</w:t>
      </w:r>
      <w:r>
        <w:rPr>
          <w:color w:val="0000FF"/>
          <w:u w:val="single"/>
        </w:rPr>
        <w:t xml:space="preserve">” </w:t>
      </w:r>
      <w:r>
        <w:rPr>
          <w:rFonts w:ascii="Times New Roman;serif" w:hAnsi="Times New Roman;serif"/>
          <w:b w:val="false"/>
          <w:color w:val="0000FF"/>
          <w:sz w:val="22"/>
          <w:u w:val="single"/>
        </w:rPr>
        <w:t>or “</w:t>
      </w:r>
      <w:r>
        <w:rPr>
          <w:rFonts w:ascii="Times New Roman;serif" w:hAnsi="Times New Roman;serif"/>
          <w:b/>
          <w:color w:val="0000FF"/>
          <w:sz w:val="22"/>
          <w:u w:val="single"/>
        </w:rPr>
        <w:t>£</w:t>
      </w:r>
      <w:r>
        <w:rPr>
          <w:color w:val="0000FF"/>
          <w:u w:val="single"/>
        </w:rPr>
        <w:t xml:space="preserve">” </w:t>
      </w:r>
      <w:r>
        <w:rPr>
          <w:rFonts w:ascii="Times New Roman;serif" w:hAnsi="Times New Roman;serif"/>
          <w:b w:val="false"/>
          <w:color w:val="0000FF"/>
          <w:sz w:val="22"/>
          <w:u w:val="single"/>
        </w:rPr>
        <w:t>means the lawful currency of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Subordinated Indebtedness</w:t>
      </w:r>
      <w:r>
        <w:rPr>
          <w:color w:val="000000"/>
        </w:rPr>
        <w:t>”</w:t>
      </w:r>
      <w:r>
        <w:rPr>
          <w:rFonts w:ascii="Times New Roman;serif" w:hAnsi="Times New Roman;serif"/>
          <w:b w:val="false"/>
          <w:color w:val="000000"/>
          <w:sz w:val="22"/>
        </w:rPr>
        <w:t>: of any Person, any Indebtedness of such Person that is (a) contractually subordinated in right of payment to any other Indebtedness of such Person or (b) secured by a Lien on any asset of such Person that is junior in priority to the Lien on any asset of such Person securing any other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104" name="Frame1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Subsidiary</w:t>
      </w:r>
      <w:r>
        <w:rPr>
          <w:color w:val="000000"/>
        </w:rPr>
        <w:t>”</w:t>
      </w:r>
      <w:r>
        <w:rPr>
          <w:rFonts w:ascii="Times New Roman;serif" w:hAnsi="Times New Roman;serif"/>
          <w:b w:val="false"/>
          <w:color w:val="000000"/>
          <w:sz w:val="22"/>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(i) all references to a “Subsidiary” or to “Subsidiaries” in this Agreement shall refer to a Subsidiary or Subsidiaries of the Company, including Remitly, and (ii) Unrestricted Subsidiaries shall be deemed not to be Subsidiaries of the Company for any and all purposes of this Agreement and the other Loan Documents. The term “Subsidiary” shall not include any Special Purpose Finance Subsidiary for purposes of Section 7.1 only for so long as the proceeds of the Indebtedness incurred by such Special Purpose Finance Subsidiary are held in escrow.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Subsidiary Guarantor</w:t>
      </w:r>
      <w:r>
        <w:rPr>
          <w:color w:val="000000"/>
        </w:rPr>
        <w:t>”</w:t>
      </w:r>
      <w:r>
        <w:rPr>
          <w:rFonts w:ascii="Times New Roman;serif" w:hAnsi="Times New Roman;serif"/>
          <w:b w:val="false"/>
          <w:color w:val="000000"/>
          <w:sz w:val="22"/>
        </w:rPr>
        <w:t xml:space="preserve">: each Subsidiary of the Company other than any Excluded Subsidiary.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Subsidiary Holding Company</w:t>
      </w:r>
      <w:r>
        <w:rPr>
          <w:color w:val="000000"/>
        </w:rPr>
        <w:t>”</w:t>
      </w:r>
      <w:r>
        <w:rPr>
          <w:rFonts w:ascii="Times New Roman;serif" w:hAnsi="Times New Roman;serif"/>
          <w:b w:val="false"/>
          <w:color w:val="000000"/>
          <w:sz w:val="22"/>
        </w:rPr>
        <w:t>: as defined in Section 7.4(b).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Supported QFC</w:t>
      </w:r>
      <w:r>
        <w:rPr>
          <w:color w:val="000000"/>
        </w:rPr>
        <w:t>”</w:t>
      </w:r>
      <w:r>
        <w:rPr>
          <w:rFonts w:ascii="Times New Roman;serif" w:hAnsi="Times New Roman;serif"/>
          <w:b w:val="false"/>
          <w:color w:val="000000"/>
          <w:sz w:val="22"/>
        </w:rPr>
        <w:t>: as defined in Section 10.23.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Swap</w:t>
      </w:r>
      <w:r>
        <w:rPr>
          <w:color w:val="000000"/>
        </w:rPr>
        <w:t>”</w:t>
      </w:r>
      <w:r>
        <w:rPr>
          <w:rFonts w:ascii="Times New Roman;serif" w:hAnsi="Times New Roman;serif"/>
          <w:b w:val="false"/>
          <w:color w:val="000000"/>
          <w:sz w:val="22"/>
        </w:rPr>
        <w:t>: any agreement, contract, or transaction that constitutes a “swap” within the meaning of section 1a(47) of the Commodity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Swap Agreement</w:t>
      </w:r>
      <w:r>
        <w:rPr>
          <w:color w:val="000000"/>
        </w:rPr>
        <w:t>”</w:t>
      </w:r>
      <w:r>
        <w:rPr>
          <w:rFonts w:ascii="Times New Roman;serif" w:hAnsi="Times New Roman;serif"/>
          <w:b w:val="false"/>
          <w:color w:val="000000"/>
          <w:sz w:val="22"/>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Company or any of its Subsidiaries shall be a “</w:t>
      </w:r>
      <w:r>
        <w:rPr>
          <w:rFonts w:ascii="Times New Roman;serif" w:hAnsi="Times New Roman;serif"/>
          <w:b/>
          <w:color w:val="000000"/>
          <w:sz w:val="22"/>
        </w:rPr>
        <w:t>Swap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Swap Obligation</w:t>
      </w:r>
      <w:r>
        <w:rPr>
          <w:color w:val="000000"/>
        </w:rPr>
        <w:t>”</w:t>
      </w:r>
      <w:r>
        <w:rPr>
          <w:rFonts w:ascii="Times New Roman;serif" w:hAnsi="Times New Roman;serif"/>
          <w:b w:val="false"/>
          <w:color w:val="000000"/>
          <w:sz w:val="22"/>
        </w:rPr>
        <w:t>: with respect to any person, any obligation to pay or perform under any Swap.</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Swingline Borrowing</w:t>
      </w:r>
      <w:r>
        <w:rPr>
          <w:color w:val="000000"/>
        </w:rPr>
        <w:t xml:space="preserve">” </w:t>
      </w:r>
      <w:r>
        <w:rPr>
          <w:rFonts w:ascii="Times New Roman;serif" w:hAnsi="Times New Roman;serif"/>
          <w:b w:val="false"/>
          <w:color w:val="000000"/>
          <w:sz w:val="22"/>
        </w:rPr>
        <w:t>means a borrowing of a Swingline Loan.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Swingline Commitment</w:t>
      </w:r>
      <w:r>
        <w:rPr>
          <w:color w:val="000000"/>
        </w:rPr>
        <w:t xml:space="preserve">” </w:t>
      </w:r>
      <w:r>
        <w:rPr>
          <w:rFonts w:ascii="Times New Roman;serif" w:hAnsi="Times New Roman;serif"/>
          <w:b w:val="false"/>
          <w:color w:val="000000"/>
          <w:sz w:val="22"/>
        </w:rPr>
        <w:t>means $250,000,000.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Swingline Exposure</w:t>
      </w:r>
      <w:r>
        <w:rPr>
          <w:color w:val="000000"/>
        </w:rPr>
        <w:t xml:space="preserve">” </w:t>
      </w:r>
      <w:r>
        <w:rPr>
          <w:rFonts w:ascii="Times New Roman;serif" w:hAnsi="Times New Roman;serif"/>
          <w:b w:val="false"/>
          <w:color w:val="000000"/>
          <w:sz w:val="22"/>
        </w:rPr>
        <w:t>means, at any time, the aggregate principal amount of all Swingline Loans outstanding at such time. The Swingline Exposure of any Lender at any time shall be the sum of (a) its Aggregate Exposure Percentage of the aggregate principal amount of all Swingline Loans outstanding at such time (excluding, in the case of any Lender that is the Swingline Lender, Swingline Loans made by it that are outstanding at such time to the extent that the other Lenders shall not have funded their participations in such Swingline Loans), adjusted to give effect to any reallocation under Section 2.27 of the Swingline Exposure of Defaulting Lenders in effect at such time, and (b) in the case of any Lender that is the Swingline Lender, the aggregate principal amount of all Swingline Loans made by such Lender outstanding at such time, less the amount of participations funded by the other Lenders in such Swingline Loans.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Swingline Lender</w:t>
      </w:r>
      <w:r>
        <w:rPr>
          <w:color w:val="000000"/>
        </w:rPr>
        <w:t>”</w:t>
      </w:r>
      <w:r>
        <w:rPr>
          <w:rFonts w:ascii="Times New Roman;serif" w:hAnsi="Times New Roman;serif"/>
          <w:b w:val="false"/>
          <w:color w:val="000000"/>
          <w:sz w:val="22"/>
        </w:rPr>
        <w:t>: JPMorgan Chase Bank, N.A. (or any of its designated branch offices or affiliates), in its capacity as a lender of Swingline Loans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105"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Swingline Loan</w:t>
      </w:r>
      <w:r>
        <w:rPr>
          <w:color w:val="000000"/>
        </w:rPr>
        <w:t xml:space="preserve">” </w:t>
      </w:r>
      <w:r>
        <w:rPr>
          <w:rFonts w:ascii="Times New Roman;serif" w:hAnsi="Times New Roman;serif"/>
          <w:b w:val="false"/>
          <w:color w:val="000000"/>
          <w:sz w:val="22"/>
        </w:rPr>
        <w:t>means a Loan made pursuant to Section 2.9.</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Taxes</w:t>
      </w:r>
      <w:r>
        <w:rPr>
          <w:color w:val="000000"/>
        </w:rPr>
        <w:t>”</w:t>
      </w:r>
      <w:r>
        <w:rPr>
          <w:rFonts w:ascii="Times New Roman;serif" w:hAnsi="Times New Roman;serif"/>
          <w:b w:val="false"/>
          <w:color w:val="000000"/>
          <w:sz w:val="22"/>
        </w:rPr>
        <w:t>: all present or future taxes, levies, imposts, duties, deductions, withholdings (including backup withholding), assessments, or other similar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Benchmark</w:t>
      </w:r>
      <w:r>
        <w:rPr>
          <w:color w:val="000000"/>
        </w:rPr>
        <w:t>”</w:t>
      </w:r>
      <w:r>
        <w:rPr>
          <w:rFonts w:ascii="Times New Roman;serif" w:hAnsi="Times New Roman;serif"/>
          <w:b w:val="false"/>
          <w:color w:val="000000"/>
          <w:sz w:val="22"/>
        </w:rPr>
        <w:t>: when used in reference to any Loan or Borrowing, whether such Loan, or the Loans comprising such Borrowing, are bearing interest at a rate determined by reference to the Term SOFR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Lenders</w:t>
      </w:r>
      <w:r>
        <w:rPr>
          <w:color w:val="000000"/>
        </w:rPr>
        <w:t>”</w:t>
      </w:r>
      <w:r>
        <w:rPr>
          <w:rFonts w:ascii="Times New Roman;serif" w:hAnsi="Times New Roman;serif"/>
          <w:b w:val="false"/>
          <w:color w:val="000000"/>
          <w:sz w:val="22"/>
        </w:rPr>
        <w:t xml:space="preserve">: any Lender which holds a Term Loan.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Loan Extension Request</w:t>
      </w:r>
      <w:r>
        <w:rPr>
          <w:color w:val="000000"/>
        </w:rPr>
        <w:t>”</w:t>
      </w:r>
      <w:r>
        <w:rPr>
          <w:rFonts w:ascii="Times New Roman;serif" w:hAnsi="Times New Roman;serif"/>
          <w:b w:val="false"/>
          <w:color w:val="000000"/>
          <w:sz w:val="22"/>
        </w:rPr>
        <w:t>: as defined in Section 2.24(a).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Loan Extension Series</w:t>
      </w:r>
      <w:r>
        <w:rPr>
          <w:color w:val="000000"/>
        </w:rPr>
        <w:t>”</w:t>
      </w:r>
      <w:r>
        <w:rPr>
          <w:rFonts w:ascii="Times New Roman;serif" w:hAnsi="Times New Roman;serif"/>
          <w:b w:val="false"/>
          <w:color w:val="000000"/>
          <w:sz w:val="22"/>
        </w:rPr>
        <w:t>: as defined in Section 2.24(a).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Loans</w:t>
      </w:r>
      <w:r>
        <w:rPr>
          <w:color w:val="000000"/>
        </w:rPr>
        <w:t>”</w:t>
      </w:r>
      <w:r>
        <w:rPr>
          <w:rFonts w:ascii="Times New Roman;serif" w:hAnsi="Times New Roman;serif"/>
          <w:b w:val="false"/>
          <w:color w:val="000000"/>
          <w:sz w:val="22"/>
        </w:rPr>
        <w:t>: any term loans made under an Incremental Term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SOFR Determination Day</w:t>
      </w:r>
      <w:r>
        <w:rPr>
          <w:color w:val="000000"/>
        </w:rPr>
        <w:t>”</w:t>
      </w:r>
      <w:r>
        <w:rPr>
          <w:rFonts w:ascii="Times New Roman;serif" w:hAnsi="Times New Roman;serif"/>
          <w:b w:val="false"/>
          <w:color w:val="000000"/>
          <w:sz w:val="22"/>
        </w:rPr>
        <w:t>: as defined in the definition of Term SOFR Reference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SOFR Rate</w:t>
      </w:r>
      <w:r>
        <w:rPr>
          <w:color w:val="000000"/>
        </w:rPr>
        <w:t>”</w:t>
      </w:r>
      <w:r>
        <w:rPr>
          <w:rFonts w:ascii="Times New Roman;serif" w:hAnsi="Times New Roman;serif"/>
          <w:b w:val="false"/>
          <w:color w:val="000000"/>
          <w:sz w:val="22"/>
        </w:rPr>
        <w:t>: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If the Term SOFR Rate as so determined would be less than the Floor, such rate shall be deemed to be the Floor for the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SOFR Reference Rate</w:t>
      </w:r>
      <w:r>
        <w:rPr>
          <w:color w:val="000000"/>
        </w:rPr>
        <w:t>”</w:t>
      </w:r>
      <w:r>
        <w:rPr>
          <w:rFonts w:ascii="Times New Roman;serif" w:hAnsi="Times New Roman;serif"/>
          <w:b w:val="false"/>
          <w:color w:val="000000"/>
          <w:sz w:val="22"/>
        </w:rPr>
        <w:t>: for any day and time (such day, the “</w:t>
      </w:r>
      <w:r>
        <w:rPr>
          <w:rFonts w:ascii="Times New Roman;serif" w:hAnsi="Times New Roman;serif"/>
          <w:b/>
          <w:color w:val="000000"/>
          <w:sz w:val="22"/>
        </w:rPr>
        <w:t>Term SOFR Determination Day</w:t>
      </w:r>
      <w:r>
        <w:rPr>
          <w:color w:val="000000"/>
        </w:rPr>
        <w:t>”</w:t>
      </w:r>
      <w:r>
        <w:rPr>
          <w:rFonts w:ascii="Times New Roman;serif" w:hAnsi="Times New Roman;serif"/>
          <w:b w:val="false"/>
          <w:color w:val="000000"/>
          <w:sz w:val="22"/>
        </w:rPr>
        <w:t>), with respect to any Term Benchmark Borrowing denominated in</w:t>
      </w:r>
      <w:r>
        <w:rPr>
          <w:color w:val="0000FF"/>
          <w:u w:val="single"/>
        </w:rPr>
        <w:t xml:space="preserve"> </w:t>
      </w:r>
      <w:r>
        <w:rPr>
          <w:rFonts w:ascii="Times New Roman;serif" w:hAnsi="Times New Roman;serif"/>
          <w:b w:val="false"/>
          <w:color w:val="0000FF"/>
          <w:sz w:val="22"/>
          <w:u w:val="single"/>
        </w:rPr>
        <w:t>U.S.</w:t>
      </w:r>
      <w:r>
        <w:rPr>
          <w:color w:val="000000"/>
        </w:rPr>
        <w:t xml:space="preserve"> </w:t>
      </w:r>
      <w:r>
        <w:rPr>
          <w:rFonts w:ascii="Times New Roman;serif" w:hAnsi="Times New Roman;serif"/>
          <w:b w:val="false"/>
          <w:color w:val="000000"/>
          <w:sz w:val="22"/>
        </w:rPr>
        <w:t xml:space="preserve">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Test Period</w:t>
      </w:r>
      <w:r>
        <w:rPr>
          <w:color w:val="000000"/>
        </w:rPr>
        <w:t>”</w:t>
      </w:r>
      <w:r>
        <w:rPr>
          <w:rFonts w:ascii="Times New Roman;serif" w:hAnsi="Times New Roman;serif"/>
          <w:b w:val="false"/>
          <w:color w:val="000000"/>
          <w:sz w:val="22"/>
        </w:rPr>
        <w:t>: for any date of determination, the most recent period of four consecutive fiscal quarters of the Company ended prior to such date of determination in respect of which financial statements have been delivered to the Administrative Agent pursuant to Section 6.1 (or, prior to the delivery of any financial statements pursuant to Section 6.1, the period of four consecutive full fiscal quarters most recently ended prior to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Testing Date</w:t>
      </w:r>
      <w:r>
        <w:rPr>
          <w:color w:val="000000"/>
        </w:rPr>
        <w:t xml:space="preserve">” </w:t>
      </w:r>
      <w:r>
        <w:rPr>
          <w:rFonts w:ascii="Times New Roman;serif" w:hAnsi="Times New Roman;serif"/>
          <w:b w:val="false"/>
          <w:color w:val="000000"/>
          <w:sz w:val="22"/>
        </w:rPr>
        <w:t>means any date on which the Total Net Leverage Ratio exceeds 3.50 to 1.00.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Title Company</w:t>
      </w:r>
      <w:r>
        <w:rPr>
          <w:color w:val="000000"/>
        </w:rPr>
        <w:t>”</w:t>
      </w:r>
      <w:r>
        <w:rPr>
          <w:rFonts w:ascii="Times New Roman;serif" w:hAnsi="Times New Roman;serif"/>
          <w:b w:val="false"/>
          <w:color w:val="000000"/>
          <w:sz w:val="22"/>
        </w:rPr>
        <w:t xml:space="preserve">: as defined in Section 6.11(b)(i).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106"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Title Policy</w:t>
      </w:r>
      <w:r>
        <w:rPr>
          <w:color w:val="000000"/>
        </w:rPr>
        <w:t>”</w:t>
      </w:r>
      <w:r>
        <w:rPr>
          <w:rFonts w:ascii="Times New Roman;serif" w:hAnsi="Times New Roman;serif"/>
          <w:b w:val="false"/>
          <w:color w:val="000000"/>
          <w:sz w:val="22"/>
        </w:rPr>
        <w:t>: as defined in Section 6.11(b)(i).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Total Market Cap</w:t>
      </w:r>
      <w:r>
        <w:rPr>
          <w:color w:val="000000"/>
        </w:rPr>
        <w:t>”</w:t>
      </w:r>
      <w:r>
        <w:rPr>
          <w:rFonts w:ascii="Times New Roman;serif" w:hAnsi="Times New Roman;serif"/>
          <w:b w:val="false"/>
          <w:color w:val="000000"/>
          <w:sz w:val="22"/>
        </w:rPr>
        <w:t xml:space="preserve">: as at any date of determination, the value of the Company’s common shares on the principal national securities exchange on which the Company’s common shares are registered and listed for trading at the close of trading on the preceding Business Day multiplied by the aggregate number of common shares outstanding as of the close of trading on such day.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Total Net Leverage Ratio</w:t>
      </w:r>
      <w:r>
        <w:rPr>
          <w:color w:val="000000"/>
        </w:rPr>
        <w:t>”</w:t>
      </w:r>
      <w:r>
        <w:rPr>
          <w:rFonts w:ascii="Times New Roman;serif" w:hAnsi="Times New Roman;serif"/>
          <w:b w:val="false"/>
          <w:color w:val="000000"/>
          <w:sz w:val="22"/>
        </w:rPr>
        <w:t xml:space="preserve">: with respect to any date of determination, the ratio of (x) Consolidated Total Debt as of such date less Netted Cash as of such date to (y) Consolidated EBITDA of the Company and its Subsidiaries for the applicable Test Period.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Total Net Leverage Ratio Step Up Period</w:t>
      </w:r>
      <w:r>
        <w:rPr>
          <w:color w:val="000000"/>
        </w:rPr>
        <w:t>”</w:t>
      </w:r>
      <w:r>
        <w:rPr>
          <w:rFonts w:ascii="Times New Roman;serif" w:hAnsi="Times New Roman;serif"/>
          <w:b w:val="false"/>
          <w:color w:val="000000"/>
          <w:sz w:val="22"/>
        </w:rPr>
        <w:t>: as defined in Section 7.1.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Total Revolving Commitments</w:t>
      </w:r>
      <w:r>
        <w:rPr>
          <w:color w:val="000000"/>
        </w:rPr>
        <w:t>”</w:t>
      </w:r>
      <w:r>
        <w:rPr>
          <w:rFonts w:ascii="Times New Roman;serif" w:hAnsi="Times New Roman;serif"/>
          <w:b w:val="false"/>
          <w:color w:val="000000"/>
          <w:sz w:val="22"/>
        </w:rPr>
        <w:t>: at any time, the aggregate amount of the Revolving Commitments then in effect. The Total Revolving Commitments may be increased or reduced from time to time pursuant to Sections 2.25 and 2.7, respectively.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Total Revolving Extensions of Credit</w:t>
      </w:r>
      <w:r>
        <w:rPr>
          <w:color w:val="000000"/>
        </w:rPr>
        <w:t>”</w:t>
      </w:r>
      <w:r>
        <w:rPr>
          <w:rFonts w:ascii="Times New Roman;serif" w:hAnsi="Times New Roman;serif"/>
          <w:b w:val="false"/>
          <w:color w:val="000000"/>
          <w:sz w:val="22"/>
        </w:rPr>
        <w:t>: at any time, the aggregate amount of the Revolving Extensions of Credit of the Revolving Lenders outstanding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Transferee</w:t>
      </w:r>
      <w:r>
        <w:rPr>
          <w:color w:val="000000"/>
        </w:rPr>
        <w:t>”</w:t>
      </w:r>
      <w:r>
        <w:rPr>
          <w:rFonts w:ascii="Times New Roman;serif" w:hAnsi="Times New Roman;serif"/>
          <w:b w:val="false"/>
          <w:color w:val="000000"/>
          <w:sz w:val="22"/>
        </w:rPr>
        <w:t>: any Assignee or Participant.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Type</w:t>
      </w:r>
      <w:r>
        <w:rPr>
          <w:color w:val="000000"/>
        </w:rPr>
        <w:t>”</w:t>
      </w:r>
      <w:r>
        <w:rPr>
          <w:rFonts w:ascii="Times New Roman;serif" w:hAnsi="Times New Roman;serif"/>
          <w:b w:val="false"/>
          <w:color w:val="000000"/>
          <w:sz w:val="22"/>
        </w:rPr>
        <w:t>, when used in reference to any Loan or Borrowing, refers to whether the rate of interest on such Loan, or on the Loans comprising such Borrowing, is determined by reference to the Term SOFR Rate or the Alternate Base Rate or, if applicable, Daily Simple SOFR.</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color w:val="0000FF"/>
          <w:sz w:val="22"/>
          <w:u w:val="single"/>
        </w:rPr>
        <w:t>United Arab Emirates Dirhams</w:t>
      </w:r>
      <w:r>
        <w:rPr>
          <w:color w:val="0000FF"/>
          <w:u w:val="single"/>
        </w:rPr>
        <w:t xml:space="preserve">” </w:t>
      </w:r>
      <w:r>
        <w:rPr>
          <w:rFonts w:ascii="Times New Roman;serif" w:hAnsi="Times New Roman;serif"/>
          <w:b w:val="false"/>
          <w:color w:val="0000FF"/>
          <w:sz w:val="22"/>
          <w:u w:val="single"/>
        </w:rPr>
        <w:t>means the lawful currency of the United Arab Emirates.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U.S. Dollars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w:t>
      </w:r>
      <w:r>
        <w:rPr>
          <w:color w:val="000000"/>
        </w:rPr>
        <w:t>”</w:t>
      </w:r>
      <w:r>
        <w:rPr>
          <w:rFonts w:ascii="Times New Roman;serif" w:hAnsi="Times New Roman;serif"/>
          <w:b w:val="false"/>
          <w:color w:val="000000"/>
          <w:sz w:val="22"/>
        </w:rPr>
        <w:t xml:space="preserve">: dollars in lawful currency of the United States.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U.S. Government Securities Business Day</w:t>
      </w:r>
      <w:r>
        <w:rPr>
          <w:color w:val="000000"/>
        </w:rPr>
        <w:t>”</w:t>
      </w:r>
      <w:r>
        <w:rPr>
          <w:rFonts w:ascii="Times New Roman;serif" w:hAnsi="Times New Roman;serif"/>
          <w:b w:val="false"/>
          <w:color w:val="000000"/>
          <w:sz w:val="22"/>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U.S. Person</w:t>
      </w:r>
      <w:r>
        <w:rPr>
          <w:color w:val="000000"/>
        </w:rPr>
        <w:t>”</w:t>
      </w:r>
      <w:r>
        <w:rPr>
          <w:rFonts w:ascii="Times New Roman;serif" w:hAnsi="Times New Roman;serif"/>
          <w:b w:val="false"/>
          <w:color w:val="000000"/>
          <w:sz w:val="22"/>
        </w:rPr>
        <w:t>: a “United States person” within the meaning of Section 7701(a)(30)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U.S. Special Resolution Regimes</w:t>
      </w:r>
      <w:r>
        <w:rPr>
          <w:color w:val="000000"/>
        </w:rPr>
        <w:t>”</w:t>
      </w:r>
      <w:r>
        <w:rPr>
          <w:rFonts w:ascii="Times New Roman;serif" w:hAnsi="Times New Roman;serif"/>
          <w:b w:val="false"/>
          <w:color w:val="000000"/>
          <w:sz w:val="22"/>
        </w:rPr>
        <w:t>: as defined in Section 10.23.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UK Financial Institutions</w:t>
      </w:r>
      <w:r>
        <w:rPr>
          <w:color w:val="000000"/>
        </w:rPr>
        <w:t>”</w:t>
      </w:r>
      <w:r>
        <w:rPr>
          <w:rFonts w:ascii="Times New Roman;serif" w:hAnsi="Times New Roman;serif"/>
          <w:b w:val="false"/>
          <w:color w:val="000000"/>
          <w:sz w:val="22"/>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UK Resolution Authority</w:t>
      </w:r>
      <w:r>
        <w:rPr>
          <w:color w:val="000000"/>
        </w:rPr>
        <w:t>”</w:t>
      </w:r>
      <w:r>
        <w:rPr>
          <w:rFonts w:ascii="Times New Roman;serif" w:hAnsi="Times New Roman;serif"/>
          <w:b w:val="false"/>
          <w:color w:val="000000"/>
          <w:sz w:val="22"/>
        </w:rPr>
        <w:t>: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Unadjusted Benchmark Replacement</w:t>
      </w:r>
      <w:r>
        <w:rPr>
          <w:color w:val="000000"/>
        </w:rPr>
        <w:t>”</w:t>
      </w:r>
      <w:r>
        <w:rPr>
          <w:rFonts w:ascii="Times New Roman;serif" w:hAnsi="Times New Roman;serif"/>
          <w:b w:val="false"/>
          <w:color w:val="000000"/>
          <w:sz w:val="22"/>
        </w:rPr>
        <w:t>: the applicable Benchmark Replacement excluding the related Benchmark Replacement Adjustment.</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United States</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U.S.</w:t>
      </w:r>
      <w:r>
        <w:rPr>
          <w:color w:val="000000"/>
        </w:rPr>
        <w:t>”</w:t>
      </w:r>
      <w:r>
        <w:rPr>
          <w:rFonts w:ascii="Times New Roman;serif" w:hAnsi="Times New Roman;serif"/>
          <w:b w:val="false"/>
          <w:color w:val="000000"/>
          <w:sz w:val="22"/>
        </w:rPr>
        <w:t>: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Unrestricted Subsidiary</w:t>
      </w:r>
      <w:r>
        <w:rPr>
          <w:color w:val="000000"/>
        </w:rPr>
        <w:t>”</w:t>
      </w:r>
      <w:r>
        <w:rPr>
          <w:rFonts w:ascii="Times New Roman;serif" w:hAnsi="Times New Roman;serif"/>
          <w:b w:val="false"/>
          <w:color w:val="000000"/>
          <w:sz w:val="22"/>
        </w:rPr>
        <w:t>: (a) any Subsidiary of the Company that is designated as an Unrestricted Subsidiary by the Company pursuant to Section 6.10 subsequent to the Closing Date and (b) any subsidiary of an Unrestricted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Weighted Average Life to Maturity</w:t>
      </w:r>
      <w:r>
        <w:rPr>
          <w:color w:val="000000"/>
        </w:rPr>
        <w:t>”</w:t>
      </w:r>
      <w:r>
        <w:rPr>
          <w:rFonts w:ascii="Times New Roman;serif" w:hAnsi="Times New Roman;serif"/>
          <w:b w:val="false"/>
          <w:color w:val="000000"/>
          <w:sz w:val="22"/>
        </w:rPr>
        <w:t>: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provided that, for purposes of determining the Weighted Average Life to Maturity of any Indebtedness that is being extended, replaced, refunded, refinanced, renewed or defeased, the effect of any amortization or prepayment prior to the date of the applicable extension, replacement, refunding, refinancing, renewal or defeasance shall be disregarded.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Wholly Owned Subsidiary</w:t>
      </w:r>
      <w:r>
        <w:rPr>
          <w:color w:val="000000"/>
        </w:rPr>
        <w:t>”</w:t>
      </w:r>
      <w:r>
        <w:rPr>
          <w:rFonts w:ascii="Times New Roman;serif" w:hAnsi="Times New Roman;serif"/>
          <w:b w:val="false"/>
          <w:color w:val="000000"/>
          <w:sz w:val="22"/>
        </w:rPr>
        <w:t>: as to any Person, any other Person all of the Capital Stock of which (other than directors’ qualifying shares required by law) is owned by such Person directly and/or through other Wholly Owned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Withholding Agent</w:t>
      </w:r>
      <w:r>
        <w:rPr>
          <w:color w:val="000000"/>
        </w:rPr>
        <w:t>”</w:t>
      </w:r>
      <w:r>
        <w:rPr>
          <w:rFonts w:ascii="Times New Roman;serif" w:hAnsi="Times New Roman;serif"/>
          <w:b w:val="false"/>
          <w:color w:val="000000"/>
          <w:sz w:val="22"/>
        </w:rPr>
        <w:t>: any Loan Party and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Write-Down and Conversion Powers</w:t>
      </w:r>
      <w:r>
        <w:rPr>
          <w:color w:val="000000"/>
        </w:rPr>
        <w:t>”</w:t>
      </w:r>
      <w:r>
        <w:rPr>
          <w:rFonts w:ascii="Times New Roman;serif" w:hAnsi="Times New Roman;serif"/>
          <w:b w:val="false"/>
          <w:color w:val="000000"/>
          <w:sz w:val="22"/>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1.2.</w:t>
      </w:r>
      <w:r>
        <w:rPr>
          <w:rFonts w:ascii="Times New Roman;serif" w:hAnsi="Times New Roman;serif"/>
          <w:b w:val="false"/>
          <w:color w:val="000000"/>
          <w:sz w:val="22"/>
          <w:u w:val="single"/>
        </w:rPr>
        <w:t>Other Definitional Provisions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Unless otherwise specified therein, all terms defined in this Agreement shall have the defined meanings when used in the other Loan Documents or any certificate or other document made or delivered pursuant hereto or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As used herein and in the other Loan Documents, and any certificate or other document made or delivered pursuant hereto or thereto, (i) accounting terms relating to the Company and its Subsidiaries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and (iv) the words “asset” and “property” shall be construed to have the same meaning and effect and to refer to any and all tangible and intangible assets and properties, including cash, Capital Stock, securities, revenues, accounts, leasehold interests and contract rights.</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8"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meanings given to terms defined herein shall be equally applicable to both the singular and plural forms of such terms.</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Notwithstanding any other provision contained herein,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Company or any subsidiary at “fair value,” as defined therein, (ii)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(iii) the application of Accounting Standards Codification 480, 815, 805 and 718 (to the extent these pronouncements under Accounting Standards Codification 718 result in recording an equity award as a liability on the consolidated balance sheet of the Company and its Subsidiaries in the circumstance where, but for the application of the pronouncements, such award would have been classified as equity).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Notwithstanding anything to the contrary herein, no</w:t>
      </w:r>
      <w:r>
        <w:rPr>
          <w:color w:val="0000FF"/>
          <w:u w:val="single"/>
        </w:rPr>
        <w:t xml:space="preserve"> </w:t>
      </w:r>
      <w:r>
        <w:rPr>
          <w:rFonts w:ascii="Times New Roman;serif" w:hAnsi="Times New Roman;serif"/>
          <w:b w:val="false"/>
          <w:color w:val="0000FF"/>
          <w:sz w:val="22"/>
          <w:u w:val="single"/>
        </w:rPr>
        <w:t>Default or Event of</w:t>
      </w:r>
      <w:r>
        <w:rPr>
          <w:color w:val="000000"/>
        </w:rPr>
        <w:t xml:space="preserve"> </w:t>
      </w:r>
      <w:r>
        <w:rPr>
          <w:rFonts w:ascii="Times New Roman;serif" w:hAnsi="Times New Roman;serif"/>
          <w:b w:val="false"/>
          <w:color w:val="000000"/>
          <w:sz w:val="22"/>
        </w:rPr>
        <w:t>Default shall arise as a result of any limitation set forth in U.S. Dollars in Section 7 (or in any defined term used therein) being exceeded solely as a result of changes in currency exchange rates from the currency exchange rates applicable at the time or times the related transaction was entered into or designated as a Cash Management Obligation provided that, for purposes of determining whether a new transaction or designation complies with any such limitation set forth in U.S. Dollars in Section 7 (or in any defined term used therein), the then current currency exchange rates shall be applied to all previous transactions or designations made in reliance on such limitation.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The headings, subheadings and table of contents used herein or in any other Loan Document are solely for convenience of reference and shall not constitute a part of any such document or affect the meaning, construction or effect of any provision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Notwithstanding anything to the contrary contained in the definition of “Finance Lease”, unless the Borrowers elect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serif" w:hAnsi="Times New Roman;serif"/>
          <w:b w:val="false"/>
          <w:color w:val="000000"/>
          <w:sz w:val="22"/>
          <w:u w:val="single"/>
        </w:rPr>
        <w:t>ASU</w:t>
      </w:r>
      <w:r>
        <w:rPr>
          <w:color w:val="000000"/>
        </w:rPr>
        <w:t>”</w:t>
      </w:r>
      <w:r>
        <w:rPr>
          <w:rFonts w:ascii="Times New Roman;serif" w:hAnsi="Times New Roman;serif"/>
          <w:b w:val="false"/>
          <w:color w:val="000000"/>
          <w:sz w:val="22"/>
        </w:rPr>
        <w:t xml:space="preserve">)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Consolidated Net Income) (whether or not such operating lease obligations were in effect on such date) notwithstanding the fact that such obligations are required in accordance with the ASU or any other change in accounting treatment or otherwise (on a prospective or retroactive basis or otherwise) to be treated as or to be recharacterized as financing or Capital Lease Obligations or otherwise accounted for as liabilities in financial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9"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Currency Conversion</w:t>
      </w:r>
      <w:r>
        <w:rPr>
          <w:rFonts w:ascii="Times New Roman;serif" w:hAnsi="Times New Roman;serif"/>
          <w:b w:val="false"/>
          <w:color w:val="0000FF"/>
          <w:sz w:val="22"/>
          <w:u w:val="single"/>
        </w:rPr>
        <w:t>; Currency Equivalents; Exchange Rates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more than one currency or currency unit are at the same time recognized by the central bank of any country as the lawful currency of that country, then (i) any reference in the Loan Documents to, and any obligations arising under the Loan Documents in, the currency of that country shall be translated into or paid in the currency or currency unit of that country designated by the Administrative Agent and (ii) </w:t>
      </w:r>
      <w:r>
        <w:rPr>
          <w:rFonts w:ascii="Times New Roman;serif" w:hAnsi="Times New Roman;serif"/>
          <w:b w:val="false"/>
          <w:color w:val="0000FF"/>
          <w:sz w:val="22"/>
          <w:u w:val="single"/>
        </w:rPr>
        <w:t xml:space="preserve">except as otherwise set forth in this Agreement, </w:t>
      </w:r>
      <w:r>
        <w:rPr>
          <w:rFonts w:ascii="Times New Roman;serif" w:hAnsi="Times New Roman;serif"/>
          <w:b w:val="false"/>
          <w:color w:val="000000"/>
          <w:sz w:val="22"/>
        </w:rPr>
        <w:t>any translation from one currency or currency unit to another shall be at the official rate of exchange recognized by the central bank for conversion of that currency or currency unit into the other, rounded up or down by the Administrative Agent as it deems appropriate in its reasonable discretion.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If a change in any currency of a country occurs, this Agreement shall be amended (and each party hereto agrees to enter into any supplemental agreement necessary to effect any such amendment) to the extent that the Administrative Agent determines such amendment to be necessary to reflect the change in currency and to put the Lenders and the Loan Parties in the same position, so far as possible, that they would have been in if no change in currency had occurred.</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FF"/>
          <w:sz w:val="22"/>
          <w:u w:val="single"/>
        </w:rPr>
        <w:t>The Administrative Agent or the Issuing Bank, as applicable, shall determine the Dollar Equivalent amounts of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Company hereunder or calculating financial covenants hereunder or except as otherwise provided herein (it being understood that in the event of a conflict with Section 1.3(a) above, this Section 1.3(c) shall control), the applicable amount of any Alternative Currency for purposes of the Loan Documents shall be such Dollar Equivalent amount as so determined by the Administrative Agent or the Issuing Bank,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FF"/>
          <w:sz w:val="22"/>
          <w:u w:val="single"/>
        </w:rPr>
        <w:t>Wherever in this Agreement in connection with the issuance, amendment or extension of a Letter of Credit, an amount, such as a required minimum or multiple amount, is expressed in U.S. Dollars, but such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FF"/>
          <w:sz w:val="22"/>
          <w:u w:val="single"/>
        </w:rPr>
        <w:t xml:space="preserve">Notwithstanding anything herein to the contrary and subject to Section 1.2(f), for purposes of any determination under Section 6, Section 7 (other than Section 7.1) or Section 8 or any determination under any other provision of this Agreement expressly requiring the use of a current exchange rate (other than as set forth in Section 1.3(c) and Section 1.3(d) above), all amounts incurred, outstanding or proposed to be incurred or outstanding in currencies other than U.S. Dollars shall be translated into the U.S. Dollar equivalent of such amounts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relevant transaction (rounded to the nearest currency unit, with 0.5 or more of a currency unit being rounded upward). For purposes of any determination of Indebtedness, amounts in currencies other than U.S. Dollars shall be translated into the U.S. Dollar equivalent at the currency exchange rates used in preparing the most recently delivered financial statements pursuant to Section 6.1(a) or (b) and shall give effect to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110"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FF"/>
          <w:sz w:val="22"/>
          <w:u w:val="single"/>
        </w:rPr>
      </w:pPr>
      <w:r>
        <w:rPr>
          <w:rFonts w:ascii="Times New Roman;serif" w:hAnsi="Times New Roman;serif"/>
          <w:b w:val="false"/>
          <w:color w:val="0000FF"/>
          <w:sz w:val="22"/>
          <w:u w:val="single"/>
        </w:rPr>
        <w:t>any Hedge Agreement permitted hereunder in respect of currency exchange risks relating to such Indebtedness in effect on the date of determination relating to any such currencies.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Terms Generally; Pro Forma Calculations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For purposes of determining compliance at any time with Sections 7.2, 7.3, 7.4, 7.5, 7.6, 7.8 and 7.13, in the event that any Indebtedness, Lien, Restricted Payment, Restricted Debt Payment, Investment, Disposition and/or Affiliate transactions or portion thereof, as applicable, at any time meets the criteria of more than one of the categories of transactions or items permitted pursuant to any clause of such Sections 7.2 (other than Section 7.2(a)), 7.3 (other than Section 7.3(j)), 7.4, 7.5, 7.6 and 7.13 (each of the foregoing, a “</w:t>
      </w:r>
      <w:r>
        <w:rPr>
          <w:rFonts w:ascii="Times New Roman;serif" w:hAnsi="Times New Roman;serif"/>
          <w:b/>
          <w:color w:val="000000"/>
          <w:sz w:val="22"/>
        </w:rPr>
        <w:t>Reclassifiable Item</w:t>
      </w:r>
      <w:r>
        <w:rPr>
          <w:color w:val="000000"/>
        </w:rPr>
        <w:t>”</w:t>
      </w:r>
      <w:r>
        <w:rPr>
          <w:rFonts w:ascii="Times New Roman;serif" w:hAnsi="Times New Roman;serif"/>
          <w:b w:val="false"/>
          <w:color w:val="000000"/>
          <w:sz w:val="22"/>
        </w:rPr>
        <w:t>), the Company, in its sole discretion, may, from time to time, divide, classify or reclassify such Reclassifiable Item (or portion thereof) under one or more clauses of each such Section and will only be required to include such Reclassifiable Item (or portion thereof) in any one category; provided that, upon delivery of any financial statements pursuant to Section 6.1 following the initial incurrence or making of any such Reclassifiable Item, if such Reclassifiable Item could, based on such financial statements, have been incurred or made in reliance on any “ratio-based” basket or exception, such Reclassifiable Item shall automatically be reclassified as having been incurred or made under the applicable provisions of such “ratio-based” basket or exception, as applicable (in each case, subject to any other applicable provision of such “ratio-based” basket or exception, as applicable). It is understood and agreed that any Indebtedness, Lien, Restricted Payment, Restricted Debt Payment, Investment, Disposition and/or Affiliate transaction need not be permitted solely by reference to one category of permitted Indebtedness, Lien, Restricted Payment, Restricted Debt Payment, Investment, Disposition and/or Affiliate transaction under Sections 7.2, 7.3, 7.4, 7.5, 7.6, 7.8 and 7.13, respectively, but may instead be permitted in part under any combination thereof or under any other available exception.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Notwithstanding anything to the contrary herein, but subject to Sections 1.4(c), (d) and (e) and the last paragraph of the definition of “Pro Forma Basis”, all financial ratios and tests (including the First Lien Net Leverage Ratio, the Senior Secured Net Leverage Ratio, the Total Net Leverage Ratio, the Interest Coverage Ratio and the amount of Consolidated Net Income and Consolidated EBITDA contained in this Agreement that are calculated with respect to any applicable Test Period during which any Specified Transaction occurs) shall be calculated with respect to such applicable Test Period and such Specified Transaction on a Pro Forma Basis. Further, if since the beginning of any such applicable Test Period and on or prior to the date of any required calculation of any financial ratio or test (x) any Specified Transaction has occurred or (y) any Person that subsequently became a Subsidiary or was merged, amalgamated or consolidated with or into the Company or any of its Subsidiaries since the beginning of such applicable Test Period has consummated any Specified Transaction, then, in each case, any applicable financial ratio or test shall be calculated on a Pro Forma Basis for such applicable Test Period as if such Specified Transaction had occurred at the beginning of the applicable Test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For purposes of determining the permissibility of any action, change, transaction or event that requires a calculation of any financial ratio or financial test (including any First Lien Net Leverage Ratio test, any Senior Secured Net Leverage Ratio test, any Total Net Leverage Ratio test and/or any Interest Coverage Ratio test) and/or the amount of Consolidated EBITDA or Consolidated Net Income, such financial ratio, financial test or amount shall, subject to clause (d) below, be calculated at the time such action is taken, such change is made, such transaction is consummated or such event occurs, as the case may be, and no Default or Event of Default shall be deemed to have occurred solely as a result of a change in such financial ratio, financial test or amount occurring after the time such action is taken, such change is made, such transaction is consummated or such event occurs,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1"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to the contrary herein (including in connection with any calculation made on a Pro Forma Basis), to the extent that the terms of this Agreement require</w:t>
      </w:r>
      <w:r>
        <w:rPr>
          <w:strike/>
          <w:color w:val="FF0000"/>
        </w:rPr>
        <w:t xml:space="preserve"> </w:t>
      </w:r>
      <w:r>
        <w:rPr>
          <w:rFonts w:ascii="Times New Roman;serif" w:hAnsi="Times New Roman;serif"/>
          <w:b w:val="false"/>
          <w:color w:val="000000"/>
          <w:sz w:val="22"/>
        </w:rPr>
        <w:t>(i) compliance with any financial ratio or financial test (including any First Lien Net Leverage Ratio test, any Senior Secured Net Leverage Ratio test, any Total Net Leverage Ratio test and/or any Interest Coverage Ratio test) and/or any cap expressed as a percentage of Consolidated Net Income or Consolidated EBITDA, (ii) accuracy of any representation or warranty and/or the absence of a Default or Event of Default (or any type of default or event of default), in each case other than for purposes of the making of any Revolving Extension of Credit or (iii) compliance with any basket or other condition, as a condition to (A) the consummation of any acquisition, consolidation, business combination or similar Investment, the consummation of which by the Company is not conditioned on the availability of, or obtaining, third party financing, and/or (B) the redemption, repurchase, defeasance, satisfaction and discharge or repayment of Indebtedness or any Restricted Payment, in each case, requiring irrevocable notice in advance of such redemption, repurchase, satisfaction and discharge or repayment (clauses (A) and (B), collectively, a “</w:t>
      </w:r>
      <w:r>
        <w:rPr>
          <w:rFonts w:ascii="Times New Roman;serif" w:hAnsi="Times New Roman;serif"/>
          <w:b/>
          <w:color w:val="000000"/>
          <w:sz w:val="22"/>
        </w:rPr>
        <w:t>Limited Condition Transaction</w:t>
      </w:r>
      <w:r>
        <w:rPr>
          <w:color w:val="000000"/>
        </w:rPr>
        <w:t>”</w:t>
      </w:r>
      <w:r>
        <w:rPr>
          <w:rFonts w:ascii="Times New Roman;serif" w:hAnsi="Times New Roman;serif"/>
          <w:b w:val="false"/>
          <w:color w:val="000000"/>
          <w:sz w:val="22"/>
        </w:rPr>
        <w:t>), the determination of whether the relevant condition is satisfied may be made, at the election of the Company, (A) in the case of any such acquisition, consolidation, business combination or similar Investment, at the time of (or on the basis of the most recent financial statements delivered pursuant to Section 6.1) either (x) the execution of a letter of intent or the definitive agreement with respect to such acquisition, consolidation, business combination, similar Investment (or, solely in connection with an acquisition, consolidation or business combination to which the United Kingdom City Code on Takeovers and Mergers applies, the date on which a “Rule 2.7 Announcement” of a firm intention to make an offer) or the establishment of a commitment with respect to such Indebtedness or (y) the consummation of such acquisition, consolidation, business combination or Investment and (B) in the case of any redemption, repurchase, defeasance, satisfaction and discharge or repayment of Indebtedness or Restricted Payment, in each case, at the time of (or on the basis of the most recent financial statements delivered pursuant to Section 6.1 at the time of) (x) delivery of irrevocable notice with respect to such redemption, repurchase, defeasance, satisfaction and discharge or repayment of Indebtedness or Restricted Payment or (y) the redemption, repurchase, defeasance, satisfaction and discharge or repayment of such Indebtedness or Restricted Payment, in each case, after giving effect on a Pro Forma Basis to the relevant acquisition, consolidation, business combination or similar Investment and/or Restricted Debt Payment, incurrence of Indebtedness or other transaction (including the intended use of proceeds of any Indebtedness to be incurred in connection therewith) and any other acquisition, consolidation, business combination or similar Investment, redemption, repurchase, defeasance, satisfaction and discharge or repayment of Indebtedness, incurrence of Indebtedness or other transaction that has not been consummated but with respect to which the Company has elected to test any applicable condition prior to the date of consummation in accordance with this Section 1.4(d), and no Default or Event of Default shall be deemed to have occurred solely as a result of an adverse change in such test or condition occurring after the time such election is made (but any subsequent improvement in the applicable ratio, test or amount may be utilized by the Company or any Subsidiary). For the avoidance of doubt, if the Company shall have elected the option set forth in clause (x) of any of the preceding clauses (1) or (2) in respect of any transaction, then (i) the Company shall be permitted to consummate such transaction even if any applicable test or condition shall cease to be satisfied subsequent to the Company’s election of such option and (ii) any further determination with respect to incurrence tests prior to the earlier of the consummation of such Limited Condition Transaction and the termination of such Limited Condition Transaction will require the Company to comply with such tests on a Pro Forma Basis assuming the applicable Limited Condition Transaction has been consummated and the applicable acquisition debt has been incurred. The provisions of this paragraph (d) shall also apply in respect of the incurrence of any Incremental Term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Notwithstanding anything to the contrary herein, unless the Company otherwise notifies the Administrative Agent, with respect to any amount incurred (including under Section 2.25 (including the definition of Incremental Cap used therein)) or transaction entered into (or consummated) in reliance on a provision of any covenant in this Agreement that does not require compliance with a financial ratio or financial test (including any First Lien Net Leverage Ratio test, any Senior Secured Net Leverage Ratio test, any Total Net Leverage Ratio test and/or any Interest Coverage Ratio test) (any such amount, including any amount drawn under the Revolving Facility or any other permitted revolving facility, and any cap expressed as a percentage of Consolidated EBITDA, a “</w:t>
      </w:r>
      <w:r>
        <w:rPr>
          <w:rFonts w:ascii="Times New Roman;serif" w:hAnsi="Times New Roman;serif"/>
          <w:b/>
          <w:color w:val="000000"/>
          <w:sz w:val="22"/>
        </w:rPr>
        <w:t>Fixed Amount</w:t>
      </w:r>
      <w:r>
        <w:rPr>
          <w:color w:val="000000"/>
        </w:rPr>
        <w:t>”</w:t>
      </w:r>
      <w:r>
        <w:rPr>
          <w:rFonts w:ascii="Times New Roman;serif" w:hAnsi="Times New Roman;serif"/>
          <w:b w:val="false"/>
          <w:color w:val="000000"/>
          <w:sz w:val="22"/>
        </w:rPr>
        <w:t>) substantially concurrently with any amount incurred or transaction entered into (or consummated) in reliance on a provision of such covenant that requires compliance with a financial ratio or financial test (including any First Lien Net Leverage Ratio test, any Senior Secured Net Leverage Ratio test, any Total Net Leverage Ratio test and/or any Interest Coverage Ratio test) (any such amount, an “</w:t>
      </w:r>
      <w:r>
        <w:rPr>
          <w:rFonts w:ascii="Times New Roman;serif" w:hAnsi="Times New Roman;serif"/>
          <w:b/>
          <w:color w:val="000000"/>
          <w:sz w:val="22"/>
        </w:rPr>
        <w:t>Incurrence-Based Amount</w:t>
      </w:r>
      <w:r>
        <w:rPr>
          <w:color w:val="000000"/>
        </w:rPr>
        <w:t>”</w:t>
      </w:r>
      <w:r>
        <w:rPr>
          <w:rFonts w:ascii="Times New Roman;serif" w:hAnsi="Times New Roman;serif"/>
          <w:b w:val="false"/>
          <w:color w:val="000000"/>
          <w:sz w:val="22"/>
        </w:rPr>
        <w:t>), it is understood and agreed that, solely for purposes of such covenant, (i) the incurrence of such Incurrence-Based Amount shall be calculated first without giving effect to such Fixed Amount but giving full pro forma effect to the use of proceeds of such Fixed Amount and the related transactions and (ii) the incurrence of such Fixed Amount shall be calculated thereafter. Unless the Company elects otherwise, the Company shall be deemed to have used amounts under an Incurrence-Based Amount under any covenant then available to the Company prior to utilization of any amount under a Fixed Amount under such covenant then available to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principal amount of any non-interest bearing Indebtedness or other discount security constituting Indebtedness at any date shall be the principal amount thereof that would be shown on a balance sheet of the Company dated such date prepared in accordance with GAAP.</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The increase in any amount of Indebtedness or any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shall be deemed to be permitted Indebtedness for purposes of Section 7.2 and will be deemed not to be the granting of a Lien for purposes of Section 7.3.</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For purposes of determining compliance with Section 7.2 or Section 7.3, if any Indebtedness or Lien is incurred in reliance on a basket measured by reference to a percentage of Consolidated EBITDA, and any refinancing or replacement thereof would cause the percentage of Consolidated EBITDA to be exceeded if calculated based on the Consolidated EBITDA on the date of such refinancing or replacement, such percentage of Consolidated EBITDA will be deemed not to be exceeded so long as the principal amount of such refinancing or replacement Indebtedness or other obligation does not exceed an amount sufficient to repay the principal amount of such Indebtedness or other obligation being refinanced or replaced, except by an amount equal to (x) 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under Section 7.2 and, to the extent secured by a Lien, Section 7.3 (and, in each case, the applicable clause of Section 7.2 and Section 7.3 shall be deemed to be utilized by the amount so incurred).</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For the avoidance of doubt, for purposes of determining compliance with Section 7.2(f), (g), (i), (k) and (m) and any other comparable provision of Section 7.2, a Permitted Refinancing in respect of Indebtedness incurred pursuant to a U.S. Dollar-denominated or Consolidated EBITDA-governed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3"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basket shall not increase capacity to incur Indebtedness under such U.S. Dollar-denominated or EBITDA-governed basket, and such U.S. Dollar-denominated or EBITDA-governed basket shall be deemed to continue to be utilized by the amount of the original Indebtedness incurred unless and until the Indebtedness incurred to effect such Permitted Refinancing is no longer outstanding.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Any financial ratios required to be maintained by the Company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For all purposes under the Loan Documents, in connection with any division or plan of division under Delaware law: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(or, if such subsequent Person ceases to be a Subsidiary of the original Person, disposed of) on the first date of its existence by the holders of its Capital Stock at such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Upon the consummation of any Holding Company Reorganization, the second reference to the “Company” in the first paragraph of Section 7 shall be deemed a reference to the Holding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Classification of Loans and Borrowings</w:t>
      </w:r>
      <w:r>
        <w:rPr>
          <w:rFonts w:ascii="Times New Roman;serif" w:hAnsi="Times New Roman;serif"/>
          <w:b w:val="false"/>
          <w:color w:val="000000"/>
          <w:sz w:val="22"/>
        </w:rPr>
        <w:t>. For purposes of this Agreement, Loans may be classified and referred to by Class (</w:t>
      </w:r>
      <w:r>
        <w:rPr>
          <w:rFonts w:ascii="Times New Roman;serif" w:hAnsi="Times New Roman;serif"/>
          <w:b w:val="false"/>
          <w:i/>
          <w:color w:val="000000"/>
          <w:sz w:val="22"/>
        </w:rPr>
        <w:t>e.g.</w:t>
      </w:r>
      <w:r>
        <w:rPr>
          <w:rFonts w:ascii="Times New Roman;serif" w:hAnsi="Times New Roman;serif"/>
          <w:b w:val="false"/>
          <w:color w:val="000000"/>
          <w:sz w:val="22"/>
        </w:rPr>
        <w:t>, a “Term Loan”) or by Type (</w:t>
      </w:r>
      <w:r>
        <w:rPr>
          <w:rFonts w:ascii="Times New Roman;serif" w:hAnsi="Times New Roman;serif"/>
          <w:b w:val="false"/>
          <w:i/>
          <w:color w:val="000000"/>
          <w:sz w:val="22"/>
        </w:rPr>
        <w:t>e.g.</w:t>
      </w:r>
      <w:r>
        <w:rPr>
          <w:rFonts w:ascii="Times New Roman;serif" w:hAnsi="Times New Roman;serif"/>
          <w:b w:val="false"/>
          <w:color w:val="000000"/>
          <w:sz w:val="22"/>
        </w:rPr>
        <w:t>, a “Term Benchmark Loan”) or by Class and Type (</w:t>
      </w:r>
      <w:r>
        <w:rPr>
          <w:rFonts w:ascii="Times New Roman;serif" w:hAnsi="Times New Roman;serif"/>
          <w:b w:val="false"/>
          <w:i/>
          <w:color w:val="000000"/>
          <w:sz w:val="22"/>
        </w:rPr>
        <w:t>e.g.</w:t>
      </w:r>
      <w:r>
        <w:rPr>
          <w:rFonts w:ascii="Times New Roman;serif" w:hAnsi="Times New Roman;serif"/>
          <w:b w:val="false"/>
          <w:color w:val="000000"/>
          <w:sz w:val="22"/>
        </w:rPr>
        <w:t>, a “Term Benchmark Term Loan”). Borrowings also may be classified and referred to by Class (</w:t>
      </w:r>
      <w:r>
        <w:rPr>
          <w:rFonts w:ascii="Times New Roman;serif" w:hAnsi="Times New Roman;serif"/>
          <w:b w:val="false"/>
          <w:i/>
          <w:color w:val="000000"/>
          <w:sz w:val="22"/>
        </w:rPr>
        <w:t>e.g.</w:t>
      </w:r>
      <w:r>
        <w:rPr>
          <w:rFonts w:ascii="Times New Roman;serif" w:hAnsi="Times New Roman;serif"/>
          <w:b w:val="false"/>
          <w:color w:val="000000"/>
          <w:sz w:val="22"/>
        </w:rPr>
        <w:t>, a “Term Loan Borrowing”) or by Type (</w:t>
      </w:r>
      <w:r>
        <w:rPr>
          <w:rFonts w:ascii="Times New Roman;serif" w:hAnsi="Times New Roman;serif"/>
          <w:b w:val="false"/>
          <w:i/>
          <w:color w:val="000000"/>
          <w:sz w:val="22"/>
        </w:rPr>
        <w:t>e.g.</w:t>
      </w:r>
      <w:r>
        <w:rPr>
          <w:rFonts w:ascii="Times New Roman;serif" w:hAnsi="Times New Roman;serif"/>
          <w:b w:val="false"/>
          <w:color w:val="000000"/>
          <w:sz w:val="22"/>
        </w:rPr>
        <w:t>, a “Term Benchmark Borrowing”) or by Class and Type (</w:t>
      </w:r>
      <w:r>
        <w:rPr>
          <w:rFonts w:ascii="Times New Roman;serif" w:hAnsi="Times New Roman;serif"/>
          <w:b w:val="false"/>
          <w:i/>
          <w:color w:val="000000"/>
          <w:sz w:val="22"/>
        </w:rPr>
        <w:t>e.g.</w:t>
      </w:r>
      <w:r>
        <w:rPr>
          <w:rFonts w:ascii="Times New Roman;serif" w:hAnsi="Times New Roman;serif"/>
          <w:b w:val="false"/>
          <w:color w:val="000000"/>
          <w:sz w:val="22"/>
        </w:rPr>
        <w:t>, a “Term Benchmark Term Loan Borrowing”).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Interest Rates; Benchmark Notification</w:t>
      </w:r>
      <w:r>
        <w:rPr>
          <w:rFonts w:ascii="Times New Roman;serif" w:hAnsi="Times New Roman;serif"/>
          <w:b w:val="false"/>
          <w:color w:val="000000"/>
          <w:sz w:val="22"/>
        </w:rPr>
        <w:t xml:space="preserve">. The interest rate on a Loan denominated in </w:t>
      </w:r>
      <w:r>
        <w:rPr>
          <w:rFonts w:ascii="Times New Roman;serif" w:hAnsi="Times New Roman;serif"/>
          <w:b w:val="false"/>
          <w:strike/>
          <w:color w:val="FF0000"/>
          <w:sz w:val="22"/>
        </w:rPr>
        <w:t>dollars</w:t>
      </w:r>
      <w:r>
        <w:rPr>
          <w:rFonts w:ascii="Times New Roman;serif" w:hAnsi="Times New Roman;serif"/>
          <w:b w:val="false"/>
          <w:color w:val="0000FF"/>
          <w:sz w:val="22"/>
          <w:u w:val="single"/>
        </w:rPr>
        <w:t>U.S. Dollars</w:t>
      </w:r>
      <w:r>
        <w:rPr>
          <w:color w:val="000000"/>
        </w:rPr>
        <w:t xml:space="preserve"> </w:t>
      </w:r>
      <w:r>
        <w:rPr>
          <w:rFonts w:ascii="Times New Roman;serif" w:hAnsi="Times New Roman;serif"/>
          <w:b w:val="false"/>
          <w:color w:val="000000"/>
          <w:sz w:val="22"/>
        </w:rPr>
        <w:t xml:space="preserve">may be derived from an interest rate benchmark that may be discontinued or is, or may in the future become, the subject of regulatory reform. Upon the occurrence of a Benchmark Transition Event, Section 2.16(b)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(whether in tort, contract or otherwise and whether at law or in equity), for any error or calculation of any such rate (or component thereof) provided by any such information source or service. </w:t>
      </w:r>
    </w:p>
    <w:p>
      <w:pPr>
        <w:pStyle w:val="TextBody"/>
        <w:bidi w:val="0"/>
        <w:spacing w:lineRule="auto" w:line="288" w:before="0" w:after="240"/>
        <w:ind w:left="0" w:right="0" w:firstLine="720"/>
        <w:jc w:val="left"/>
        <w:rPr/>
      </w:pPr>
      <w:r>
        <w:rPr>
          <w:rFonts w:ascii="Times New Roman;serif" w:hAnsi="Times New Roman;serif"/>
          <w:b w:val="false"/>
          <w:color w:val="000000"/>
          <w:sz w:val="22"/>
        </w:rPr>
        <w:t>1.7.</w:t>
      </w:r>
      <w:r>
        <w:rPr>
          <w:rFonts w:ascii="Times New Roman;serif" w:hAnsi="Times New Roman;serif"/>
          <w:b w:val="false"/>
          <w:color w:val="0000FF"/>
          <w:sz w:val="22"/>
          <w:u w:val="single"/>
        </w:rPr>
        <w:t>Letter of Credit Amounts. Unless otherwise specified herein, the amount of a Letter of Credit at any time shall be deemed to be the Dollar Equivalent of the stated amount of such Letter of Credit available to be drawn at such time; provided that with respect to any Letter of Credit that, by its terms,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w:t>
      </w:r>
    </w:p>
    <w:p>
      <w:pPr>
        <w:pStyle w:val="TextBody"/>
        <w:bidi w:val="0"/>
        <w:spacing w:lineRule="auto" w:line="288" w:before="0" w:after="240"/>
        <w:jc w:val="both"/>
        <w:rPr/>
      </w:pPr>
      <w:r>
        <w:rPr>
          <w:rFonts w:ascii="Times New Roman;serif" w:hAnsi="Times New Roman;serif"/>
          <w:b w:val="false"/>
          <w:color w:val="010000"/>
          <w:sz w:val="22"/>
        </w:rPr>
        <w:t>Section 2.</w:t>
      </w:r>
      <w:r>
        <w:rPr>
          <w:rFonts w:ascii="Times New Roman;serif" w:hAnsi="Times New Roman;serif"/>
          <w:b w:val="false"/>
          <w:color w:val="000000"/>
          <w:sz w:val="22"/>
        </w:rPr>
        <w:t xml:space="preserve">AMOUNT AND TERMS OF LOANS AND COMMITMENTS </w:t>
      </w:r>
    </w:p>
    <w:p>
      <w:pPr>
        <w:pStyle w:val="TextBody"/>
        <w:bidi w:val="0"/>
        <w:spacing w:lineRule="auto" w:line="288" w:before="0" w:after="240"/>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Revolving Commitments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the terms and conditions hereof, each Revolving Lender severally agrees to make revolving credit loans denominated in U.S. Dollars (“</w:t>
      </w:r>
      <w:r>
        <w:rPr>
          <w:rFonts w:ascii="Times New Roman;serif" w:hAnsi="Times New Roman;serif"/>
          <w:b/>
          <w:color w:val="000000"/>
          <w:sz w:val="22"/>
        </w:rPr>
        <w:t>Revolving Loans</w:t>
      </w:r>
      <w:r>
        <w:rPr>
          <w:color w:val="000000"/>
        </w:rPr>
        <w:t>”</w:t>
      </w:r>
      <w:r>
        <w:rPr>
          <w:rFonts w:ascii="Times New Roman;serif" w:hAnsi="Times New Roman;serif"/>
          <w:b w:val="false"/>
          <w:color w:val="000000"/>
          <w:sz w:val="22"/>
        </w:rPr>
        <w:t>) to any Borrower from time to time at such Borrower’s request during the Revolving Commitment Period in an aggregate principal amount at any one time outstanding that will not result in such Revolving Lender’s Revolving Extensions of Credit exceeding such Revolving Lender’s Revolving Commitment. During the Revolving Commitment Period each Borrower may use the Revolving Commitments by borrowing, prepaying the Revolving Loans in whole or in part, and reborrowing, all in accordance with the terms and conditions hereof. The Revolving Loans may from time to time be Term Benchmark Loans or ABR Loans, as determined by the applicable Borrower and notified to the Administrative Agent in accordance with Sections 2.5 and/or 2.12. Each Swingline Loan shall be an ABR Loan.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Borrower shall repay all outstanding Revolving Loans made to such Borrower on the Revolving Termination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The applicable Borrower shall repay the then unpaid principal amount of each Swingline Loan on the earlier of the Revolving Termination Date and the fifth Business Day after such Swingline Loan is made; provided that on each date that a Revolving Loan is made, the Borrowers shall repay all Swingline Loans then outstanding and the proceeds of any such Revolving Loan shall be applied by the Administrative Agent to repay any Swingline Loans outstanding. </w:t>
      </w:r>
    </w:p>
    <w:p>
      <w:pPr>
        <w:pStyle w:val="TextBody"/>
        <w:bidi w:val="0"/>
        <w:spacing w:lineRule="auto" w:line="288" w:before="0" w:after="240"/>
        <w:ind w:left="0" w:right="0" w:firstLine="720"/>
        <w:jc w:val="both"/>
        <w:rPr/>
      </w:pPr>
      <w:r>
        <w:rPr>
          <w:rFonts w:ascii="Times New Roman;serif" w:hAnsi="Times New Roman;serif"/>
          <w:b w:val="false"/>
          <w:color w:val="000000"/>
          <w:sz w:val="22"/>
        </w:rPr>
        <w:t>2.5.</w:t>
      </w:r>
      <w:r>
        <w:rPr>
          <w:rFonts w:ascii="Times New Roman;serif" w:hAnsi="Times New Roman;serif"/>
          <w:b w:val="false"/>
          <w:color w:val="000000"/>
          <w:sz w:val="22"/>
          <w:u w:val="single"/>
        </w:rPr>
        <w:t>Procedure for Revolving Loan Borrowing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Each Borrower may borrow Revolving Loans under the Revolving Commitments during the Revolving Commitment Period on any Business Day prior to the Revolving Termination Date; provided that such Borrower shall give the Administrative Agent irrevocable notice (which notice must be received by the Administrative Agent (a) prior to 12:00 Noon, New York City time, three U.S. Government Securities Business Days prior to the requested Borrowing Date, in the case of Term Benchmark Loans, or (b) prior to 12:00 Noon, New York City time</w:t>
      </w:r>
      <w:r>
        <w:rPr>
          <w:rFonts w:ascii="Times New Roman;serif" w:hAnsi="Times New Roman;serif"/>
          <w:b w:val="false"/>
          <w:strike/>
          <w:color w:val="FF0000"/>
          <w:sz w:val="22"/>
        </w:rPr>
        <w:t>, one Business Day prior to</w:t>
      </w:r>
      <w:r>
        <w:rPr>
          <w:color w:val="0000FF"/>
          <w:u w:val="single"/>
        </w:rPr>
        <w:t xml:space="preserve"> </w:t>
      </w:r>
      <w:r>
        <w:rPr>
          <w:rFonts w:ascii="Times New Roman;serif" w:hAnsi="Times New Roman;serif"/>
          <w:b w:val="false"/>
          <w:color w:val="0000FF"/>
          <w:sz w:val="22"/>
          <w:u w:val="single"/>
        </w:rPr>
        <w:t>on</w:t>
      </w:r>
      <w:r>
        <w:rPr>
          <w:color w:val="000000"/>
        </w:rPr>
        <w:t xml:space="preserve"> </w:t>
      </w:r>
      <w:r>
        <w:rPr>
          <w:rFonts w:ascii="Times New Roman;serif" w:hAnsi="Times New Roman;serif"/>
          <w:b w:val="false"/>
          <w:color w:val="000000"/>
          <w:sz w:val="22"/>
        </w:rPr>
        <w:t xml:space="preserve">the </w:t>
      </w:r>
      <w:r>
        <w:rPr>
          <w:rFonts w:ascii="Times New Roman;serif" w:hAnsi="Times New Roman;serif"/>
          <w:b w:val="false"/>
          <w:strike/>
          <w:color w:val="FF0000"/>
          <w:sz w:val="22"/>
        </w:rPr>
        <w:t>requested</w:t>
      </w:r>
      <w:r>
        <w:rPr>
          <w:rFonts w:ascii="Times New Roman;serif" w:hAnsi="Times New Roman;serif"/>
          <w:b w:val="false"/>
          <w:color w:val="0000FF"/>
          <w:sz w:val="22"/>
          <w:u w:val="single"/>
        </w:rPr>
        <w:t>day of the proposed</w:t>
      </w:r>
      <w:r>
        <w:rPr>
          <w:color w:val="000000"/>
        </w:rPr>
        <w:t xml:space="preserve"> </w:t>
      </w:r>
      <w:r>
        <w:rPr>
          <w:rFonts w:ascii="Times New Roman;serif" w:hAnsi="Times New Roman;serif"/>
          <w:b w:val="false"/>
          <w:color w:val="000000"/>
          <w:sz w:val="22"/>
        </w:rPr>
        <w:t>Borrowing</w:t>
      </w:r>
      <w:r>
        <w:rPr>
          <w:strike/>
          <w:color w:val="FF0000"/>
        </w:rPr>
        <w:t xml:space="preserve"> </w:t>
      </w:r>
      <w:r>
        <w:rPr>
          <w:rFonts w:ascii="Times New Roman;serif" w:hAnsi="Times New Roman;serif"/>
          <w:b w:val="false"/>
          <w:strike/>
          <w:color w:val="FF0000"/>
          <w:sz w:val="22"/>
        </w:rPr>
        <w:t>Date</w:t>
      </w:r>
      <w:r>
        <w:rPr>
          <w:rFonts w:ascii="Times New Roman;serif" w:hAnsi="Times New Roman;serif"/>
          <w:b w:val="false"/>
          <w:color w:val="000000"/>
          <w:sz w:val="22"/>
        </w:rPr>
        <w:t xml:space="preserve">, in the case of ABR Loans), specifying (i) the amount and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the Type of Loans to be borrowed, (ii) the requested Borrowing Date and (iii) in the case of Term Benchmark Loans, the initial Interest Period therefor. If any such Borrowing request requests a Term Benchmark Loan but does not specify an Interest Period, then the applicable Borrower shall be deemed to have selected an Interest Period of one month’s duration. Each such borrowing of Revolving Loans shall be in an amount equal to (x) in the case of ABR Loans, $1,000,000 or a whole multiple thereof (or, if the then aggregate Available Revolving Commitments are less than $1,000,000, such lesser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 ABR Borrowing may be in an aggregate amount that is required to finance the reimbursement of a LC Disbursement as contemplated by </w:t>
      </w:r>
      <w:r>
        <w:rPr>
          <w:rFonts w:ascii="Times New Roman;serif" w:hAnsi="Times New Roman;serif"/>
          <w:b w:val="false"/>
          <w:color w:val="000000"/>
          <w:sz w:val="22"/>
          <w:u w:val="single"/>
        </w:rPr>
        <w:t>Section 2.13(e)</w:t>
      </w:r>
      <w:r>
        <w:rPr>
          <w:color w:val="000000"/>
        </w:rPr>
        <w:t xml:space="preserve"> </w:t>
      </w:r>
      <w:r>
        <w:rPr>
          <w:rFonts w:ascii="Times New Roman;serif" w:hAnsi="Times New Roman;serif"/>
          <w:b w:val="false"/>
          <w:color w:val="000000"/>
          <w:sz w:val="22"/>
        </w:rPr>
        <w:t>and (y) in the case of Term Benchmark Loans, $1,000,000 or a whole multiple of $1,000,000 in excess thereof, respectively. Upon receipt of any such notice of borrowing under the Revolving Facility from any Borrower, the Administrative Agent shall promptly notify each Lender under the Revolving Facility thereof. In the case of a borrowing under the Revolving Facility, each Revolving Lender will make the amount of its Revolving Percentage of such borrowing of Revolving Loans available to the Administrative Agent for the account of the applicable Borrower at the Domestic Funding Office prior to 2:00 p.m., New York City time, on the Borrowing Date requested by the applicable Borrower in funds immediately available to the Administrative Agent. Such borrowing will then be made available to the applicable Borrower by the Administrative Agent crediting the account of such Borrower on the books of such office with the aggregate of the amounts made available to the Administrative Agent by the Revolving Lenders and in like funds as received by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Lender may, at its option, make any Loan available to any Borrower by causing any foreign or domestic branch or Affiliate of such Lender to make such Loan; provided that any exercise of such option shall not affect the obligation of such Borrower to repay such Loan in accordance with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2.6.</w:t>
      </w:r>
      <w:r>
        <w:rPr>
          <w:rFonts w:ascii="Times New Roman;serif" w:hAnsi="Times New Roman;serif"/>
          <w:b w:val="false"/>
          <w:color w:val="000000"/>
          <w:sz w:val="22"/>
          <w:u w:val="single"/>
        </w:rPr>
        <w:t>Commitment Fees</w:t>
      </w:r>
      <w:r>
        <w:rPr>
          <w:rFonts w:ascii="Times New Roman;serif" w:hAnsi="Times New Roman;serif"/>
          <w:b w:val="false"/>
          <w:color w:val="000000"/>
          <w:sz w:val="22"/>
        </w:rPr>
        <w:t>. The Borrowers agree to pay to the Administrative Agent for the account of each Revolving Lender a commitment fee for the period from and including the Closing Date to the last day of the Revolving Commitment Period, computed at the Commitment Fee Rate on the average daily Available Revolving Commitment of such Lender during the period for which payment is made, payable quarterly in arrears on the fifteenth Business Day of each January, April, July and October (with respect to the amount of such fee accrued to and including the last day of such March, June, September or December, respectively) and on the Revolving Termination Date, commencing on the first of such dates to occur after the Closing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2.7.</w:t>
      </w:r>
      <w:r>
        <w:rPr>
          <w:rFonts w:ascii="Times New Roman;serif" w:hAnsi="Times New Roman;serif"/>
          <w:b w:val="false"/>
          <w:color w:val="000000"/>
          <w:sz w:val="22"/>
          <w:u w:val="single"/>
        </w:rPr>
        <w:t>Termination or Reduction of Revolving Commitments</w:t>
      </w:r>
      <w:r>
        <w:rPr>
          <w:rFonts w:ascii="Times New Roman;serif" w:hAnsi="Times New Roman;serif"/>
          <w:b w:val="false"/>
          <w:color w:val="000000"/>
          <w:sz w:val="22"/>
        </w:rPr>
        <w:t xml:space="preserve">. The Company shall have the right, upon not less than three Business Days’ notice (or shorter notice period approved by the Administrative Agent) to the Administrative Agent, to terminate the Revolving Commitments or, from time to time, to reduce the amount of the Revolving Commitments; provided that no such termination or reduction of Revolving Commitments shall be permitted if, after giving effect thereto and to any prepayments of the Revolving Loans and Swingline Loans made on the effective date thereof, the Total Revolving Extensions of Credit would exceed the Total Revolving Commitments. Any such partial reduction shall be in an amount equal to $1,000,000, or a whole multiple thereof, and shall reduce permanently the Revolving Commitments then in effect. Each reduction of the Revolving Commitments shall be made ratably among the Revolving Lenders in accordance with their respective Revolving Commitments. Notwithstanding the foregoing, the Company may rescind or postpone any notice of termination of the Revolving Commitments if such termination would have resulted from a refinancing of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all or any portion of any Facility or Facilities, which refinancing shall not be consummated or otherwise shall be delayed.</w:t>
      </w:r>
    </w:p>
    <w:p>
      <w:pPr>
        <w:pStyle w:val="TextBody"/>
        <w:bidi w:val="0"/>
        <w:spacing w:lineRule="auto" w:line="288" w:before="0" w:after="240"/>
        <w:ind w:left="0" w:right="0" w:firstLine="720"/>
        <w:jc w:val="both"/>
        <w:rPr/>
      </w:pPr>
      <w:r>
        <w:rPr>
          <w:rFonts w:ascii="Times New Roman;serif" w:hAnsi="Times New Roman;serif"/>
          <w:b w:val="false"/>
          <w:color w:val="000000"/>
          <w:sz w:val="22"/>
        </w:rPr>
        <w:t>2.8.</w:t>
      </w:r>
      <w:r>
        <w:rPr>
          <w:rFonts w:ascii="Times New Roman;serif" w:hAnsi="Times New Roman;serif"/>
          <w:b w:val="false"/>
          <w:color w:val="000000"/>
          <w:sz w:val="22"/>
          <w:u w:val="single"/>
        </w:rPr>
        <w:t>Fees, etc.</w:t>
      </w:r>
      <w:r>
        <w:rPr>
          <w:rFonts w:ascii="Times New Roman;serif" w:hAnsi="Times New Roman;serif"/>
          <w:b w:val="false"/>
          <w:color w:val="000000"/>
          <w:sz w:val="22"/>
        </w:rPr>
        <w:t>. The Borrowers agree to pay to the Administrative Agent the fees in the amounts and on the dates previously agreed to in writing by any Borrower and the Administrative Agent, including pursuant to the Fee Letter.</w:t>
      </w:r>
    </w:p>
    <w:p>
      <w:pPr>
        <w:pStyle w:val="TextBody"/>
        <w:bidi w:val="0"/>
        <w:spacing w:lineRule="auto" w:line="288" w:before="0" w:after="240"/>
        <w:ind w:left="0" w:right="0" w:firstLine="720"/>
        <w:jc w:val="left"/>
        <w:rPr/>
      </w:pPr>
      <w:r>
        <w:rPr>
          <w:rFonts w:ascii="Times New Roman;serif" w:hAnsi="Times New Roman;serif"/>
          <w:b w:val="false"/>
          <w:color w:val="000000"/>
          <w:sz w:val="22"/>
        </w:rPr>
        <w:t>2.9.</w:t>
      </w:r>
      <w:r>
        <w:rPr>
          <w:rFonts w:ascii="Times New Roman;serif" w:hAnsi="Times New Roman;serif"/>
          <w:b w:val="false"/>
          <w:color w:val="000000"/>
          <w:sz w:val="22"/>
          <w:u w:val="single"/>
        </w:rPr>
        <w:t>Swingline Loans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the terms and conditions set forth herein, from time to time during the Revolving Commitment Period, the Swingline Lender agrees to make Swingline Loans to the Borrowers in an aggregate principal amount at any time outstanding that will not result in (i)  the aggregate principal amount of outstanding Swingline Loans made by the Swingline Lender exceeding the Swingline Commitment or (ii) any Lender’s Aggregate Exposure exceeding its Commitment; provided that the Swingline Lender</w:t>
      </w:r>
      <w:r>
        <w:rPr>
          <w:rFonts w:ascii="Times New Roman;serif" w:hAnsi="Times New Roman;serif"/>
          <w:b w:val="false"/>
          <w:color w:val="0000FF"/>
          <w:sz w:val="22"/>
          <w:u w:val="single"/>
        </w:rPr>
        <w:t>, in its sole discretion, may agree to make Swingline Loans that would result in the Swingline Lender’s Aggregate Exposure exceeding its Commitment; provided further that the Swingline Lender</w:t>
      </w:r>
      <w:r>
        <w:rPr>
          <w:color w:val="000000"/>
        </w:rPr>
        <w:t xml:space="preserve"> </w:t>
      </w:r>
      <w:r>
        <w:rPr>
          <w:rFonts w:ascii="Times New Roman;serif" w:hAnsi="Times New Roman;serif"/>
          <w:b w:val="false"/>
          <w:color w:val="000000"/>
          <w:sz w:val="22"/>
        </w:rPr>
        <w:t xml:space="preserve">shall not be required to make a Swingline Loan to refinance an outstanding Swingline Loan. Each Swingline Loan shall be in an amount that is an integral multiple of $500,000 and not less than $1,000,000;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Swingline Loan may be in an aggregate amount that is required to finance the reimbursement of a LC Disbursement as contemplated by </w:t>
      </w:r>
      <w:r>
        <w:rPr>
          <w:rFonts w:ascii="Times New Roman;serif" w:hAnsi="Times New Roman;serif"/>
          <w:b w:val="false"/>
          <w:color w:val="000000"/>
          <w:sz w:val="22"/>
          <w:u w:val="single"/>
        </w:rPr>
        <w:t>Section 2.13(e)</w:t>
      </w:r>
      <w:r>
        <w:rPr>
          <w:rFonts w:ascii="Times New Roman;serif" w:hAnsi="Times New Roman;serif"/>
          <w:b w:val="false"/>
          <w:color w:val="000000"/>
          <w:sz w:val="22"/>
        </w:rPr>
        <w:t>. Within the foregoing limits and subject to the terms and conditions set forth herein, the Borrowers may borrow, prepay and reborrow Swingline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To request a Swingline Loan, the applicable Borrower shall submit a written notice to the Administrative Agent by telecopy or electronic mail (or transmit by electronic communication including an Approved Borrower Portal, if arrangements for such transmission have been approved by the Administrative Agent)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Borrowers. The Swingline Lender shall make the requested Swingline Loan available to each applicable Borrower by means of a credit to an account of such Borrower with the Administrative Agent designated for such purpose by 3:00 p.m., New York City time, on the requested date of such Swingline Loan.</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Aggregate Exposure Percentage of such Swingline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to pay to the Administrative Agent, for the account of the Swingline Lender, such Lender’s Aggregate Exposure Percentage of such Swingline Loans. Each Lender acknowledges and agrees that its obligation to acquire participations in Swingline Loans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2.5 with respect to Loans made by such Lender (and Section 2.5 shall apply, mutatis mutandis, to the payment obligations of the Lenders), and the Administrative Agent shall promptly pay to the Swingline Lender the amounts so received by it from the Lenders. The Administrative Agent shall notify each Borrower of any participations in any Swingline Loan acquired pursuant to this paragraph, and thereafter payments in respect of such Swingline Loan shall be made to the Administrative Agent and not to the Swingline Lender. Any amounts received by the Swingline Lender from any Borrower (or other party on behalf of such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such payment so remitted shall be repaid to such Swingline Lender or to the Administrative Agent, as applicable, if and to the extent such payment is required to be refunded to such Borrower for any reason. The purchase of participations in a Swingline Loan pursuant to this paragraph shall not relieve any Borrower of any default in the payment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Borrowers shall pay all unpaid interest accrued for the account of the replaced Swingline Lender pursuant to Section 2.22.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the Swingline Lender under this Agreement with respect to Swingline Loans made by it prior to its replacement, but shall not be required to make additional Swingline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Subject to the appointment and acceptance of a successor Swingline Lender, the Swingline Lender may resign as Swingline Lender at any time upon thirty days’ prior written notice to the Administrative Agent, the Borrowers and the Lenders, in which case, the Swingline Lender shall be replaced in accordance with Section 2.9(e) above.</w:t>
      </w:r>
    </w:p>
    <w:p>
      <w:pPr>
        <w:pStyle w:val="TextBody"/>
        <w:bidi w:val="0"/>
        <w:spacing w:lineRule="auto" w:line="288" w:before="0" w:after="240"/>
        <w:ind w:left="0" w:right="0" w:firstLine="720"/>
        <w:jc w:val="both"/>
        <w:rPr/>
      </w:pPr>
      <w:r>
        <w:rPr>
          <w:rFonts w:ascii="Times New Roman;serif" w:hAnsi="Times New Roman;serif"/>
          <w:b w:val="false"/>
          <w:color w:val="000000"/>
          <w:sz w:val="22"/>
        </w:rPr>
        <w:t>2.10.</w:t>
      </w:r>
      <w:r>
        <w:rPr>
          <w:rFonts w:ascii="Times New Roman;serif" w:hAnsi="Times New Roman;serif"/>
          <w:b w:val="false"/>
          <w:color w:val="000000"/>
          <w:sz w:val="22"/>
          <w:u w:val="single"/>
        </w:rPr>
        <w:t>Optional Prepayments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Borrowers may at any time and from time to time prepay the Loans, in whole or in part, without premium or penalty (except as set forth in Section 2.10(b)), upon notice delivered by the applicable Borrower to the Administrative Agent (a) at least three Business Days (or shorter notice period approved by the Administrative Agent) prior thereto in the case of Term Benchmark Loans and (b) on the same Business Day in the case of ABR Loans, which notice shall specify the date and amount of prepayment, the Class of Loans to be prepaid and whether the prepayment is of Term Benchmark Loans or ABR Loans; provided, that if a Term Benchmark Loan is prepaid on any day other than the last day of the Interest Period applicable thereto, the applicable Borrower shall also pay any amounts owing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to Section 2.20.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provided that notwithstanding anything to the contrary contained in this Agreement, the Borrowers may rescind, or extend the date for prepayment specified in, any notice of prepayment under this Section 2.10(a), if such prepayment would have resulted from a refinancing of all or any portion of any Facility or Facilities which refinancing shall not be consummated or shall otherwise be delayed. Partial prepayments of Revolving Loans shall be in an aggregate principal amount of $1,000,000 or a whole multiple thereof. Partial prepayments of Swingline Loans shall be in an amount that is an integral multiple of $500,000 and not less than $1,000,000. Any optional prepayments of the Term Loans shall be applied to the remaining installments thereof as selected by the applicable Borrower (or absent any such selection in the direct order of maturity). </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2.11.</w:t>
      </w:r>
      <w:r>
        <w:rPr>
          <w:rFonts w:ascii="Times New Roman;serif" w:hAnsi="Times New Roman;serif"/>
          <w:b w:val="false"/>
          <w:color w:val="000000"/>
          <w:sz w:val="22"/>
          <w:u w:val="single"/>
        </w:rPr>
        <w:t>Mandatory Prepayments</w:t>
      </w:r>
      <w:r>
        <w:rPr>
          <w:rFonts w:ascii="Times New Roman;serif" w:hAnsi="Times New Roman;serif"/>
          <w:b w:val="false"/>
          <w:color w:val="000000"/>
          <w:sz w:val="22"/>
        </w:rPr>
        <w:t>. If at any time the Total Revolving Extensions of Credit exceed the Total Revolving Commitments, the Borrowers shall, within one Business Day of notice thereof from the Administrative Agent, prepay the Revolving Loans in an amount equal to the amount of such excess or, to the extent the principal amount of Revolving Loans outstanding is less than the amount of such excess, cash collateralize LC Exposure (in an amount equal to 103% of such LC Exposure) (or backstop or provide credit support reasonably acceptable to the applicable Issuing Bank), in each case to the extent necessary to eliminate any such excess. Each prepayment of the Loans under this Section 2.11 shall be accompanied by accrued interest to the date of such prepayment on the amount prepaid.</w:t>
      </w:r>
    </w:p>
    <w:p>
      <w:pPr>
        <w:pStyle w:val="TextBody"/>
        <w:bidi w:val="0"/>
        <w:spacing w:lineRule="auto" w:line="288" w:before="0" w:after="240"/>
        <w:ind w:left="0" w:right="0" w:firstLine="720"/>
        <w:jc w:val="both"/>
        <w:rPr/>
      </w:pPr>
      <w:r>
        <w:rPr>
          <w:rFonts w:ascii="Times New Roman;serif" w:hAnsi="Times New Roman;serif"/>
          <w:b w:val="false"/>
          <w:color w:val="000000"/>
          <w:sz w:val="22"/>
        </w:rPr>
        <w:t>2.12.</w:t>
      </w:r>
      <w:r>
        <w:rPr>
          <w:rFonts w:ascii="Times New Roman;serif" w:hAnsi="Times New Roman;serif"/>
          <w:b w:val="false"/>
          <w:color w:val="000000"/>
          <w:sz w:val="22"/>
          <w:u w:val="single"/>
        </w:rPr>
        <w:t>Continuation Options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applicable Borrower may elect from time to time to convert Term Benchmark Loans to ABR Loans by giving the Administrative Agent at least two Business Days’ prior irrevocable notice of such election, provided that any such conversion of Term Benchmark Loans may only be made on the last day of an Interest Period with respect thereto. The applicable Borrower may elect from time to time to convert ABR Loans to Term Benchmark Loans by giving the Administrative Agent at least three Business Days’ prior irrevocable notice of such election (which notice shall specify the length of the initial Interest Period therefor); provided that no ABR Loan under a particular Facility may be converted into a Term Benchmark Loan when any Event of Default has occurred and is continuing and the Majority Facility Lenders in respect of such Facility have determined in its or their sole discretion not to permit such conversions. Upon receipt of any such notice, the Administrative Agent shall promptly notify each relevant Lender thereof. If any interest election requests a Term Benchmark Loan but does not specify an Interest Period, then the applicable Borrower shall be deemed to have selected an Interest Period of one month’s duration. </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Any Term Benchmark Loan shall be continued as such upon the expiration of the then current Interest Period with respect thereto unless the applicable Borrower gives notice to the Administrative Agent, in accordance with the applicable provisions of the term “Interest Period” set forth in Section 1.1, of a different length of the next Interest Period to be applicable to such Loans.</w:t>
      </w:r>
    </w:p>
    <w:p>
      <w:pPr>
        <w:pStyle w:val="TextBody"/>
        <w:bidi w:val="0"/>
        <w:spacing w:lineRule="auto" w:line="288" w:before="0" w:after="240"/>
        <w:ind w:left="0" w:right="0" w:firstLine="720"/>
        <w:jc w:val="left"/>
        <w:rPr/>
      </w:pPr>
      <w:r>
        <w:rPr>
          <w:rFonts w:ascii="Times New Roman;serif" w:hAnsi="Times New Roman;serif"/>
          <w:b w:val="false"/>
          <w:color w:val="000000"/>
          <w:sz w:val="22"/>
        </w:rPr>
        <w:t>2.13.</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the terms and conditions set forth herein, any Borrower may request any Issuing Bank to issue Letters of Credit </w:t>
      </w:r>
      <w:r>
        <w:rPr>
          <w:rFonts w:ascii="Times New Roman;serif" w:hAnsi="Times New Roman;serif"/>
          <w:b w:val="false"/>
          <w:color w:val="0000FF"/>
          <w:sz w:val="22"/>
          <w:u w:val="single"/>
        </w:rPr>
        <w:t xml:space="preserve">denominated in U.S. Dollars or any Alternative Currency </w:t>
      </w:r>
      <w:r>
        <w:rPr>
          <w:rFonts w:ascii="Times New Roman;serif" w:hAnsi="Times New Roman;serif"/>
          <w:b w:val="false"/>
          <w:color w:val="000000"/>
          <w:sz w:val="22"/>
        </w:rPr>
        <w:t xml:space="preserve">as the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applicant thereof for the support of its or its Subsidiaries’ obligations, in a form reasonably acceptable to such Issuing Bank, at any time and from time to time during the Revolving Commitment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To request the issuance of a Letter of Credit (or the amendment or extension of an outstanding Letter of Credit), any Borrower shall hand deliver or telecopy (or transmit by electronic communication, including an Approved Borrower Portal, if arrangements for doing so have been approved by the respective Issuing Bank) to an Issuing Bank selected by it and to the Administrative Agent (reasonably in advance of the requested date of issuance, amendment or extension, but in any event no less than three Business Days) a written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w:t>
      </w:r>
      <w:r>
        <w:rPr>
          <w:rFonts w:ascii="Times New Roman;serif" w:hAnsi="Times New Roman;serif"/>
          <w:b w:val="false"/>
          <w:color w:val="0000FF"/>
          <w:sz w:val="22"/>
          <w:u w:val="single"/>
        </w:rPr>
        <w:t xml:space="preserve">and currency </w:t>
      </w:r>
      <w:r>
        <w:rPr>
          <w:rFonts w:ascii="Times New Roman;serif" w:hAnsi="Times New Roman;serif"/>
          <w:b w:val="false"/>
          <w:color w:val="000000"/>
          <w:sz w:val="22"/>
        </w:rPr>
        <w:t>of such Letter of Credit, the name and address of the beneficiary thereof and such other information as shall be necessary to prepare, amend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Times New Roman;serif" w:hAnsi="Times New Roman;serif"/>
          <w:b/>
          <w:i/>
          <w:color w:val="000000"/>
          <w:sz w:val="22"/>
        </w:rPr>
        <w:t>Letter of Credit Agreement</w:t>
      </w:r>
      <w:r>
        <w:rPr>
          <w:color w:val="000000"/>
        </w:rPr>
        <w:t>”</w:t>
      </w:r>
      <w:r>
        <w:rPr>
          <w:rFonts w:ascii="Times New Roman;serif" w:hAnsi="Times New Roman;serif"/>
          <w:b w:val="false"/>
          <w:color w:val="000000"/>
          <w:sz w:val="22"/>
        </w:rPr>
        <w:t xml:space="preserve">). In the event of any conflict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applicable Borrower shall be deemed to represent and warrant that), after giving effect to such issuance, amendment or extension (i) (x) the aggregate undrawn amount of all outstanding Letters of Credit issued by any Issuing Bank at such time plus (y) the aggregate amount of all LC Disbursements made by such Issuing Bank that have not yet been reimbursed by or on behalf of the Borrowers at such time shall not exceed its Letter of Credit Commitment, (ii) the LC Exposure shall not exceed $200,000,000 and (iii) no Lender’s Aggregate Exposure shall exceed its Commitment. The Borrowers may, at any time and from time to time, reduce the Letter of Credit Commitment of any Issuing Bank with the consent of such Issuing Bank;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Borrowers shall not reduce the Letter of Credit Commitment of any Issuing Bank if, after giving effect of such reduction, the conditions set forth in clauses (i) through (iii) above shall not be satisfied.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 Issuing Bank shall not be under any obligation to issue, amend or extend any Letter of Credit if: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law applicable to such Issuing Bank shall prohibit, the issuance, amendment or extension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Closing Date, or shall impose upon such Issuing Bank any unreimbursed loss, cost or expense that was not applicable on the Closing Date and that such Issuing Bank in good faith deems material to it;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the issuance, amendment or extension of such Letter of Credit would violate one or more policies of such Issuing Bank applicable to letters of credit generally.</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Letter of Credit shall expire (or be subject to termination by notice from the applicable Issuing Bank to the beneficiary thereof) at or prior to the close of business on the earlier of (i) the date one year after the date of the issuance of such Letter of Credit (or, in the case of any extension of the expiration date thereof, one year after such extension) and (ii) the date that is five Business Days prior to the Revolving Termination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By the issuance of a Letter of Credit (or an amendment to a Letter of Credit increasing the amount or extending the term thereof) and without any further action on the part of the applicable Issuing Bank or the Lenders, such Issuing Bank hereby grants to each Lender, and each Lender hereby acquires from such Issuing Bank, a participation in such Letter of Credit equal to such Lender’s Aggregate Exposure Percentage of the </w:t>
      </w:r>
      <w:r>
        <w:rPr>
          <w:rFonts w:ascii="Times New Roman;serif" w:hAnsi="Times New Roman;serif"/>
          <w:b w:val="false"/>
          <w:color w:val="0000FF"/>
          <w:sz w:val="22"/>
          <w:u w:val="single"/>
        </w:rPr>
        <w:t xml:space="preserve">Dollar Equivalent of the </w:t>
      </w:r>
      <w:r>
        <w:rPr>
          <w:rFonts w:ascii="Times New Roman;serif" w:hAnsi="Times New Roman;serif"/>
          <w:b w:val="false"/>
          <w:color w:val="000000"/>
          <w:sz w:val="22"/>
        </w:rPr>
        <w:t xml:space="preserve">aggregate amount available to be drawn under such Letter of Credit. In consideration and in furtherance of the foregoing, each Lender hereby absolutely and unconditionally agrees to pay to the Administrative Agent, for the account of the respective Issuing Bank, such Lender’s Aggregate Exposure Percentage of </w:t>
      </w:r>
      <w:r>
        <w:rPr>
          <w:rFonts w:ascii="Times New Roman;serif" w:hAnsi="Times New Roman;serif"/>
          <w:b w:val="false"/>
          <w:color w:val="0000FF"/>
          <w:sz w:val="22"/>
          <w:u w:val="single"/>
        </w:rPr>
        <w:t xml:space="preserve">the Dollar Equivalent of </w:t>
      </w:r>
      <w:r>
        <w:rPr>
          <w:rFonts w:ascii="Times New Roman;serif" w:hAnsi="Times New Roman;serif"/>
          <w:b w:val="false"/>
          <w:color w:val="000000"/>
          <w:sz w:val="22"/>
        </w:rPr>
        <w:t xml:space="preserve">each LC Disbursement made by such Issuing Bank and not reimbursed by the Borrowers on the date due as provided in paragraph (e) of this Section, or of any reimbursement payment required to be refunded to any Borrower for any reason, including after the Revolving Termination Date. Each such payment shall be made without any offset, abatement, withholding or reduction whatsoever. Each Lender acknowledges and agrees that its obligations to acquire participations pursuant to this paragraph in respect of Letters of Credit and to make payments in respect of such acquired participations are absolute and unconditional and shall not be affected by any circumstance whatsoever, including any amendment or extension of any Letter of Credit or the occurrence and continuance of a Default or reduction or termination of the Commitments. </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If an Issuing Bank shall make any LC Disbursement in respect of a Letter of Credit, the applicable Borrower shall reimburse such LC Disbursement by paying to the Administrative Agent an amount equal to </w:t>
      </w:r>
      <w:r>
        <w:rPr>
          <w:rFonts w:ascii="Times New Roman;serif" w:hAnsi="Times New Roman;serif"/>
          <w:b w:val="false"/>
          <w:color w:val="0000FF"/>
          <w:sz w:val="22"/>
          <w:u w:val="single"/>
        </w:rPr>
        <w:t xml:space="preserve">the Dollar Equivalent (determined as of the date that such LC Disbursement is made) of </w:t>
      </w:r>
      <w:r>
        <w:rPr>
          <w:rFonts w:ascii="Times New Roman;serif" w:hAnsi="Times New Roman;serif"/>
          <w:b w:val="false"/>
          <w:color w:val="000000"/>
          <w:sz w:val="22"/>
        </w:rPr>
        <w:t xml:space="preserve">such LC Disbursement not later than 12:00 noon, New York City time, on the date that such LC Disbursement is made, if such Borrower shall have received notice of such LC Disbursement prior to 10:00 a.m., New York City time, on such date, or, if such notice has not been received by such Borrower prior to such time on such date, then not later than 12:00 noon, New York City time, on the Business Day immediately following the day that such Borrower receives such notice, if such notice is not received prior to such time on the day of receipt; provided that </w:t>
      </w:r>
      <w:r>
        <w:rPr>
          <w:rFonts w:ascii="Times New Roman;serif" w:hAnsi="Times New Roman;serif"/>
          <w:b w:val="false"/>
          <w:color w:val="0000FF"/>
          <w:sz w:val="22"/>
          <w:u w:val="single"/>
        </w:rPr>
        <w:t xml:space="preserve">(x) if such LC Disbursement is denominated in U.S. Dollars, </w:t>
      </w:r>
      <w:r>
        <w:rPr>
          <w:rFonts w:ascii="Times New Roman;serif" w:hAnsi="Times New Roman;serif"/>
          <w:b w:val="false"/>
          <w:color w:val="000000"/>
          <w:sz w:val="22"/>
        </w:rPr>
        <w:t xml:space="preserve">such Borrower may, subject to the conditions to borrowing set forth herein, request in accordance with Section 2.5 or 2.9 that such payment be financed with an ABR Revolving </w:t>
      </w:r>
      <w:r>
        <w:rPr>
          <w:rFonts w:ascii="Times New Roman;serif" w:hAnsi="Times New Roman;serif"/>
          <w:b w:val="false"/>
          <w:strike/>
          <w:color w:val="FF0000"/>
          <w:sz w:val="22"/>
        </w:rPr>
        <w:t>Borrowing or Swingline Loan in an equivalent amount</w:t>
      </w:r>
      <w:r>
        <w:rPr>
          <w:rFonts w:ascii="Times New Roman;serif" w:hAnsi="Times New Roman;serif"/>
          <w:b w:val="false"/>
          <w:color w:val="0000FF"/>
          <w:sz w:val="22"/>
          <w:u w:val="single"/>
        </w:rPr>
        <w:t>Loan or Swingline Loan in an equivalent amount or (y) if such LC Disbursement is denominated in an Alternative Currency, such Borrower may, subject to the conditions to borrowing set forth herein, request in accordance with Section 2.5 that such payment be converted into an equivalent amount of an ABR Revolving Loan denominated in U.S. Dollars in an amount equal to the Dollar Equivalent of such Alternative Currency, and, in each case</w:t>
      </w:r>
      <w:r>
        <w:rPr>
          <w:rFonts w:ascii="Times New Roman;serif" w:hAnsi="Times New Roman;serif"/>
          <w:b w:val="false"/>
          <w:color w:val="000000"/>
          <w:sz w:val="22"/>
        </w:rPr>
        <w:t xml:space="preserve">, to the extent so financed, such Borrower’s obligation to make such payment shall be discharged and replaced by the resulting ABR Revolving </w:t>
      </w:r>
      <w:r>
        <w:rPr>
          <w:rFonts w:ascii="Times New Roman;serif" w:hAnsi="Times New Roman;serif"/>
          <w:b w:val="false"/>
          <w:strike/>
          <w:color w:val="FF0000"/>
          <w:sz w:val="22"/>
        </w:rPr>
        <w:t>Borrowing</w:t>
      </w:r>
      <w:r>
        <w:rPr>
          <w:rFonts w:ascii="Times New Roman;serif" w:hAnsi="Times New Roman;serif"/>
          <w:b w:val="false"/>
          <w:color w:val="0000FF"/>
          <w:sz w:val="22"/>
          <w:u w:val="single"/>
        </w:rPr>
        <w:t>Loan</w:t>
      </w:r>
      <w:r>
        <w:rPr>
          <w:color w:val="000000"/>
        </w:rPr>
        <w:t xml:space="preserve"> </w:t>
      </w:r>
      <w:r>
        <w:rPr>
          <w:rFonts w:ascii="Times New Roman;serif" w:hAnsi="Times New Roman;serif"/>
          <w:b w:val="false"/>
          <w:color w:val="000000"/>
          <w:sz w:val="22"/>
        </w:rPr>
        <w:t xml:space="preserve">or Swingline Loan, as applicable. If such Borrower fails to make such payment when due, the Administrative Agent shall notify each Lender of the applicable LC Disbursement, the payment then due from such Borrower in respect thereof and such Lender’s Aggregate Exposure Percentage </w:t>
      </w:r>
      <w:r>
        <w:rPr>
          <w:rFonts w:ascii="Times New Roman;serif" w:hAnsi="Times New Roman;serif"/>
          <w:b w:val="false"/>
          <w:color w:val="0000FF"/>
          <w:sz w:val="22"/>
          <w:u w:val="single"/>
        </w:rPr>
        <w:t xml:space="preserve">of the Dollar Equivalent </w:t>
      </w:r>
      <w:r>
        <w:rPr>
          <w:rFonts w:ascii="Times New Roman;serif" w:hAnsi="Times New Roman;serif"/>
          <w:b w:val="false"/>
          <w:color w:val="000000"/>
          <w:sz w:val="22"/>
        </w:rPr>
        <w:t xml:space="preserve">thereof. Promptly following receipt of such notice, each Lender shall pay to the Administrative Agent its Aggregate Exposure Percentage of the </w:t>
      </w:r>
      <w:r>
        <w:rPr>
          <w:rFonts w:ascii="Times New Roman;serif" w:hAnsi="Times New Roman;serif"/>
          <w:b w:val="false"/>
          <w:color w:val="0000FF"/>
          <w:sz w:val="22"/>
          <w:u w:val="single"/>
        </w:rPr>
        <w:t xml:space="preserve">Dollar Equivalent of the </w:t>
      </w:r>
      <w:r>
        <w:rPr>
          <w:rFonts w:ascii="Times New Roman;serif" w:hAnsi="Times New Roman;serif"/>
          <w:b w:val="false"/>
          <w:color w:val="000000"/>
          <w:sz w:val="22"/>
        </w:rPr>
        <w:t xml:space="preserve">payment then due from such Borrower, in the same manner as provided in Section 2.5 with respect to Loans made by such Lender (and Section 2.5 shall apply, mutatis mutandis, to the payment obligations of the Lenders), and the Administrative Agent shall promptly pay to the respective Issuing Bank the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amounts so received by it from the Lenders. Promptly following receipt by the Administrative Agent of any payment from such Borrower pursuant to this paragraph, the Administrative Agent shall distribute such payment to the respective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any LC Disbursement (other than the funding of ABR Revolving Loans or a Swingline Loan as contemplated above) shall not constitute a Loan and shall not relieve the applicable Borrower of its obligation to reimburse such LC Disbursement.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Each applicable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 (iii) payment by the respective Issuing Bank under a Letter of Credit against presentation of a draft or other document that does not comply with the terms of such Letter of Credit</w:t>
      </w:r>
      <w:r>
        <w:rPr>
          <w:strike/>
          <w:color w:val="FF0000"/>
        </w:rPr>
        <w:t xml:space="preserve"> </w:t>
      </w:r>
      <w:r>
        <w:rPr>
          <w:rFonts w:ascii="Times New Roman;serif" w:hAnsi="Times New Roman;serif"/>
          <w:b w:val="false"/>
          <w:strike/>
          <w:color w:val="FF0000"/>
          <w:sz w:val="22"/>
        </w:rPr>
        <w:t xml:space="preserve">or </w:t>
      </w:r>
      <w:r>
        <w:rPr>
          <w:rFonts w:ascii="Times New Roman;serif" w:hAnsi="Times New Roman;serif"/>
          <w:b w:val="false"/>
          <w:color w:val="0000FF"/>
          <w:sz w:val="22"/>
          <w:u w:val="single"/>
        </w:rPr>
        <w:t xml:space="preserve">, </w:t>
      </w:r>
      <w:r>
        <w:rPr>
          <w:rFonts w:ascii="Times New Roman;serif" w:hAnsi="Times New Roman;serif"/>
          <w:b w:val="false"/>
          <w:color w:val="000000"/>
          <w:sz w:val="22"/>
        </w:rPr>
        <w:t>(iv) any other event or circumstance whatsoever, whether or not similar to any of the foregoing, that might, but for the provisions of this Section, constitute a legal or equitable discharge of, or provide a right of setoff against, any Borrower’s obligations hereunder</w:t>
      </w:r>
      <w:r>
        <w:rPr>
          <w:rFonts w:ascii="Times New Roman;serif" w:hAnsi="Times New Roman;serif"/>
          <w:b w:val="false"/>
          <w:strike/>
          <w:color w:val="FF0000"/>
          <w:sz w:val="22"/>
        </w:rPr>
        <w:t>.</w:t>
      </w:r>
      <w:r>
        <w:rPr>
          <w:color w:val="0000FF"/>
          <w:u w:val="single"/>
        </w:rPr>
        <w:t xml:space="preserve"> </w:t>
      </w:r>
      <w:r>
        <w:rPr>
          <w:rFonts w:ascii="Times New Roman;serif" w:hAnsi="Times New Roman;serif"/>
          <w:b w:val="false"/>
          <w:color w:val="0000FF"/>
          <w:sz w:val="22"/>
          <w:u w:val="single"/>
        </w:rPr>
        <w:t xml:space="preserve">or </w:t>
      </w:r>
      <w:r>
        <w:rPr>
          <w:rFonts w:ascii="Times New Roman;serif" w:hAnsi="Times New Roman;serif"/>
          <w:b w:val="false"/>
          <w:color w:val="000000"/>
          <w:sz w:val="22"/>
        </w:rPr>
        <w:t>(v)</w:t>
      </w:r>
      <w:r>
        <w:rPr>
          <w:color w:val="0000FF"/>
          <w:u w:val="single"/>
        </w:rPr>
        <w:t xml:space="preserve"> </w:t>
      </w:r>
      <w:r>
        <w:rPr>
          <w:rFonts w:ascii="Times New Roman;serif" w:hAnsi="Times New Roman;serif"/>
          <w:b w:val="false"/>
          <w:color w:val="0000FF"/>
          <w:sz w:val="22"/>
          <w:u w:val="single"/>
        </w:rPr>
        <w:t>any adverse change in the relevant exchange rates or in the availability of the relevant Alternative Currency to any Borrower or any Subsidiary or in the relevant currency markets generally.</w:t>
      </w:r>
      <w:r>
        <w:rPr>
          <w:color w:val="000000"/>
        </w:rPr>
        <w:t xml:space="preserve"> </w:t>
      </w:r>
      <w:r>
        <w:rPr>
          <w:rFonts w:ascii="Times New Roman;serif" w:hAnsi="Times New Roman;serif"/>
          <w:b w:val="false"/>
          <w:color w:val="000000"/>
          <w:sz w:val="22"/>
        </w:rPr>
        <w:t>Neither the Administrative Agent, the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provided that the foregoing shall not be construed to excuse an Issuing Bank from liability to each applicable Borrower to the extent of any direct damages (as opposed to special, indirect, consequential or punitive damages, claims in respect of which are hereby waived by each applicable Borrower to the extent permitted by applicable law) suffered by the each applicable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Borrowers by telephone (confirmed by telecopy or electronic mail) of such demand for payment if such Issuing Bank has made or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will make an LC Disbursement thereunder; provided that such notice need not be given prior to payment by the Issuing Bank and any failure to give or delay in giving such notice shall not relieve any Borrower of its obligation to reimburse such Issuing Bank and the Lenders with respect to any such LC Disbursement.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If the Issuing Bank for any Letter of Credit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the reimbursement is due and payable at the rate per annum then applicable to ABR Revolving Loans and such interest shall be due and payable on the date when such reimbursement is payable;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such Borrower fails to reimburse such LC Disbursement when due pursuant to paragraph (e) of this Section, then Section 2.13(d) shall apply. Interest accrued pursuant to this paragraph shall be for the account of such Issuing Bank, except that interest accrued on and after the date of payment by any Lender pursuant to paragraph (e) of this Section to reimburse such Issuing Bank for such LC Disbursement shall be for the account of such Lender to the extent of such payment.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(i)An Issuing Bank may be replaced at any time by written agreement among the Borrowers, the Administrative Agent, the replaced Issuing Bank and the successor Issuing Bank. The Administrative Agent shall notify the Lenders of any such replacement of an Issuing Bank. At the time any such replacement shall become effective, the Borrowers shall pay all unpaid fees accrued for the account of the replaced Issuing Bank pursuant to Section 2.13(l). From and after the effective date of any such replacement, (x) the successor Issuing Bank shall have all the rights and obligations of an Issuing Bank under this Agreement with respect to Letters of Credit to be issued by it thereafter and (y)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or extend or otherwise amend any existing Letter of Credit.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(i)Subject to the appointment and acceptance of a successor Issuing Bank, any Issuing Bank may resign as an Issuing Bank at any time upon thirty days’ prior written notice to the Administrative Agent, the Borrowers and the Lenders, in which case, such resigning Issuing Bank shall be replaced in accordance with Section 2.13(i)(i) above.</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If any Event of Default shall occur and be continuing, on the Business Day that the Borrowers receive notice from the Administrative Agent or the Required Lenders (or, if the maturity of the Loans has been accelerated, Lenders with LC Exposure representing greater than 50% of the total LC Exposure) demanding the deposit of cash collateral pursuant to this paragraph, the Borrowers shall deposit in an account or accounts with the Administrative Agent, in the name of the Administrative Agent and for the benefit of the Lenders (the “</w:t>
      </w:r>
      <w:r>
        <w:rPr>
          <w:rFonts w:ascii="Times New Roman;serif" w:hAnsi="Times New Roman;serif"/>
          <w:b/>
          <w:i/>
          <w:color w:val="000000"/>
          <w:sz w:val="22"/>
        </w:rPr>
        <w:t>Collateral Account</w:t>
      </w:r>
      <w:r>
        <w:rPr>
          <w:color w:val="000000"/>
        </w:rPr>
        <w:t>”</w:t>
      </w:r>
      <w:r>
        <w:rPr>
          <w:rFonts w:ascii="Times New Roman;serif" w:hAnsi="Times New Roman;serif"/>
          <w:b w:val="false"/>
          <w:color w:val="000000"/>
          <w:sz w:val="22"/>
        </w:rPr>
        <w:t xml:space="preserve">), an amount in cash equal to 103% of the LC Exposure </w:t>
      </w:r>
      <w:r>
        <w:rPr>
          <w:rFonts w:ascii="Times New Roman;serif" w:hAnsi="Times New Roman;serif"/>
          <w:b w:val="false"/>
          <w:color w:val="0000FF"/>
          <w:sz w:val="22"/>
          <w:u w:val="single"/>
        </w:rPr>
        <w:t xml:space="preserve">in the applicable currencies </w:t>
      </w:r>
      <w:r>
        <w:rPr>
          <w:rFonts w:ascii="Times New Roman;serif" w:hAnsi="Times New Roman;serif"/>
          <w:b w:val="false"/>
          <w:color w:val="000000"/>
          <w:sz w:val="22"/>
        </w:rPr>
        <w:t xml:space="preserve">as of such date plus any accrued and unpaid interest thereon;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obligation to deposit such cash collateral shall become effective immediately, and such deposit shall become immediately due and payable, without demand or other notice of any kind, upon the occurrence of any Event of Default with respect to any Borrower described in Section 8(h) or (i). Such deposit shall be held by the Administrative Agent as collateral for the payment and performance of the obligations of the Borrowers under this Agreement. In addition, and without limiting the foregoing or paragraph (c) of this Section, if any LC Exposure remain outstanding after the expiration date specified in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said paragraph (c), the Borrowers shall immediately deposit into the Collateral Account an amount in cash equal to 103% of such LC Exposure </w:t>
      </w:r>
      <w:r>
        <w:rPr>
          <w:rFonts w:ascii="Times New Roman;serif" w:hAnsi="Times New Roman;serif"/>
          <w:b w:val="false"/>
          <w:color w:val="0000FF"/>
          <w:sz w:val="22"/>
          <w:u w:val="single"/>
        </w:rPr>
        <w:t xml:space="preserve">in the applicable currencies </w:t>
      </w:r>
      <w:r>
        <w:rPr>
          <w:rFonts w:ascii="Times New Roman;serif" w:hAnsi="Times New Roman;serif"/>
          <w:b w:val="false"/>
          <w:color w:val="000000"/>
          <w:sz w:val="22"/>
        </w:rPr>
        <w:t xml:space="preserve">as of such date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any accrued and unpaid interest thereon.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such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such Borrower for the LC Exposure at such time or, if the maturity of the Loans has been accelerated (but subject to the consent of Lenders with LC Exposure representing greater than 50% of the total LC Exposure), be applied to satisfy other Obligations. If the Borrowers are required to provide an amount of cash collateral hereunder as a result of the occurrence of an Event of Default, such amount (to the extent not applied as aforesaid) shall be returned to the Borrowers within three Business Days after all Events of Default have been cured or waived.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applicable Borrower (i) shall reimburse, indemnify and compensate the applicable Issuing Bank hereunder for such Letter of Credit (including to reimburse any and all drawings thereunder) as if such Letter of Credit had been issued solely for the account of such Borrower and (ii) irrevocably waives any and all defenses that might otherwise be available to it as a guarantor or surety of any or all of the obligations of such Subsidiary in respect of such Letter of Credit.  Such Borrower hereby acknowledges that the issuance of such Letters of Credit for its Subsidiaries inures to the benefit of such Borrower, and that such Borrower’s business derives substantial benefits from the businesses of such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The Borrowers agree to pay (i) to the Administrative Agent for the account of each Lender a participation fee with respect to its participations in each outstanding Letter of Credit, which shall accrue on the </w:t>
      </w:r>
      <w:r>
        <w:rPr>
          <w:rFonts w:ascii="Times New Roman;serif" w:hAnsi="Times New Roman;serif"/>
          <w:b w:val="false"/>
          <w:color w:val="0000FF"/>
          <w:sz w:val="22"/>
          <w:u w:val="single"/>
        </w:rPr>
        <w:t xml:space="preserve">Dollar Equivalent of the </w:t>
      </w:r>
      <w:r>
        <w:rPr>
          <w:rFonts w:ascii="Times New Roman;serif" w:hAnsi="Times New Roman;serif"/>
          <w:b w:val="false"/>
          <w:color w:val="000000"/>
          <w:sz w:val="22"/>
        </w:rPr>
        <w:t xml:space="preserve">daily maximum stated amount then available to be drawn under such Letter of Credit at the same Applicable Margin used to determine the interest rate applicable to Term Benchmark Revolving Loans, during the period from and including the Closing Date to but excluding the later of the date on which such Lender’s Commitment terminates and the date on which such Lender ceases to have any LC Exposure, and (ii) to each Issuing Bank for its own account a fronting fee with respect to each Letter of Credit issued by such Issuing Bank, which shall accrue at the rate of 0.125% per annum on the </w:t>
      </w:r>
      <w:r>
        <w:rPr>
          <w:rFonts w:ascii="Times New Roman;serif" w:hAnsi="Times New Roman;serif"/>
          <w:b w:val="false"/>
          <w:color w:val="0000FF"/>
          <w:sz w:val="22"/>
          <w:u w:val="single"/>
        </w:rPr>
        <w:t xml:space="preserve">Dollar Equivalent of the </w:t>
      </w:r>
      <w:r>
        <w:rPr>
          <w:rFonts w:ascii="Times New Roman;serif" w:hAnsi="Times New Roman;serif"/>
          <w:b w:val="false"/>
          <w:color w:val="000000"/>
          <w:sz w:val="22"/>
        </w:rPr>
        <w:t xml:space="preserve">daily maximum stated amount then available to be drawn under such Letter of Credit, during the period from and including the Closing Date to but excluding the later of the date of termination of the Commitments and the date on which there ceases to be any LC Exposure with respect to Letters of Credit issued by such Issuing Bank, as well as such Issuing Bank’s standard fees with respect to the issuance, amendment or extension of any Letter of Credit and other processing fees, and other standard costs and charges, of such Issuing bank relating the Letters of Credit as from time to time in effect. Participation fees and fronting fees accrued through and including the last day of March, June, September and December of each year shall be payable on the fifteenth day following such last day, commencing on the first such date to occur after the Closing Date; provided that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4"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all such fees shall be payable on the date on which the Commitments terminate and any such fees accruing after the date on which the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w:t>
      </w:r>
    </w:p>
    <w:p>
      <w:pPr>
        <w:pStyle w:val="TextBody"/>
        <w:bidi w:val="0"/>
        <w:spacing w:lineRule="auto" w:line="288"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Notwithstanding anything set forth herein, the Borrowers, the Administrative Agent, the Issuing Banks and the Lenders hereby acknowledge and agree that all Existing Letters of Credit shall constitute Letters of Credit under this Agreement on and after the </w:t>
      </w:r>
      <w:r>
        <w:rPr>
          <w:rFonts w:ascii="Times New Roman;serif" w:hAnsi="Times New Roman;serif"/>
          <w:b w:val="false"/>
          <w:strike/>
          <w:color w:val="FF0000"/>
          <w:sz w:val="22"/>
        </w:rPr>
        <w:t>Closing</w:t>
      </w:r>
      <w:r>
        <w:rPr>
          <w:rFonts w:ascii="Times New Roman;serif" w:hAnsi="Times New Roman;serif"/>
          <w:b w:val="false"/>
          <w:color w:val="0000FF"/>
          <w:sz w:val="22"/>
          <w:u w:val="single"/>
        </w:rPr>
        <w:t>Amendment No. 1 Effective</w:t>
      </w:r>
      <w:r>
        <w:rPr>
          <w:color w:val="000000"/>
        </w:rPr>
        <w:t xml:space="preserve"> </w:t>
      </w:r>
      <w:r>
        <w:rPr>
          <w:rFonts w:ascii="Times New Roman;serif" w:hAnsi="Times New Roman;serif"/>
          <w:b w:val="false"/>
          <w:color w:val="000000"/>
          <w:sz w:val="22"/>
        </w:rPr>
        <w:t xml:space="preserve">Date with the same effect as if such Existing Letters of Credit were issued by the applicable Issuing Bank at the request of such Borrower on the </w:t>
      </w:r>
      <w:r>
        <w:rPr>
          <w:rFonts w:ascii="Times New Roman;serif" w:hAnsi="Times New Roman;serif"/>
          <w:b w:val="false"/>
          <w:strike/>
          <w:color w:val="FF0000"/>
          <w:sz w:val="22"/>
        </w:rPr>
        <w:t>Closing</w:t>
      </w:r>
      <w:r>
        <w:rPr>
          <w:rFonts w:ascii="Times New Roman;serif" w:hAnsi="Times New Roman;serif"/>
          <w:b w:val="false"/>
          <w:color w:val="0000FF"/>
          <w:sz w:val="22"/>
          <w:u w:val="single"/>
        </w:rPr>
        <w:t>Amendment No. 1 Effective</w:t>
      </w:r>
      <w:r>
        <w:rPr>
          <w:color w:val="000000"/>
        </w:rPr>
        <w:t xml:space="preserve"> </w:t>
      </w:r>
      <w:r>
        <w:rPr>
          <w:rFonts w:ascii="Times New Roman;serif" w:hAnsi="Times New Roman;serif"/>
          <w:b w:val="false"/>
          <w:color w:val="000000"/>
          <w:sz w:val="22"/>
        </w:rPr>
        <w:t>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2.14.</w:t>
      </w:r>
      <w:r>
        <w:rPr>
          <w:rFonts w:ascii="Times New Roman;serif" w:hAnsi="Times New Roman;serif"/>
          <w:b w:val="false"/>
          <w:color w:val="000000"/>
          <w:sz w:val="22"/>
          <w:u w:val="single"/>
        </w:rPr>
        <w:t>Interest Rates and Payment Dates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Each Loan comprising each ABR Borrowing (including each Swingline Loan) shall bear interest at a rate per annum equal to the Alternate Base Rate plus the Applicable Margin.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Loan comprising a Term Benchmark Borrowing shall bear interest during each Interest Period with respect thereto at a rate per annum equal to the Term SOFR Rate determined for such Interest Period plus the Applicable Margin. </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RFR Loan (if applicable) shall bear interest for each day that is outstanding at a rate per annum equal to Daily Simple SOFR plus the Applicable Margin.</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(i) If all or a portion of the principal amount of or interest on any Loan or Reimbursement Obligation shall not be paid when due and payable (whether at the stated maturity, by acceleration or otherwise), such overdue amounts shall bear interest at a rate per annum equal to (x) in the case of overdue amounts in respect of any Loan, the rate that would otherwise be applicable thereto pursuant to the foregoing provisions of this Section plus 2% or (y) in the case of overdue amounts in respect of any Reimbursement Obligation, the rate applicable to ABR Loans under the Revolving Facility plus 2% and (ii) if all or a portion of any interest, commitment fee or other amount payable hereunder shall not be paid when due and payable (whether at the stated maturity, by acceleration or otherwise), such overdue amount shall bear interest at a rate per annum equal to the rate then applicable to ABR Loans under the relevant Facility plus 2% (or, in the case of any such other amounts that do not relate to a particular Facility, the rate then applicable to ABR Loans under the Revolving Facility plus 2%), in each case, with respect to clauses (i) and (ii) above, from the date of such non-payment until such amount is paid in full (as well after as before judgment).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Interest shall be payable in arrears on each Interest Payment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2.15.</w:t>
      </w:r>
      <w:r>
        <w:rPr>
          <w:rFonts w:ascii="Times New Roman;serif" w:hAnsi="Times New Roman;serif"/>
          <w:b w:val="false"/>
          <w:color w:val="000000"/>
          <w:sz w:val="22"/>
          <w:u w:val="single"/>
        </w:rPr>
        <w:t>Computation of Interest and Fees; Interest Elections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Interest and fees payable pursuant hereto shall be calculated on the basis of a 360-day year except that interest and fees payable for ABR Loans on which is then based on the Prime Rate shall be computed on the basis of a 365 day year (or 366 day year in a leap year) for the actual days elapsed. The Administrative Agent shall as soon as practicable notify the Borrowers and the relevant Lenders of each determination of the Term SOFR Rate. Any change in the interest rate on a Loan resulting from a change in the Alternate Base Rate shall become effective as of the opening of business on the day on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25"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which such change becomes effective. The Administrative Agent shall as soon as practicable notify the Borrowers and the relevant Lenders of the effective date and the amount of each such change in interest rate.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determination of an interest rate by the Administrative Agent pursuant to any provision of this Agreement shall be conclusive and binding on the Borrowers and the Lenders absent manifest error. The Administrative Agent shall, at the request of the Borrower, deliver to the Borrowers a statement showing the quotations used by the Administrative Agent in determining any interest rate pursuant to Section 2.15(a).</w:t>
      </w:r>
    </w:p>
    <w:p>
      <w:pPr>
        <w:pStyle w:val="TextBody"/>
        <w:bidi w:val="0"/>
        <w:spacing w:lineRule="auto" w:line="288" w:before="0" w:after="240"/>
        <w:ind w:left="0" w:right="0" w:firstLine="720"/>
        <w:jc w:val="both"/>
        <w:rPr/>
      </w:pPr>
      <w:r>
        <w:rPr>
          <w:rFonts w:ascii="Times New Roman;serif" w:hAnsi="Times New Roman;serif"/>
          <w:b w:val="false"/>
          <w:color w:val="000000"/>
          <w:sz w:val="22"/>
        </w:rPr>
        <w:t>2.16.</w:t>
      </w:r>
      <w:r>
        <w:rPr>
          <w:rFonts w:ascii="Times New Roman;serif" w:hAnsi="Times New Roman;serif"/>
          <w:b w:val="false"/>
          <w:color w:val="000000"/>
          <w:sz w:val="22"/>
          <w:u w:val="single"/>
        </w:rPr>
        <w:t>Inability to Determine Interest Rate</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clauses (b), (c), (d), (e) and (f) of this Section 2.16, if: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Administrative Agent determines (which determination shall be conclusive absent manifest error) (A) prior to the commencement of any Interest Period for a Term Benchmark Borrowing, that adequate and reasonable means do not exist for ascertaining the Term SOFR Rate (including because the Term SOFR Reference Rate is not available or published on a current basis), for such Interest Period or (B) at any time, that adequate and reasonable means do not exist for ascertaining the applicable Daily Simple SOFR;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Administrative Agent is advised by the Required Lenders that (A) prior to the commencement of any Interest Period for a Term Benchmark Borrowing, the Term SOFR Rate for such Interest Period will not adequately and fairly reflect the cost to such Lenders (or Lender) of making or maintaining their Loans (or its Loan) included in such Borrowing for such Interest Period or (B) at any time, Daily Simple SOFR will not adequately and fairly reflect the cost to such Lenders (or Lender) of making or maintaining their Loans (or its Loan) included in such Borrowing;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then the Administrative Agent shall give notice thereof to the Borrowers and the Lenders by telephone, telecopy or electronic mail as promptly as practicable thereafter and, until (x) the Administrative Agent notifies the Borrowers and the Lenders that the circumstances giving rise to such notice no longer exist with respect to the relevant Benchmark and (y) the Borrowers deliver a new interest election request in accordance with the terms of Section 2.5 or a new Borrowing request in accordance with the terms of Section 2.12,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Daily Simple SOFR is not also the subject of Section 2.16(a)(i) or (ii) above or (y) an ABR Borrowing if Daily Simple SOFR also is the subject of Section 2.16(a)(i) or (ii) above and (2) any Borrowing request that requests an RFR Borrowing shall instead be deemed to be a Borrowing request, as applicable, for an ABR Borrowing;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2.16(a) with respect to a Relevant Rate applicable to such Term Benchmark Loan or RFR Loan, then until (x) the Administrative Agent notifies the Borrowers and the Lenders that the circumstances giving rise to such notice no longer exist with respect to the relevant Benchmark and (y) the Borrowers deliver a new interest election request in accordance with the terms of Section 2.12 or a new Borrowing request in accordance with the terms of Section 2.5, (1) any Term Benchmark Loan shall on the last day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26"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the Interest Period applicable to such Loan, be converted by the Administrative Agent to, and shall constitute, (x) an RFR Borrowing so long as Daily Simple SOFR is not also the subject of Section 2.16(a)(i) or (ii) above or (y) an ABR Loan if Daily Simple SOFR also is the subject of Section 2.16(a)(i) or (ii) above, on such day, and (2) any RFR Loan shall on and from such day be converted by the Administrative Agent to, and shall constitute an ABR Loan.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Notwithstanding anything to the contrary herein or in any other Loan Document (and any Swap Agreement shall be deemed not to be a “Loan Document” for purposes of this Section 2.16),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Administrative Agent will promptly notify the Borrowers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27"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Upon the Borrowers’ receipt of notice of the commencement of a Benchmark Unavailability Period, the Borrowers may revoke any request for (i) a Term Benchmark Borrowing, conversion to or continuation of Term Benchmark Loans to be made, converted or continued or (ii) a RFR Borrowing or conversion to RFR Loans, during any Benchmark Unavailability Period and, failing that, the Borrowers will be deemed to have converted any request for a Term Benchmark Borrowing or RFR Borrowing, as applicable, into a request for a Borrowing of or conversion to (A) solely with respect to any such request for a Term Benchmark Borrowing, an RFR Borrowing so long as Daily Simple SOFR is not the subject of a Benchmark Transition Event or (B) an ABR Borrowing if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2.16, (1) any Term Benchmark Loan shall on the last day of the Interest Period applicable to such Loan, be converted by the Administrative Agent to, and shall constitute, (x) an RFR Borrowing so long as Daily Simple SOFR is not the subject of a Benchmark Transition Event or (y) an ABR Loan if Daily Simple SOFR is the subject of a Benchmark Transition Event, on such day and (2) any RFR Loan shall on and from such day be converted by the Administrative Agent to, and shall constitute an ABR Loan.</w:t>
      </w:r>
    </w:p>
    <w:p>
      <w:pPr>
        <w:pStyle w:val="TextBody"/>
        <w:bidi w:val="0"/>
        <w:spacing w:lineRule="auto" w:line="288" w:before="0" w:after="240"/>
        <w:ind w:left="0" w:right="0" w:firstLine="720"/>
        <w:jc w:val="both"/>
        <w:rPr/>
      </w:pPr>
      <w:r>
        <w:rPr>
          <w:rFonts w:ascii="Times New Roman;serif" w:hAnsi="Times New Roman;serif"/>
          <w:b w:val="false"/>
          <w:color w:val="000000"/>
          <w:sz w:val="22"/>
        </w:rPr>
        <w:t>2.17.</w:t>
      </w:r>
      <w:r>
        <w:rPr>
          <w:rFonts w:ascii="Times New Roman;serif" w:hAnsi="Times New Roman;serif"/>
          <w:b w:val="false"/>
          <w:color w:val="000000"/>
          <w:sz w:val="22"/>
          <w:u w:val="single"/>
        </w:rPr>
        <w:t>Pro Rata Treatment and Payments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Each borrowing by a Borrower from the Revolving Lenders hereunder, each payment by a Borrower on account of any commitment fee and any reduction of the Revolving Commitments shall be made pro rata according to the respective Revolving Percentages of the Revolving Lenders.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payment (including each prepayment) by a Borrower on account of principal of and interest on the Revolving Loans shall be made pro rata according to the respective outstanding principal amounts of the Revolving Loans then held by the Revolving Lenders, except as otherwise provided in Section 2.27.</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payment (including each prepayment) by a Borrower on account of principal of and interest on any Class of Term Loans shall be made pro rata according to the respective outstanding principal amounts of the Term Loans of such Class then held by the applicable Lenders.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All payments (including prepayments) to be made by any Borrower hereunder, whether on account of principal, interest, fees or otherwise, shall be made without setoff or counterclaim and shall be made prior to 2:00 p.m., New York City time, on the due date thereof to the Administrative Agent, for the account of the Lenders, at its Domestic Funding Office, in U.S. Dollars and in immediately available funds. The Administrative Agent shall distribute such payments to the Lenders promptly upon receipt in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8"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like funds as received. If any payment hereunder (other than payments on Term Benchmark Loans) becomes due and payable on a day other than a Business Day, such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applicable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NYFRB Rate for the period until such Lender makes such amount immediately available to the Administrative Agent. A certificate of the Administrative Agent submitted to any Lender with respect to any amounts owing under this paragraph shall be conclusive absent manifest error. If such Lender’s share of such borrowing is not made available to the Administrative Agent by such Lender within three Business Days of such Borrowing Date, the Administrative Agent shall also be entitled to recover such amount with interest thereon at the rate per annum equal to the daily average Federal Funds Effective Rate, on demand, from the applicable Borrower.</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Unless the Administrative Agent shall have been notified in writing by the applicable Borrower prior to the date of any payment being made hereunder that the applicable Borrower will not make such payment to the Administrative Agent, the Administrative Agent may assume that the applicable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applicable Borrower within three Business Days of such required date, the Administrative Agent shall be entitled to recover, on demand, from each Lender to which any amount which was made available pursuant to the preceding sentence, such amount with interest thereon at the rate per annum equal to the daily average Federal Funds Effective Rate.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2.18.</w:t>
      </w:r>
      <w:r>
        <w:rPr>
          <w:rFonts w:ascii="Times New Roman;serif" w:hAnsi="Times New Roman;serif"/>
          <w:b w:val="false"/>
          <w:color w:val="000000"/>
          <w:sz w:val="22"/>
          <w:u w:val="single"/>
        </w:rPr>
        <w:t>Requirements of Law</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If the adoption of or any change in any Requirement of Law or in the interpretation or application thereof or compliance by any Credit Party with any request or directive (whether or not having the force of law) from any central bank or other Governmental Authority made subsequent to the date 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(i)shall subject such Credit Party to any Tax (except for, without duplication, Non-Excluded Taxes and Taxes described in clauses (i) through (v) of the definition of Non-Excluded Taxes) on its loans, loan principal, letters of credit, commitments, or other obligations, or its deposits, reserves, other liabilities or capital attributable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9"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(ii)shall impose, modify or hold applicable any reserve, special deposit, compulsory loan or similar requirement (including any insurance charge or other assessment, but other than any reserve requirement contemplated by Section 2.18(e)) against assets held by, deposits or other liabilities in or for the account of, advances, loans or other extensions of credit by, or any other acquisition of funds by, any office of such Credit Party;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(iii)shall impose on such Credit Party or the London interbank or other relevant market any other condition, cost or expense affecting this Agreement or the Loans made by such Credit Party or any Letter of Credit or participation therein (other than Taxes);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the result of any of the foregoing is to increase the cost to such Credit Party, by an amount that such Credit Party deems to be material, of making, converting into, continuing or maintaining Loans or issuing, maintaining or participating in Letters of Credit or to reduce any amount receivable hereunder in respect thereof, then, in any such case, the Borrowers shall pay such Credit Party, following thirty (30) days’ prior written demand and delivery of the calculation of such amount, any additional amounts necessary to compensate such Credit Party for such increased cost or reduced amount receivable. If any Credit Party becomes entitled to claim any additional amounts pursuant to this paragraph, it shall promptly notify the Company (with a copy to the Administrative Agent) of the event by reason of which it has become so entitled together with a calculation of such amount claimed; provided that failure or delay on the part of any Credit Party to demand compensation pursuant to this Section 2.18(a) shall not constitute a waiver of such Credit Party’s right to demand such compensation; provided further that the Borrowers shall not be required to compensate a Lender pursuant to this paragraph for any amounts incurred more than 90 days prior to the date that such Lender notifies the Company of such Lender’s intention to claim compensation therefor; and provided further that, if the circumstances giving rise to such claim have a retroactive effect, then such 90-day period shall be extended to include the period of such retroactive effect; provided further that in respect of clause (a)(i), the Company shall be required to make such payment only if the respective Lender certifies that it generally requires similarly situated borrowers in comparable syndicated credit facilities to which it is a lender to make similar payments.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If any Credit Party shall have determined that the adoption of or any change in any Requirement of Law regarding capital or liquidity requirements or in the interpretation or application thereof or compliance by such Credit Party, or any corporation controlling such Credit Party with any request or directive regarding capital or liquidity requirements (whether or not having the force of law) from any Governmental Authority made subsequent to the Closing Date shall have the effect of reducing the rate of return on such Credit Party’s or such corporation’s capital as a consequence of its obligations hereunder or under or in respect of any Letter of Credit to a level below that which such Lender or such corporation could have achieved but for such adoption, change or compliance (taking into consideration such Credit Party’s or such corporation’s policies with respect to capital adequacy or liquidity) by an amount deemed by such Lender to be material, then from time to time, after submission by such Credit Party to the Company (with a copy to the Administrative Agent) of a written request therefor, the Borrowers shall pay to such Credit Party such additional amount or amounts as will compensate such Credit Party for such reduction; provided that the Borrowers shall not be required to compensate a Lender pursuant to this paragraph for any amounts incurred more than 90 days prior to the date that such Lender notifies the Company of such Lender’s intention to claim compensation therefor; provided further that, if the circumstances giving rise to such claim have a retroactive effect, then such 90-day period shall be extended to include the period of such retroactive effect; and provided further that the Borrowers shall be required to make such payment only if the respective Lender certifies that it generally requires similarly situated borrowers in comparable syndicated credit facilities to which it is a lender to make similar payments.</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30"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a Requirement of Law, regardless of the date enacted, adopted or issued.</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 certificate as to any additional amounts payable pursuant to this Section submitted by any Credit Party to the Company (with a copy to the Administrative Agent) shall be conclusive absent manifest error. The obligations of the Borrowers pursuant to this Section shall survive the termination of this Agreement and the payment of the Loans and all other amounts payable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If, in any applicable jurisdiction, it becomes unlawful for a Revolving Lender to perform any of its obligations as contemplated by this Agreement or to fund, issue or maintain its participation in any Revolving Loan or it becomes unlawful for any Affiliate of a Revolving Lender for that Revolving Lender to do so, that Revolving Lender shall promptly notify the Administrative Agent upon becoming aware of that event; upon the Administrative Agent notifying the Borrower, each Available Revolving Commitment of that Revolving Lender will be immediately cancelled; and to the extent that the Lender's participation has not been transferred pursuant to Section 2.22, the Borrowers shall repay that Revolving Lender's participation in the Revolving Loans made to the Borrower, together with any amounts otherwise payable pursuant to Section 2.18, on the last day of the Interest Period for each Revolving Loan occurring after the Administrative Agent has notified the Borrowers or, if earlier, the date specified by the Revolving Lender in the notice delivered to the Administrative Agent (being no earlier than the last day of any applicable grace period permitted by law) and that Revolving Lender's corresponding Revolving Commitment(s) shall be immediately cancelled in the amount of the participations repaid. </w:t>
      </w:r>
    </w:p>
    <w:p>
      <w:pPr>
        <w:pStyle w:val="TextBody"/>
        <w:bidi w:val="0"/>
        <w:spacing w:lineRule="auto" w:line="288" w:before="0" w:after="240"/>
        <w:ind w:left="0" w:right="0" w:firstLine="720"/>
        <w:jc w:val="both"/>
        <w:rPr/>
      </w:pPr>
      <w:r>
        <w:rPr>
          <w:rFonts w:ascii="Times New Roman;serif" w:hAnsi="Times New Roman;serif"/>
          <w:b w:val="false"/>
          <w:color w:val="000000"/>
          <w:sz w:val="22"/>
        </w:rPr>
        <w:t>2.19.</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Any and all payments by or on account of any obligation of the Borrowers under any Loan Document shall be made free and clear of, and without deduction or withholding for or on account of,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 Non-Excluded Tax or Other Taxes, then the amount payable by the Borrowers to the Credit Party shall be increased as necessary so that after such deduction or withholding has been made (including such deductions and withholdings applicable to additional sums payable under this Section) the Credit Party receives an amount that would have received had no such deduction or withholding been made. Whenever any Taxes are payable by the Borrowers to a Governmental Authority pursuant to this Section 2.19, as soon as practicable thereafter the applicable Borrower shall send to the Administrative Agent the original or certified copy of a receipt issued by such Governmental Authority evidencing such payment.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addition, the Borrowers shall timely pay to the relevant Governmental Authority in accordance with applicable law, or at the option of the Administrative Agent timely reimburse it for the payment of any Other Taxes.</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1"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Borrowers shall indemnify each Credit Party, within 10 days after demand therefor, for the full amount of any Non-Excluded Taxes or Other Taxes (including Non-Excluded Taxes or Other Taxes imposed or asserted on or attributable to amounts payable under this Section) payable or paid by such Credit Party or required to be withheld or deducted from a payment to such Credit Party and any reasonable expenses arising therefrom or with respect thereto, whether or not such Non-Excluded Taxes or Other Taxes were correctly or legally imposed or asserted by the relevant Governmental Authority; provided, however, that the Borrowers shall not be obligated to indemnify such Credit Party pursuant to this Section 2.19 in respect of penalties, interest and other liabilities are attributable to the bad faith, gross negligence or willful misconduct of such Credit Party. After a Credit Party learns of the imposition of Non-Excluded Taxes or Other Taxes, such Credit Party will act in good faith to promptly notify the Borrowers of its obligations thereunder. A certificate as to the amount of such payment or liability delivered to the Borrowers by a Lender (with a copy to the Administrative Agent), or by the Administrative Agent on its own behalf or on behalf of a Lender, shall be conclusive absent manifest error.</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Each Lender shall severally indemnify the Administrative Agent, within 10 days after demand therefor, for any Taxes (i) attributable to such Lender (but only to the extent that the Borrowers has not already indemnified the Administrative Agent for such Non-Excluded Taxes or Other Taxes and without limiting the obligation of the Borrowers to do so) or (ii) attributable to such Lender’s failure to comply with the provisions of Section 10.6(b)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If the Administrative Agent or any Lender is entitled to an exemption from or reduction of withholding Tax with respect to payments made under any Loan Document, such Administrative Agent or Lender shall deliver to the Borrowers and the Administrative Agent at the time or times prescribed by applicable law or reasonably requested by the Borrowers or the Administrative Agent, such properly completed and executed documentation prescribed by applicable law or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2.19(f))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Without limiting the generality of the foregoing,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(i)Each Lender (or Transferee) that is a U.S. Person shall deliver to the Borrowers and the Administrative Agent, on or prior to the date on which such Lender becomes a Lender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under this Agreement (and from time to time thereafter upon the reasonable request of the Borrowers or the Administrative Agent), two properly completed and duly signed copies of U.S. Internal Revenue Service Form W-9 (or any successor form) certifying that such Lender is exempt from U.S. federal backup withholding tax. </w:t>
      </w:r>
    </w:p>
    <w:p>
      <w:pPr>
        <w:pStyle w:val="TextBody"/>
        <w:bidi w:val="0"/>
        <w:spacing w:lineRule="auto" w:line="288" w:before="0" w:after="240"/>
        <w:ind w:left="0" w:right="0" w:firstLine="720"/>
        <w:jc w:val="both"/>
        <w:rPr/>
      </w:pPr>
      <w:r>
        <w:rPr>
          <w:rFonts w:ascii="Times New Roman;serif" w:hAnsi="Times New Roman;serif"/>
          <w:b w:val="false"/>
          <w:color w:val="000000"/>
          <w:sz w:val="22"/>
        </w:rPr>
        <w:t>(ii)Each Lender (or Transferee) that is not a U.S. Person (a “</w:t>
      </w:r>
      <w:r>
        <w:rPr>
          <w:rFonts w:ascii="Times New Roman;serif" w:hAnsi="Times New Roman;serif"/>
          <w:b/>
          <w:color w:val="000000"/>
          <w:sz w:val="22"/>
        </w:rPr>
        <w:t>Non-U.S. Lender</w:t>
      </w:r>
      <w:r>
        <w:rPr>
          <w:color w:val="000000"/>
        </w:rPr>
        <w:t>”</w:t>
      </w:r>
      <w:r>
        <w:rPr>
          <w:rFonts w:ascii="Times New Roman;serif" w:hAnsi="Times New Roman;serif"/>
          <w:b w:val="false"/>
          <w:color w:val="000000"/>
          <w:sz w:val="22"/>
        </w:rPr>
        <w:t>) shall, to the extent it is legally entitled to do so, deliver to the Borrowers and the Administrative Agent on or prior to the date on which such Lender becomes a Lender under this Agreement (and from time to time thereafter upon the reasonable request of the Borrowers or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 the case of a Non-U.S. Lender claiming the benefits of an income tax treaty to which the United States is a party (x) with respect to payments of interest under any Loan Document, two properly completed and duly signed copies of IRS Form W- 8BEN or IRS Form W-8BEN-E establishing an exemption from, or reduction of, U.S. federal withholding Tax pursuant to the “interest” article of such tax treaty and (y) with respect to any other applicable payments under any Loan Document, two completed and duly signed copies of IRS Form W-8BEN or IRS Form W-8BEN-E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(B)in case of a Non-U.S. Lender claiming that its extension of credit will generate U.S. effectively connected income, two properly completed and duly signed copies of IRS Form W-8ECI;</w:t>
      </w:r>
    </w:p>
    <w:p>
      <w:pPr>
        <w:pStyle w:val="TextBody"/>
        <w:bidi w:val="0"/>
        <w:spacing w:lineRule="auto" w:line="288" w:before="0" w:after="240"/>
        <w:ind w:left="0" w:right="0" w:firstLine="720"/>
        <w:jc w:val="both"/>
        <w:rPr/>
      </w:pPr>
      <w:r>
        <w:rPr>
          <w:rFonts w:ascii="Times New Roman;serif" w:hAnsi="Times New Roman;serif"/>
          <w:b w:val="false"/>
          <w:color w:val="000000"/>
          <w:sz w:val="22"/>
        </w:rPr>
        <w:t>(C)in the case of a Non-U.S. Lender claiming the benefits of the exemption for portfolio interest under Section 881(c) of the Code, (x) a certificate substantially in the form of Exhibit D to the effect that such Non-U.S. Lender is not a “bank” within the meaning of Section 881(c)(3)(A) of the Code, a “10 percent shareholder” of the Borrowers within the meaning of Section 871(h)(3)(B) of the Code, or a CFC related to the Borrowers as described in Section 881(c)(3)(C) of the Code (a “</w:t>
      </w:r>
      <w:r>
        <w:rPr>
          <w:rFonts w:ascii="Times New Roman;serif" w:hAnsi="Times New Roman;serif"/>
          <w:b/>
          <w:color w:val="000000"/>
          <w:sz w:val="22"/>
        </w:rPr>
        <w:t>U.S. Tax Compliance Certificate</w:t>
      </w:r>
      <w:r>
        <w:rPr>
          <w:color w:val="000000"/>
        </w:rPr>
        <w:t>”</w:t>
      </w:r>
      <w:r>
        <w:rPr>
          <w:rFonts w:ascii="Times New Roman;serif" w:hAnsi="Times New Roman;serif"/>
          <w:b w:val="false"/>
          <w:color w:val="000000"/>
          <w:sz w:val="22"/>
        </w:rPr>
        <w:t>) and (y) executed copies of IRS Form W-8BEN or IRS Form W-8BEN-E;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(D)to the extent a Non-U.S. Lender is not the beneficial owner, executed copies of IRS Form W-8IMY, accompanied by IRS Form W-8ECI, IRS Form W-8BEN, IRS Form W-8BEN-E, a U.S. Tax Compliance Certificate substantially in the form of Exhibit D,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U.S. Tax Compliance Certificate substantially in the form of Exhibit D on behalf of each such direct and indirect partner.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(iii)Any Non-U.S. Lender shall, to the extent it is legally entitled to do so, deliver to the Borrowers and the Administrative Agent on or about the date on which such Non-U.S. Lender becomes a Lender under this Agreement (and from time to time thereafter upon the reasonable request of the Borrowers or the Administrative Agent), two completed and duly signed copies of any other form prescribed by applicable law as a basis for claiming exemption from or a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reduction in U.S. federal withholding Tax, duly completed, together with such supplementary documentation as may be prescribed by applicable law to permit the Borrowers or the Administrative Agent to determine the withholding or deduction required to be made;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to determine that such Lender has complied with such Lender’s obligations under FATCA or to determine the amount, if any, to deduct and withhold from such payment;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Administrative Agent shall deliver to the Borrowers two executed copies of whichever of the following is applicable: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(A)if the Administrative Agent is a U.S. Person, IRS Form W-9 certifying to such Administrative Agent’s exemption from U.S. federal backup withholding;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(B)if the Administrative Agent is not a U.S. Person, (x) IRS Form W-8ECI with respect to payments received for its own account; and (y) IRS Form W-8IMY with respect to any amounts payable to the Administrative Agent for the accounts of others, clarifying that it is a U.S. branch of a foreign bank or insurance company described in Regulations section 1.1441-1(b)(2)(iv)(A) that is a “participating foreign financial institution” or PFFI (including a reporting Model 2 FFI), registered deemed-compliant FFI (including a reporting Model 1 FFI), or “non-financial foreign entity” that is using this form as evidence of its agreement with the withholding agent to be treated as a U.S. Person with respect to any payments associated with this withholding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The Administrative Agent and each Lender agree that if any form or certification it previously delivered expires or becomes obsolete or inaccurate in any respect, it shall update such form or certification or promptly notify the Borrowers and the Administrative Agent in writing of its legal inability to do so.</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2.19(h) (plus any penalties, interest or other charges imposed by the relevant Governmental Authority) in the event that such indemnified party is required to repay such refund to such Governmental Authority. Notwithstanding anything to the contrary in this Section 2.19(h), in no event will the indemnified party be required to pay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amount to an indemnifying party pursuant to this Section 2.19(h)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2.19(h)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For purposes of this Section 2.19, the term “applicable law” includes FATCA.</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Each party’s obligations under this Section shall survive the resignation or replacement of the Administrative Agent or any assignment or rights by, or the replacement of, a Lender, the termination of the Commitments and the repayment, satisfaction or discharge of all obligations under any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2.20.</w:t>
      </w:r>
      <w:r>
        <w:rPr>
          <w:rFonts w:ascii="Times New Roman;serif" w:hAnsi="Times New Roman;serif"/>
          <w:b w:val="false"/>
          <w:color w:val="000000"/>
          <w:sz w:val="22"/>
          <w:u w:val="single"/>
        </w:rPr>
        <w:t>Indemnity</w:t>
      </w:r>
      <w:r>
        <w:rPr>
          <w:rFonts w:ascii="Times New Roman;serif" w:hAnsi="Times New Roman;serif"/>
          <w:b w:val="false"/>
          <w:color w:val="000000"/>
          <w:sz w:val="22"/>
        </w:rPr>
        <w:t>. Each Borrower agrees to indemnify each Lender and to hold each Lender harmless from any loss or expense that such Lender may sustain or incur as a consequence of (a) default by such Borrower in making a borrowing of, conversion into or continuation of Term Benchmark Loans after such Borrower has given a notice requesting the same in accordance with the provisions of this Agreement, (b) default by such Borrower in making any prepayment of or conversion from Term Benchmark Loans after such Borrower has given a notice thereof in accordance with the provisions of this Agreement or (c) the making of a payment of Term Benchmark Loans (including pursuant to Sections 2.22 or 10.1(b)) on a day that is not the last day of an Interest Period with respect thereto. Such indemnification, which shall be payable within 30 days of written demand therefor, may include an amount equal to the excess, if any, of (i) the amount of interest that would have accrued on the amount so prepaid or returned, or not so borrowed, converted or continued, for the period from the date of such prepayment or return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or other applicable interbank market. A certificate as to any amounts payable pursuant to this Section submitted to the applicable Borrower by any Lender shall be conclusive absent manifest error. This covenant shall survive the termination of this Agreement and the payment of the Loans and all other amounts payable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2.21.</w:t>
      </w:r>
      <w:r>
        <w:rPr>
          <w:rFonts w:ascii="Times New Roman;serif" w:hAnsi="Times New Roman;serif"/>
          <w:b w:val="false"/>
          <w:color w:val="000000"/>
          <w:sz w:val="22"/>
          <w:u w:val="single"/>
        </w:rPr>
        <w:t>Change of Lending Office</w:t>
      </w:r>
      <w:r>
        <w:rPr>
          <w:rFonts w:ascii="Times New Roman;serif" w:hAnsi="Times New Roman;serif"/>
          <w:b w:val="false"/>
          <w:color w:val="000000"/>
          <w:sz w:val="22"/>
        </w:rPr>
        <w:t>. Each Lender agrees that, upon the occurrence of any event giving rise to the operation of Sections 2.18 or 2.19 with respect to such Lender, it will, if requested by the Company, use reasonable efforts (subject to overall policy considerations of such Lender) to designate another lending office for any Loans affected by such event with the object of avoiding the consequences of such event; provided, that such designation is made on terms that, in the good faith judgment of such Lender, (i) would eliminate or reduce the amounts payable pursuant to Section 2.18 or Section 2.19, as the case may be, in the future, (ii) would not subject such Lender to (A) any unreimbursed cost or expense or (B) significant investment of time or effort and (iii) would not otherwise be materially disadvantageous to such Lender, and provided, further, that nothing in this Section shall affect or postpone any of the obligations of any Borrower or the rights of any Lender pursuant to Section 2.18 or 2.19. The Company hereby agrees to pay all reasonable costs and expenses incurred by any Lender in connection with any such designation.</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2.22.</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 The Company shall be permitted, at its sole expense and effort, with respect to any Lender that (a) requests reimbursement for amounts owing pursuant to Section 2.18 or Section 2.19, (b) has become a Defaulting Lender hereunder or (c) in connection with any proposed amendment, waiver or consent requiring the consent of “each Lender” or “each Lender directly affected thereby” (or any other Class or group of Lenders other than the Required Lenders or Required Revolving Lenders) with respect to which Required Lender or Required Revolving Lender consent, as applicable (or the consent of Lenders holding loans or commitments of such Class or lesser group representing more than 50% of the sum of the total loans and unused commitments of such Class or lesser group at such time) has been obtained, as applicable, is a non-consenting Lender (each such Lender, a “</w:t>
      </w:r>
      <w:r>
        <w:rPr>
          <w:rFonts w:ascii="Times New Roman;serif" w:hAnsi="Times New Roman;serif"/>
          <w:b/>
          <w:color w:val="000000"/>
          <w:sz w:val="22"/>
        </w:rPr>
        <w:t>Non-Consenting Lender</w:t>
      </w:r>
      <w:r>
        <w:rPr>
          <w:color w:val="000000"/>
        </w:rPr>
        <w:t>”</w:t>
      </w:r>
      <w:r>
        <w:rPr>
          <w:rFonts w:ascii="Times New Roman;serif" w:hAnsi="Times New Roman;serif"/>
          <w:b w:val="false"/>
          <w:color w:val="000000"/>
          <w:sz w:val="22"/>
        </w:rPr>
        <w:t>) (1) to replace such Lender, with a replacement financial institution; provided that (i) the replacement financial institution shall purchase, at par, all Loans and other amounts owing to such replaced Lender on or prior to the date of replacement, (ii) the applicable Borrower shall be liable to such replaced Lender under Section 2.20 for any losses suffered or expenses incurred by such Lender if any Term Benchmark Rate Loan owing to such replaced Lender shall be purchased other than on the last day of the Interest Period relating thereto, (iii) the replacement financial institution, if not already a Lender, shall be reasonably satisfactory to the Administrative Agent to the extent such consent is required pursuant to Section 10.6, (iv) the replaced Lender shall be obligated to make such replacement in accordance with the provisions of Section 10.6 (provided that the applicable Borrower shall be obligated to pay the registration and processing fee referred to therein) or pursuant to other procedures agreed upon by the Company and the Administrative Agent including deemed assignments upon payment to the replaced Lender of amounts required to be paid to it pursuant to this Section 2.22, (v) until such time as such replacement shall be consummated, the applicable Borrower shall pay all additional amounts (if any) required pursuant to Section 2.18 or 2.19, as the case may be, and (vi) any such replacement shall not be deemed to be a waiver of any rights that any Borrower, the Administrative Agent or any other Lender shall have against the replaced Lender or (2) terminate the Commitment of such Lender and (a) in the case of a Lender, repay all Obligations of the Borrowers owing to such Lender relating to the applicable Loans, Commitments and participations held by such Lender as of such termination date and (b) in the case of an Issuing Bank, repay all Obligations of the Borrowers owing to such Issuing Bank relating to the applicable Loans, Commitments and participations held by such Issuing Bank as of such termination date and cancel or backstop on terms satisfactory to such Issuing Bank any Letters of Credit issued by it. No action by or consent of any Lender referred to in this Section 2.22, including any Defaulting Lender or Non-Consenting Lender shall be necessary in connection with such assignment, which shall be immediately and automatically effective upon payment of the amounts described in the immediately preceding sentence.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2.23.</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2.24.</w:t>
      </w:r>
      <w:r>
        <w:rPr>
          <w:rFonts w:ascii="Times New Roman;serif" w:hAnsi="Times New Roman;serif"/>
          <w:b w:val="false"/>
          <w:color w:val="000000"/>
          <w:sz w:val="22"/>
          <w:u w:val="single"/>
        </w:rPr>
        <w:t>Extension of the Facilities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 The Borrowers may at any time and from time to time, request that all or a portion of the Term Loans of a given Class (or series or tranche thereof) (each, an “</w:t>
      </w:r>
      <w:r>
        <w:rPr>
          <w:rFonts w:ascii="Times New Roman;serif" w:hAnsi="Times New Roman;serif"/>
          <w:b/>
          <w:color w:val="000000"/>
          <w:sz w:val="22"/>
        </w:rPr>
        <w:t>Existing Term Loan Tranche</w:t>
      </w:r>
      <w:r>
        <w:rPr>
          <w:color w:val="000000"/>
        </w:rPr>
        <w:t>”</w:t>
      </w:r>
      <w:r>
        <w:rPr>
          <w:rFonts w:ascii="Times New Roman;serif" w:hAnsi="Times New Roman;serif"/>
          <w:b w:val="false"/>
          <w:color w:val="000000"/>
          <w:sz w:val="22"/>
        </w:rPr>
        <w:t>) be amended to extend the scheduled maturity date(s) with respect to all or a portion of any principal amount of such Term Loans (any such Term Loans which have been so amended, “</w:t>
      </w:r>
      <w:r>
        <w:rPr>
          <w:rFonts w:ascii="Times New Roman;serif" w:hAnsi="Times New Roman;serif"/>
          <w:b/>
          <w:color w:val="000000"/>
          <w:sz w:val="22"/>
        </w:rPr>
        <w:t>Extended Term Loans</w:t>
      </w:r>
      <w:r>
        <w:rPr>
          <w:color w:val="000000"/>
        </w:rPr>
        <w:t>”</w:t>
      </w:r>
      <w:r>
        <w:rPr>
          <w:rFonts w:ascii="Times New Roman;serif" w:hAnsi="Times New Roman;serif"/>
          <w:b w:val="false"/>
          <w:color w:val="000000"/>
          <w:sz w:val="22"/>
        </w:rPr>
        <w:t>) and to provide for other terms applicable thereto consistent with this Section 2.24. In order to establish any Extended Term Loans, the Borrowers shall provide a notice to the Administrative Agent (who shall provide a copy of such notice to each of the Lenders under the applicable Existing Term Loan Tranche) (each, a “</w:t>
      </w:r>
      <w:r>
        <w:rPr>
          <w:rFonts w:ascii="Times New Roman;serif" w:hAnsi="Times New Roman;serif"/>
          <w:b/>
          <w:color w:val="000000"/>
          <w:sz w:val="22"/>
        </w:rPr>
        <w:t>Term Loan Extension Request</w:t>
      </w:r>
      <w:r>
        <w:rPr>
          <w:color w:val="000000"/>
        </w:rPr>
        <w:t>”</w:t>
      </w:r>
      <w:r>
        <w:rPr>
          <w:rFonts w:ascii="Times New Roman;serif" w:hAnsi="Times New Roman;serif"/>
          <w:b w:val="false"/>
          <w:color w:val="000000"/>
          <w:sz w:val="22"/>
        </w:rPr>
        <w:t xml:space="preserve">) setting forth the proposed terms of the Extended Term Loans to be established, which shall (x) be identical as offered to each Lender under such Existing Term Loan Tranche (including as to the proposed interest rates and fees payable) and offered pro rata to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each Lender under such Existing Term Loan Tranche and (y) be identical to the Term Loans under the Existing Term Loan Tranche from which such Extended Term Loans are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(ii) the All-in Yield with respect to the Extended Term Loans may be different than the All-in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and (iv) the Extended Term Loans may have prepayment premiums or call protection as may be agreed by the Borrowers and the Lenders thereof; provided</w:t>
      </w:r>
      <w:r>
        <w:rPr>
          <w:color w:val="000000"/>
        </w:rPr>
        <w:t xml:space="preserve"> </w:t>
      </w:r>
      <w:r>
        <w:rPr>
          <w:rFonts w:ascii="Times New Roman;serif" w:hAnsi="Times New Roman;serif"/>
          <w:b w:val="false"/>
          <w:color w:val="000000"/>
          <w:sz w:val="22"/>
        </w:rPr>
        <w:t>that that (A) in no event shall the final maturity date of any Extended Term Loans of a given Term Loan Extension Series at the time of establishment thereof be earlier than the maturity date of the applicable Existing Term Loan Tranche, (B) the Weighted Average Life to Maturity of any Extended Term Loans of a given Term Loan Extension Series at the time of establishment thereof shall be no shorter than the remaining Weighted Average Life to Maturity of the applicable Existing Term Loan Tranche, (C) all documentation in respect of such Extension Amendment shall be consistent with the foregoing and (D) any Extended Term Loans may participate on a pro rata basis or less than a pro rata basis (but not greater than a pro rata basis) in any mandatory repayments or prepayments hereunder, in each case as specified in the respective Term Loan Extension Request. Any Class of Extended Term Loans amended pursuant to any Term Loan Extension Request shall be designated a series (each, a “</w:t>
      </w:r>
      <w:r>
        <w:rPr>
          <w:rFonts w:ascii="Times New Roman;serif" w:hAnsi="Times New Roman;serif"/>
          <w:b/>
          <w:color w:val="000000"/>
          <w:sz w:val="22"/>
        </w:rPr>
        <w:t>Term Loan Extension Series</w:t>
      </w:r>
      <w:r>
        <w:rPr>
          <w:color w:val="000000"/>
        </w:rPr>
        <w:t>”</w:t>
      </w:r>
      <w:r>
        <w:rPr>
          <w:rFonts w:ascii="Times New Roman;serif" w:hAnsi="Times New Roman;serif"/>
          <w:b w:val="false"/>
          <w:color w:val="000000"/>
          <w:sz w:val="22"/>
        </w:rPr>
        <w:t>) of Extended Term Loans for all purposes of this Agreement; provided</w:t>
      </w:r>
      <w:r>
        <w:rPr>
          <w:color w:val="000000"/>
        </w:rPr>
        <w:t xml:space="preserve"> </w:t>
      </w:r>
      <w:r>
        <w:rPr>
          <w:rFonts w:ascii="Times New Roman;serif" w:hAnsi="Times New Roman;serif"/>
          <w:b w:val="false"/>
          <w:color w:val="000000"/>
          <w:sz w:val="22"/>
        </w:rPr>
        <w:t>that any Extended Term Loans amended from an Existing Term Loan Tranche may, to the extent provided in the applicable Extension Amendment, be designated as an increase in any previously established Term Loan Extension Series with respect to such Existing Term Loan Tranche. Each Term Loan Extension Series of Extended Term Loans incurred under this Section 2.24 shall be in an aggregate principal amount that is not less than $20,000,000 (or such lesser amount as to which the Administrative Agent may agree).</w:t>
      </w:r>
    </w:p>
    <w:p>
      <w:pPr>
        <w:pStyle w:val="TextBody"/>
        <w:bidi w:val="0"/>
        <w:spacing w:lineRule="auto" w:line="288" w:before="0" w:after="240"/>
        <w:ind w:left="0" w:right="0" w:firstLine="720"/>
        <w:jc w:val="both"/>
        <w:rPr/>
      </w:pPr>
      <w:r>
        <w:rPr>
          <w:rFonts w:ascii="Times New Roman;serif" w:hAnsi="Times New Roman;serif"/>
          <w:b w:val="false"/>
          <w:color w:val="000000"/>
          <w:sz w:val="22"/>
        </w:rPr>
        <w:t>(II)    The Company may at any time and from time to time, in its sole discretion, request that all or a portion of the Revolving Commitments or commitments in respect of an Incremental Revolving Facility (“</w:t>
      </w:r>
      <w:r>
        <w:rPr>
          <w:rFonts w:ascii="Times New Roman;serif" w:hAnsi="Times New Roman;serif"/>
          <w:b/>
          <w:color w:val="000000"/>
          <w:sz w:val="22"/>
        </w:rPr>
        <w:t>Incremental Revolving Commitments</w:t>
      </w:r>
      <w:r>
        <w:rPr>
          <w:color w:val="000000"/>
        </w:rPr>
        <w:t>”</w:t>
      </w:r>
      <w:r>
        <w:rPr>
          <w:rFonts w:ascii="Times New Roman;serif" w:hAnsi="Times New Roman;serif"/>
          <w:b w:val="false"/>
          <w:color w:val="000000"/>
          <w:sz w:val="22"/>
        </w:rPr>
        <w:t>) of a given Class (or series or tranche thereof) (each, an “</w:t>
      </w:r>
      <w:r>
        <w:rPr>
          <w:rFonts w:ascii="Times New Roman;serif" w:hAnsi="Times New Roman;serif"/>
          <w:b/>
          <w:color w:val="000000"/>
          <w:sz w:val="22"/>
        </w:rPr>
        <w:t>Existing Revolver Tranche</w:t>
      </w:r>
      <w:r>
        <w:rPr>
          <w:color w:val="000000"/>
        </w:rPr>
        <w:t>”</w:t>
      </w:r>
      <w:r>
        <w:rPr>
          <w:rFonts w:ascii="Times New Roman;serif" w:hAnsi="Times New Roman;serif"/>
          <w:b w:val="false"/>
          <w:color w:val="000000"/>
          <w:sz w:val="22"/>
        </w:rPr>
        <w:t>) be amended to extend the maturity date with respect to all or a portion of any principal amount of such Revolving Commitments or Incremental Revolving Commitments (any such Revolving Commitments or Incremental Revolving Commitments which have been so amended, “</w:t>
      </w:r>
      <w:r>
        <w:rPr>
          <w:rFonts w:ascii="Times New Roman;serif" w:hAnsi="Times New Roman;serif"/>
          <w:b/>
          <w:color w:val="000000"/>
          <w:sz w:val="22"/>
        </w:rPr>
        <w:t>Extended Revolving Commitments</w:t>
      </w:r>
      <w:r>
        <w:rPr>
          <w:color w:val="000000"/>
        </w:rPr>
        <w:t>”</w:t>
      </w:r>
      <w:r>
        <w:rPr>
          <w:rFonts w:ascii="Times New Roman;serif" w:hAnsi="Times New Roman;serif"/>
          <w:b w:val="false"/>
          <w:color w:val="000000"/>
          <w:sz w:val="22"/>
        </w:rPr>
        <w:t>) and to provide for other terms consistent with this Section 2.24. In order to establish any Extended Revolving Commitments, the Company shall provide a notice to the Administrative Agent (who shall provide a copy of such notice to each of the Lenders under the applicable Existing Revolver Tranche) (each, a “</w:t>
      </w:r>
      <w:r>
        <w:rPr>
          <w:rFonts w:ascii="Times New Roman;serif" w:hAnsi="Times New Roman;serif"/>
          <w:b/>
          <w:color w:val="000000"/>
          <w:sz w:val="22"/>
        </w:rPr>
        <w:t>Revolver Extension Request</w:t>
      </w:r>
      <w:r>
        <w:rPr>
          <w:color w:val="000000"/>
        </w:rPr>
        <w:t xml:space="preserve">” </w:t>
      </w:r>
      <w:r>
        <w:rPr>
          <w:rFonts w:ascii="Times New Roman;serif" w:hAnsi="Times New Roman;serif"/>
          <w:b w:val="false"/>
          <w:color w:val="000000"/>
          <w:sz w:val="22"/>
        </w:rPr>
        <w:t>and together with a Term Loan Extension Request, an “</w:t>
      </w:r>
      <w:r>
        <w:rPr>
          <w:rFonts w:ascii="Times New Roman;serif" w:hAnsi="Times New Roman;serif"/>
          <w:b/>
          <w:color w:val="000000"/>
          <w:sz w:val="22"/>
        </w:rPr>
        <w:t>Extension Request</w:t>
      </w:r>
      <w:r>
        <w:rPr>
          <w:color w:val="000000"/>
        </w:rPr>
        <w:t>”</w:t>
      </w:r>
      <w:r>
        <w:rPr>
          <w:rFonts w:ascii="Times New Roman;serif" w:hAnsi="Times New Roman;serif"/>
          <w:b w:val="false"/>
          <w:color w:val="000000"/>
          <w:sz w:val="22"/>
        </w:rPr>
        <w:t xml:space="preserve">) setting forth the proposed terms of the Extended Revolving Commitments to be established, which shall (x) be identical as offered to each Lender under such Existing Revolver Tranche (including as to the proposed interest rates and fees payable) and offered pro rata to each Lender under such Existing Revolver Tranche and (y) be identical to the Revolving Commitments under the Existing Revolver Tranche from which such Extended Revolving Commitments are to be amended, except that: (i) the maturity date of the Extended Revolving Commitments may be delayed to a later date than the maturity date of the Revolving Commitments of such Existing Revolver Tranche, to the extent provided in the applicable Extension Amendment; (ii) the All-in Yield with respect to extensions of credit under the Extended Revolving Commitments (whether in the form of interest rate margin, upfront fees, commitment fees, OID or otherwise) may be different than the All-in Yield for extensions of credit under the Revolving Commitments of such Existing Revolver Tranche, in each case,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to the extent provided in the applicable Extension Amendment; (iii) the Extension Amendment may provide for other covenants and terms that apply solely to any period after the Latest Maturity Date that is in effect on the effective date of the Extension Amendment; and (iv) all borrowings under the applicable Revolving Commitments (i.e., the Existing Revolver Tranche and the Extended Revolving Commitments of the applicable Revolver Extension Series) and repayments thereunder shall be made on a pro rata basis (except for (I) payments of interest and fees at different rates on Extended Revolving Commitments (and related outstandings) and (II) repayments required upon the maturity date of the non-extending Revolving Commitments); provided, further, that all documentation in respect of such Extension Amendment shall be consistent with the foregoing. Any Extended Revolving Commitments amended pursuant to any Revolver Extension Request shall be designated a series (each, a “</w:t>
      </w:r>
      <w:r>
        <w:rPr>
          <w:rFonts w:ascii="Times New Roman;serif" w:hAnsi="Times New Roman;serif"/>
          <w:b/>
          <w:color w:val="000000"/>
          <w:sz w:val="22"/>
        </w:rPr>
        <w:t>Revolver Extension Series</w:t>
      </w:r>
      <w:r>
        <w:rPr>
          <w:color w:val="000000"/>
        </w:rPr>
        <w:t xml:space="preserve">” </w:t>
      </w:r>
      <w:r>
        <w:rPr>
          <w:rFonts w:ascii="Times New Roman;serif" w:hAnsi="Times New Roman;serif"/>
          <w:b w:val="false"/>
          <w:color w:val="000000"/>
          <w:sz w:val="22"/>
        </w:rPr>
        <w:t>(and together with a Term Loan Extension Series, any “</w:t>
      </w:r>
      <w:r>
        <w:rPr>
          <w:rFonts w:ascii="Times New Roman;serif" w:hAnsi="Times New Roman;serif"/>
          <w:b/>
          <w:color w:val="000000"/>
          <w:sz w:val="22"/>
        </w:rPr>
        <w:t>Extension Series</w:t>
      </w:r>
      <w:r>
        <w:rPr>
          <w:color w:val="000000"/>
        </w:rPr>
        <w:t>”</w:t>
      </w:r>
      <w:r>
        <w:rPr>
          <w:rFonts w:ascii="Times New Roman;serif" w:hAnsi="Times New Roman;serif"/>
          <w:b w:val="false"/>
          <w:color w:val="000000"/>
          <w:sz w:val="22"/>
        </w:rPr>
        <w:t>)) of Extended Revolving Commitments for all purposes of this Agreement; provided that any Extended Revolving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Commitments incurred under this Section 2.24 shall be in an aggregate principal amount that is not less than $5,000,000 (or such lesser amount as to which the Administrative Agent may agree).</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Borrowers shall provide the applicable Extension Request at least three (3) Business Days (or such shorter period as may be agreed by the Administrative Agent) prior to the date on which Lenders under the Existing Term Loan Tranche or Existing Revolver Tranche, as applicable, are requested to respond, and shall agree to such procedures, if any, as may be established by, or acceptable to, the Administrative Agent, in each case acting reasonably to accomplish the purposes of this Section 2.24. No Lender shall have any obligation to agree to have any of its Term Loans of any Existing Term Loan Tranche amended into Extended Term Loans or any of its Revolving Commitments amended into Extended Revolving Commitments, as applicable, pursuant to any Extension Request. Any Lender holding a Loan under an Existing Term Loan Tranche (each, an “</w:t>
      </w:r>
      <w:r>
        <w:rPr>
          <w:rFonts w:ascii="Times New Roman;serif" w:hAnsi="Times New Roman;serif"/>
          <w:b/>
          <w:color w:val="000000"/>
          <w:sz w:val="22"/>
        </w:rPr>
        <w:t>Extending Term Lender</w:t>
      </w:r>
      <w:r>
        <w:rPr>
          <w:color w:val="000000"/>
        </w:rPr>
        <w:t>”</w:t>
      </w:r>
      <w:r>
        <w:rPr>
          <w:rFonts w:ascii="Times New Roman;serif" w:hAnsi="Times New Roman;serif"/>
          <w:b w:val="false"/>
          <w:color w:val="000000"/>
          <w:sz w:val="22"/>
        </w:rPr>
        <w:t>) wishing to have all or a portion of its Term Loans under the Existing Term Loan Tranche subject to such Extension Request amended into Extended Term Loans and any Revolving Lender (each, an “</w:t>
      </w:r>
      <w:r>
        <w:rPr>
          <w:rFonts w:ascii="Times New Roman;serif" w:hAnsi="Times New Roman;serif"/>
          <w:b/>
          <w:color w:val="000000"/>
          <w:sz w:val="22"/>
        </w:rPr>
        <w:t>Extending Revolving Lender</w:t>
      </w:r>
      <w:r>
        <w:rPr>
          <w:color w:val="000000"/>
        </w:rPr>
        <w:t>”</w:t>
      </w:r>
      <w:r>
        <w:rPr>
          <w:rFonts w:ascii="Times New Roman;serif" w:hAnsi="Times New Roman;serif"/>
          <w:b w:val="false"/>
          <w:color w:val="000000"/>
          <w:sz w:val="22"/>
        </w:rPr>
        <w:t>) wishing to have all or a portion of its Revolving Commitments under the Existing Revolver Tranche subject to such Extension Request amended into Extended Revolving Commitments, as applicable, shall notify the Administrative Agent (each, an “</w:t>
      </w:r>
      <w:r>
        <w:rPr>
          <w:rFonts w:ascii="Times New Roman;serif" w:hAnsi="Times New Roman;serif"/>
          <w:b/>
          <w:color w:val="000000"/>
          <w:sz w:val="22"/>
        </w:rPr>
        <w:t>Extension Election</w:t>
      </w:r>
      <w:r>
        <w:rPr>
          <w:color w:val="000000"/>
        </w:rPr>
        <w:t>”</w:t>
      </w:r>
      <w:r>
        <w:rPr>
          <w:rFonts w:ascii="Times New Roman;serif" w:hAnsi="Times New Roman;serif"/>
          <w:b w:val="false"/>
          <w:color w:val="000000"/>
          <w:sz w:val="22"/>
        </w:rPr>
        <w:t>)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Commitments, as applicable (subject to any minimum denomination requirements imposed by the Administrative Agent). In the event that the aggregate principal amount of Term Loans under the Existing Term Loan Tranche or Revolving Commitments under the Existing Revolver Tranche, as applicable, in respect of which applicable Term Lenders or Revolving Lenders, as the case may be, shall have accepted the relevant Extension Request exceeds the amount of Extended Term Loans or Extended Revolving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the Administrative Agent, which shall be conclusive absent manifest error) based on the aggregate principal amount of Term Loans or Revolving Commitments, as applicable, included in each such Extension Election.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Extended Term Loans and Extended Revolving Commitments shall be established pursuant to an amendment (each, an “</w:t>
      </w:r>
      <w:r>
        <w:rPr>
          <w:rFonts w:ascii="Times New Roman;serif" w:hAnsi="Times New Roman;serif"/>
          <w:b/>
          <w:color w:val="000000"/>
          <w:sz w:val="22"/>
        </w:rPr>
        <w:t>Extension Amendment</w:t>
      </w:r>
      <w:r>
        <w:rPr>
          <w:color w:val="000000"/>
        </w:rPr>
        <w:t>”</w:t>
      </w:r>
      <w:r>
        <w:rPr>
          <w:rFonts w:ascii="Times New Roman;serif" w:hAnsi="Times New Roman;serif"/>
          <w:b w:val="false"/>
          <w:color w:val="000000"/>
          <w:sz w:val="22"/>
        </w:rPr>
        <w:t xml:space="preserve">) to this Agreement among the Company, the Administrative Agent and each Extending Term Lender or Extending Revolving Lender, as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providing an Extended Term Loan or Extended Revolving Commitment, as applicable, thereunder, which shall be consistent with the provisions set forth in Section 2.24(a) above, respectively (but which shall not require the consent of any other Lender). The effectiveness of any Extension Amendment shall be subject to the satisfaction on the date thereof of each of the conditions set forth in Section 5.3 and, to the extent reasonably requested by the Administrative Agent, receipt by the Administrative Agent of reaffirmation agreements and/or such amendments to the Security Documents as may be reasonably requested by the Administrative Agent in order to ensure that the Extended Term Loans or Extended Revolving Commitments, as applicable, are provided with the benefit of the applicable Loan Documents. The Company may, at its election, specify as a condition to consummating any Extension Amendment that a minimum amount (to be determined and specified in the relevant Extension Request in the Company’s sole discretion and as may be waived by the Company) of Term Loans, Revolving Commitments or Incremental Revolving Commitments (as applicable) of any or all applicable Classes be tendered.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Commitments, as applicable, incurred pursuant thereto, (ii) modify the scheduled repayments applicable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Election (with such amount to be applied ratably to reduce scheduled repayments of such Term Loans), (iii) modify the prepayments applicable to the Term Loans to reflect the existence of the Extended Term Loans and the application of prepayments with respect thereto, (iv) make such other changes to this Agreement and the other Loan Documents consistent with the provisions and intent of Section 10.1 (without the consent of the Required Lenders called for therein) and (v) effect such other amendments to this Agreement and the other Loan Documents as may be necessary or appropriate, in the reasonable opinion of the Administrative Agent and the Company, to effect the provisions of this Section 2.24, and the Required Lenders hereby expressly authorize the Administrative Agent to enter into any such Extension Amendment.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No extension of Loans pursuant to any Extension Election in accordance with this Section 2.24 shall constitute a voluntary or mandatory payment or prepayment for purposes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This Section 2.24 shall supersede any provisions in Section 2.17 or </w:t>
      </w:r>
      <w:r>
        <w:rPr>
          <w:rFonts w:ascii="Times New Roman;serif" w:hAnsi="Times New Roman;serif"/>
          <w:b/>
          <w:color w:val="000000"/>
          <w:sz w:val="22"/>
        </w:rPr>
        <w:t xml:space="preserve">10.1 </w:t>
      </w:r>
      <w:r>
        <w:rPr>
          <w:rFonts w:ascii="Times New Roman;serif" w:hAnsi="Times New Roman;serif"/>
          <w:b w:val="false"/>
          <w:color w:val="000000"/>
          <w:sz w:val="22"/>
        </w:rPr>
        <w:t>to the contrary.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2.25.</w:t>
      </w:r>
      <w:r>
        <w:rPr>
          <w:rFonts w:ascii="Times New Roman;serif" w:hAnsi="Times New Roman;serif"/>
          <w:b w:val="false"/>
          <w:color w:val="000000"/>
          <w:sz w:val="22"/>
          <w:u w:val="single"/>
        </w:rPr>
        <w:t>Incremental Loan Extensions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Any applicable Borrower may, at any time, on one or more occasions pursuant to an Incremental Facility Amendment (i) add one or more new Classes of term facilities and/or increase the principal amount of any Term Loans of any existing Class by requesting new term loan commitments to be added to such Loans (any such new Class or increase, an “</w:t>
      </w:r>
      <w:r>
        <w:rPr>
          <w:rFonts w:ascii="Times New Roman;serif" w:hAnsi="Times New Roman;serif"/>
          <w:b/>
          <w:color w:val="000000"/>
          <w:sz w:val="22"/>
        </w:rPr>
        <w:t>Incremental Term Facility</w:t>
      </w:r>
      <w:r>
        <w:rPr>
          <w:color w:val="000000"/>
        </w:rPr>
        <w:t xml:space="preserve">” </w:t>
      </w:r>
      <w:r>
        <w:rPr>
          <w:rFonts w:ascii="Times New Roman;serif" w:hAnsi="Times New Roman;serif"/>
          <w:b w:val="false"/>
          <w:color w:val="000000"/>
          <w:sz w:val="22"/>
        </w:rPr>
        <w:t>and any loans made pursuant to an Incremental Term Facility, “</w:t>
      </w:r>
      <w:r>
        <w:rPr>
          <w:rFonts w:ascii="Times New Roman;serif" w:hAnsi="Times New Roman;serif"/>
          <w:b/>
          <w:color w:val="000000"/>
          <w:sz w:val="22"/>
        </w:rPr>
        <w:t>Incremental Term Loans</w:t>
      </w:r>
      <w:r>
        <w:rPr>
          <w:color w:val="000000"/>
        </w:rPr>
        <w:t>”</w:t>
      </w:r>
      <w:r>
        <w:rPr>
          <w:rFonts w:ascii="Times New Roman;serif" w:hAnsi="Times New Roman;serif"/>
          <w:b w:val="false"/>
          <w:color w:val="000000"/>
          <w:sz w:val="22"/>
        </w:rPr>
        <w:t>) and/or (ii) add one or more new Classes of revolving commitments and/or increase the aggregate amount of the Revolving Commitments of any existing Class (any such new Class or increase, an “</w:t>
      </w:r>
      <w:r>
        <w:rPr>
          <w:rFonts w:ascii="Times New Roman;serif" w:hAnsi="Times New Roman;serif"/>
          <w:b/>
          <w:color w:val="000000"/>
          <w:sz w:val="22"/>
        </w:rPr>
        <w:t>Incremental Revolving Facility</w:t>
      </w:r>
      <w:r>
        <w:rPr>
          <w:color w:val="000000"/>
        </w:rPr>
        <w:t xml:space="preserve">” </w:t>
      </w:r>
      <w:r>
        <w:rPr>
          <w:rFonts w:ascii="Times New Roman;serif" w:hAnsi="Times New Roman;serif"/>
          <w:b w:val="false"/>
          <w:color w:val="000000"/>
          <w:sz w:val="22"/>
        </w:rPr>
        <w:t>and, together with any Incremental Term Facility, “</w:t>
      </w:r>
      <w:r>
        <w:rPr>
          <w:rFonts w:ascii="Times New Roman;serif" w:hAnsi="Times New Roman;serif"/>
          <w:b/>
          <w:color w:val="000000"/>
          <w:sz w:val="22"/>
        </w:rPr>
        <w:t>Incremental Facilities</w:t>
      </w:r>
      <w:r>
        <w:rPr>
          <w:color w:val="000000"/>
        </w:rPr>
        <w:t>”</w:t>
      </w:r>
      <w:r>
        <w:rPr>
          <w:rFonts w:ascii="Times New Roman;serif" w:hAnsi="Times New Roman;serif"/>
          <w:b w:val="false"/>
          <w:color w:val="000000"/>
          <w:sz w:val="22"/>
        </w:rPr>
        <w:t>, or either or any thereof, an “</w:t>
      </w:r>
      <w:r>
        <w:rPr>
          <w:rFonts w:ascii="Times New Roman;serif" w:hAnsi="Times New Roman;serif"/>
          <w:b/>
          <w:color w:val="000000"/>
          <w:sz w:val="22"/>
        </w:rPr>
        <w:t>Incremental Facility</w:t>
      </w:r>
      <w:r>
        <w:rPr>
          <w:color w:val="000000"/>
        </w:rPr>
        <w:t>”</w:t>
      </w:r>
      <w:r>
        <w:rPr>
          <w:rFonts w:ascii="Times New Roman;serif" w:hAnsi="Times New Roman;serif"/>
          <w:b w:val="false"/>
          <w:color w:val="000000"/>
          <w:sz w:val="22"/>
        </w:rPr>
        <w:t>; and the loans thereunder, “</w:t>
      </w:r>
      <w:r>
        <w:rPr>
          <w:rFonts w:ascii="Times New Roman;serif" w:hAnsi="Times New Roman;serif"/>
          <w:b/>
          <w:color w:val="000000"/>
          <w:sz w:val="22"/>
        </w:rPr>
        <w:t>Incremental Revolving Loans</w:t>
      </w:r>
      <w:r>
        <w:rPr>
          <w:color w:val="000000"/>
        </w:rPr>
        <w:t xml:space="preserve">” </w:t>
      </w:r>
      <w:r>
        <w:rPr>
          <w:rFonts w:ascii="Times New Roman;serif" w:hAnsi="Times New Roman;serif"/>
          <w:b w:val="false"/>
          <w:color w:val="000000"/>
          <w:sz w:val="22"/>
        </w:rPr>
        <w:t>and, together with any Incremental Term Loans, “</w:t>
      </w:r>
      <w:r>
        <w:rPr>
          <w:rFonts w:ascii="Times New Roman;serif" w:hAnsi="Times New Roman;serif"/>
          <w:b/>
          <w:color w:val="000000"/>
          <w:sz w:val="22"/>
        </w:rPr>
        <w:t>Incremental Loans</w:t>
      </w:r>
      <w:r>
        <w:rPr>
          <w:color w:val="000000"/>
        </w:rPr>
        <w:t>”</w:t>
      </w:r>
      <w:r>
        <w:rPr>
          <w:rFonts w:ascii="Times New Roman;serif" w:hAnsi="Times New Roman;serif"/>
          <w:b w:val="false"/>
          <w:color w:val="000000"/>
          <w:sz w:val="22"/>
        </w:rPr>
        <w:t xml:space="preserve">) in an aggregate outstanding principal amount not to exceed the Incremental Cap;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(i)no commitments in respect of Incremental Loans (“</w:t>
      </w:r>
      <w:r>
        <w:rPr>
          <w:rFonts w:ascii="Times New Roman;serif" w:hAnsi="Times New Roman;serif"/>
          <w:b/>
          <w:color w:val="000000"/>
          <w:sz w:val="22"/>
        </w:rPr>
        <w:t>Incremental Commitment</w:t>
      </w:r>
      <w:r>
        <w:rPr>
          <w:color w:val="000000"/>
        </w:rPr>
        <w:t>”</w:t>
      </w:r>
      <w:r>
        <w:rPr>
          <w:rFonts w:ascii="Times New Roman;serif" w:hAnsi="Times New Roman;serif"/>
          <w:b w:val="false"/>
          <w:color w:val="000000"/>
          <w:sz w:val="22"/>
        </w:rPr>
        <w:t>) in respect of any Incremental Facility may be in an amount that is less than $10,000,000 (or such lesser amount to which the Administrative Agent may reasonably agree),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(ii)except as separately agreed from time to time between such Borrower and any Lender, no Lender shall be obligated to provide any Incremental Commitment, and the determination to provide such commitments shall be within the sole and absolute discretion of such Lender (it being agreed that such Borrower shall not be obligated to offer the opportunity to any Lender to participate in any Incremental Facility),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(iii)no Incremental Facility or Incremental Loan (nor the creation, provision or implementation thereof) shall require the approval of any existing Lender other than in its capacity, if any, as a lender providing all or part of such Incremental Facility or Incremental Loan,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(iv)the final maturity date of any Incremental Revolving Facility or any Incremental Term Facility shall be no earlier than the Latest Maturity Date;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foregoing limitation shall not apply to a customary bridge facility which, subject to customary conditions, automatically convert into long-term debt satisfying the requirements of this clause (iv) or to any Incremental Revolving Facility or any Incremental Term Facility incurred in reliance on the Inside Maturity Basket,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(vi)subject to clause (iv) above, any Incremental Term Facility may otherwise have interest rates, call protection, mandatory prepayments and an amortization schedule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amortization schedule is customary for term facilities of the same type as the Incremental Term Facility) as determined by such Borrower and the lenders providing such Incremental Term Facility,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(vii)to the extent applicable, the fees payable in connection with any Incremental Facility shall be determined by such Borrower and the arrangers and/or lenders providing such Incremental Facility,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(viii)(A) no Incremental Facility may be guaranteed by any Subsidiaries other than Subsidiaries that are Guarantors, (B) each Incremental Facility shall either be (x) secured by a Lien on the Collateral that is pari passu (but without regard to the control of remedies) with the Liens securing the Obligations, (y) secured by a Lien on the Collateral that is junior to the Liens securing the Obligations or (z) unsecured or secured solely by assets that do not constitute Collateral and (C) each Incremental Facility shall either rank pari passu with or junior to the Obligations in right of payment.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(ix)any Incremental Term Facility may provide for the ability to participate (A) a pro rata basis or non-pro rata basis in any voluntary prepayment of Term Loans, in each case, made pursuant to Section 2.10 and (B) on a pro rata or less than pro rata basis (but not on a greater than pro rata basis, other than in the case of prepayment with proceeds of Indebtedness refinancing such Incremental Term Loans) in any mandatory prepayment of Term Loans required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(x)subject to Section 1.4(d), (A) no Default or Event of Default shall exist immediately prior to or after giving effect to the effectiveness of such Incremental Facility and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0"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 the representations and warranties made by any Loan Party in or pursuant to the Loan Documents shall be true and correct in all material respects (and in all respects if any such representation and warranty is qualified by materiality) on and as of the date of effectiveness of such Incremental Facility (except to the extent any such representation and warranty expressly relates to an earlier date, in which case it was true and correct in all material respects (and in all respects if any such representation and warranty is qualified by materiality) as of such earlier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(xi)except as otherwise required or permitted in clauses (i) through (x) above and except in the case of any increase in the principal amount of Loans of any existing Class, all other terms of any Incremental Facility shall be as agreed between such Borrower and the Lenders providing such Incremental Facility;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to the extent such terms are not consistent with the terms in respect of the applicable Facility, they shall be not materially more restrictive (as determined by such Borrower in good faith), when taken as a whole, than those under such applicable Facility (except for covenants or other provisions (x) applicable only to periods after the Latest Maturity Date, (y) that are also added for the benefit of each applicable Facility or (z) that are reasonably satisfactory to the Administrative Agent); provided that, in the case of clauses (w), (y) and (z), if any financial maintenance covenant for the benefit of any Incremental Facility is added or is more restrictive than the financial maintenance covenant then applicable to any then-existing Revolving Facility, such financial maintenance covenant shall be applied to any then-existing Revolving Facility,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(xii)the terms in respect of any Incremental Facility constituting an increase in the principal amount of an existing Class shall be the same as the terms of such existing Class;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(xiii)the proceeds of any Incremental Facility may be used for working capital, Capital Expenditures and other general corporate purposes of the applicable Borrowers and their Subsidiaries (including permitted Restricted Payments, Investments, permitted acquisitions, Restricted Debt Payments) and any other purpose not prohibited by the terms of the Loan Documents,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(xiv)on the date of the making of any Incremental Term Loans that will be added to any Class of then existing Term Loans, and notwithstanding anything to the contrary set forth in Sections 2.14, such Incremental Term Loans shall be added to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clause may result in new Incremental Term Loans having Interest Periods (the duration of which may be less than one month) that begin during an Interest Period then applicable to outstanding Term Benchmark Loans of the relevant Class and which end on the last day of such Interest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Incremental Commitments may be provided by any existing Lender or by any other Assignee (any such other Assignee being called an “</w:t>
      </w:r>
      <w:r>
        <w:rPr>
          <w:rFonts w:ascii="Times New Roman;serif" w:hAnsi="Times New Roman;serif"/>
          <w:b/>
          <w:color w:val="000000"/>
          <w:sz w:val="22"/>
        </w:rPr>
        <w:t>Additional Lender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Administrative Agent, Issuing Banks and the Swingline Lender shall have consented (such consent not to be unreasonably withheld, conditioned or delayed) to the relevant Additional Lender’s provision of Incremental Commitments if such consent would be required under Section 10.6(c) for an assignment of Loans to such Additional Lender.</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Lender or Additional Lender providing a portion of any Incremental Commitment shall execute and deliver to the Administrative Agent and such Borrower all such documentation (including the relevant Incremental Facility Amendment) as may be reasonably required by the Administrative Agent to evidence and effectuate such Incremental Commitment. On the effective date of such Incremental Commitment, each Additional Lender shall become a Lender for all purposes in connection with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As a condition precedent to the effectiveness of any Incremental Facility or the making of any Incremental Loans, (i) upon its request, the Administrative Agent shall have received reaffirmation agreements, supplements and/or amendments as it shall reasonably require, (ii) the Administrative Agent shall have received, from each Additional Lender, an Administrative Questionnaire and such other documents as it shall reasonably require from such Additional Lender and (iii) the Administrative Agent and applicable Additional Lenders shall have received all fees required to be paid in respect of such Incremental Facility or Incremental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Lenders hereby irrevocably authorize the Administrative Agent to enter into any Incremental Facility Amendment and/or any amendment to any other Loan Document with the Company and/or such Borrower as may be necessary in order to establish new or any increase in any Classes or sub-Classes in respect of Loans or commitments pursuant to this Section 2.25 and such technical amendments as may be necessary or appropriate in the reasonable opinion of the Administrative Agent and such Borrower in connection with the establishment of such Classes or sub-Classes, in each case on terms consistent with this Section 2.25 (including with respect to (i) establishing Incremental Revolving Commitments denominated in a foreign currency, (ii) the incorporation of customary agency provisions of the Administrative Agent required for the administration of a revolving credit facility, letter of credit facility and/or swing line loan facility established pursuant to any Class of Incremental Revolving Commitments (including provisions with respect to the inclusion of a customary base rate option for Borrowings under such revolving credit facility), (iii) the appointment of a letter of credit issuer and/or swing line lender pursuant to any Class of Incremental Revolving Commitments, (iv) the appointment of one or more a Subsidiary Guarantors as a Borrower in respect of such Incremental Facility and/or (v) providing that any or all of the Financial Covenants may apply with respect to any Incremental Term Facility in the form of term “a” loans to the extent required by the lenders providing such Incremental Term Facility (including, for the avoidance of doubt, applicable amendments to Section 8 and Section 10.1(c)(i)).</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Notwithstanding anything to the contrary in this Section 2.25 (including Section 2.25(d)) or in any other provision of any Loan Document, if the proceeds of any Incremental Term Facility are intended to be applied to finance an acquisition or other Investment and the lenders providing such Incremental Term Facility so agree, the availability thereof shall be subject to customary “SunGard” or “certain funds” conditionality (including the making and accuracy of customary specified representations in connection with such acquisition or other Investment).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This Section 2.25 shall supersede any provision in Section 2.17 or 10.1 to the contrary.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Upon the implementation of any Incremental Revolving Facility pursuant to this Section 2.25:</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(i)if such Incremental Revolving Facility establishes Revolving Commitments of the same Class as any then-existing Class of Revolving Commitments, (i) each Revolving Lender immediately prior to such increase will automatically and without further act be deemed to have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2"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assigned to each relevant Lender under such Incremental Revolving Facility, and each relevant Lender under such Incremental Revolving Facility will automatically and without further act be deemed to have assumed a portion of such Revolving Lender’s participations hereunder in outstanding Letters of Credit and Swingline Loans such that, after giving effect to each deemed assignment and assumption of participations, all of the Revolving Lenders’ (including each Lender’s under such Incremental Revolving Facility) (A) participations hereunder in Letters of Credit and (B) participations hereunder in Swingline Loans shall be held on a pro rata basis on the basis of their respective Revolving Commitments (after giving effect to any increase in the Revolving Commitment pursuant to this Section 2.25) and (ii)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Commitments of such Class (after giving effect to any increase in the Revolving Commitment pursuant to this Section 2.25); it being understood and agreed that the minimum borrowing, pro rata borrowing and pro rata payment requirements contained elsewhere in this Agreement shall not apply to the transactions effected pursuant to this clause (i);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(ii)if such Incremental Revolving Facility establishes Revolving Commitments of a new Class, (1) the borrowing and repayment (except for (A) payments of interest and fees at different rates on any Revolving Facility, (B) repayments required upon the maturity date of any Revolving Facility and (C) repayments made in connection with any permanent repayment and termination of any Revolving Commitments (subject to </w:t>
      </w:r>
      <w:r>
        <w:rPr>
          <w:rFonts w:ascii="Times New Roman;serif" w:hAnsi="Times New Roman;serif"/>
          <w:b w:val="false"/>
          <w:color w:val="000000"/>
          <w:sz w:val="22"/>
          <w:u w:val="single"/>
        </w:rPr>
        <w:t>clause (3)</w:t>
      </w:r>
      <w:r>
        <w:rPr>
          <w:color w:val="000000"/>
        </w:rPr>
        <w:t xml:space="preserve"> </w:t>
      </w:r>
      <w:r>
        <w:rPr>
          <w:rFonts w:ascii="Times New Roman;serif" w:hAnsi="Times New Roman;serif"/>
          <w:b w:val="false"/>
          <w:color w:val="000000"/>
          <w:sz w:val="22"/>
        </w:rPr>
        <w:t xml:space="preserve">below)) of Incremental Revolving Loans after the effective date of such Incremental Revolving Facility shall be made on a pro rata basis with any then-existing Revolving Facility, (2) all Swingline Loans and/or Letters of Credit made or issued, as applicable, under such Incremental Revolving Facility shall be participated on a pro rata basis by all Revolving Lenders and (3) any permanent repayment of Revolving Loans with respect to, and reduction or termination of Revolving Commitments under, any Revolving Facility after the effective date of any Incremental Revolving Facility shall be made on a pro rata basis or less than pro rata basis with all other Revolving Facilities, except that the applicable Borrowers shall be permitted to permanently repay Revolving Loans and terminate Revolving Commitments of any Revolving Facility on a greater than pro rata basis (I) as compared to any other Revolving Facilities with a later maturity date than such Revolving Facility or (II) with the proceeds of Indebtedness refinancing such Revolving Facility. </w:t>
      </w:r>
    </w:p>
    <w:p>
      <w:pPr>
        <w:pStyle w:val="TextBody"/>
        <w:bidi w:val="0"/>
        <w:spacing w:lineRule="auto" w:line="288" w:before="0" w:after="240"/>
        <w:ind w:left="0" w:right="0" w:firstLine="720"/>
        <w:jc w:val="both"/>
        <w:rPr/>
      </w:pPr>
      <w:r>
        <w:rPr>
          <w:rFonts w:ascii="Times New Roman;serif" w:hAnsi="Times New Roman;serif"/>
          <w:b w:val="false"/>
          <w:color w:val="000000"/>
          <w:sz w:val="22"/>
        </w:rPr>
        <w:t>2.26.</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2.27.</w:t>
      </w:r>
      <w:r>
        <w:rPr>
          <w:rFonts w:ascii="Times New Roman;serif" w:hAnsi="Times New Roman;serif"/>
          <w:b w:val="false"/>
          <w:color w:val="000000"/>
          <w:sz w:val="22"/>
          <w:u w:val="single"/>
        </w:rPr>
        <w:t>Defaulting Revolving Lenders</w:t>
      </w:r>
      <w:r>
        <w:rPr>
          <w:rFonts w:ascii="Times New Roman;serif" w:hAnsi="Times New Roman;serif"/>
          <w:b w:val="false"/>
          <w:color w:val="000000"/>
          <w:sz w:val="22"/>
        </w:rPr>
        <w:t>. Notwithstanding any provision of this Agreement to the contrary, if any Revolving Lender becomes a Defaulting Lender (a “</w:t>
      </w:r>
      <w:r>
        <w:rPr>
          <w:rFonts w:ascii="Times New Roman;serif" w:hAnsi="Times New Roman;serif"/>
          <w:b/>
          <w:color w:val="000000"/>
          <w:sz w:val="22"/>
        </w:rPr>
        <w:t>Defaulting Revolving Lender</w:t>
      </w:r>
      <w:r>
        <w:rPr>
          <w:color w:val="000000"/>
        </w:rPr>
        <w:t>”</w:t>
      </w:r>
      <w:r>
        <w:rPr>
          <w:rFonts w:ascii="Times New Roman;serif" w:hAnsi="Times New Roman;serif"/>
          <w:b w:val="false"/>
          <w:color w:val="000000"/>
          <w:sz w:val="22"/>
        </w:rPr>
        <w:t>), then the following provisions shall apply for so long as such Revolving Lender is a Defaulting Revolving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commitment fees shall cease to accrue on the Available Revolving Commitment (if any) of such Defaulting Revolving Lender pursuant to Section 2.6;</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if any Swingline Exposure or LC Exposure exists at the time such Lender becomes a Defaulting Revolving Lender, then:</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all or any part of the Swingline Exposure and LC Exposure of such Defaulting Revolving Lender (other than, in the case of a Defaulting Revolving Lender that is the Swingline Lender, the portion of such Swingline Exposure referred to in clause (b) of the definition of such term) shall be reallocated among the non-Defaulting Revolving Lenders in accordance with their respective Aggregate Exposure Percentages but only to the extent that such reallocation does not, as to any non-Defaulting Revolving Lender, cause such non-Defaulting Revolving Lender’s Aggregate Exposure to exceed its Commitment;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(ii)if the reallocation described in clause (i) above cannot, or can only partially, be effected, each applicable Borrower shall within one Business Day following notice by the Administrative Agent (x) first, prepay such Swingline Exposure and (y) second, cash collateralize for the benefit of the Issuing Banks only any Borrower’s obligations corresponding to such Defaulting Revolving Lender’s LC Exposure (after giving effect to any partial reallocation pursuant to clause (i) above) in accordance with the procedures set forth in Section 2.13(j) for so long as such LC Exposure is outstanding;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(iii)if and so long as a Borrower cash collateralizes any portion of such Defaulting Revolving Lender’s LC Exposure pursuant to clause (ii) above, then such Borrower shall not be required to pay any fees to such Defaulting Revolving Lender pursuant to Section 2.13(l) with respect to such Defaulting Revolving Lender’s LC Exposure during the period such Defaulting Revolving Lender’s LC Exposure is cash collateralized;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(iv)if the LC Exposure of the non-Defaulting Revolving Lenders is reallocated pursuant to clause (i) above, then the fees payable to the Lenders pursuant to Section 2.6 and Section 2.13(l) shall be adjusted in accordance with such non-Defaulting Revolving Lenders’ Applicable Percentages;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(v)if all or any portion of such Defaulting Revolving Lender’s LC Exposure is neither reallocated nor cash collateralized pursuant to clause (i) or (ii) above, then, without prejudice to any rights or remedies of any Issuing Bank or any other Lender hereunder, all letter of credit fees payable under Section 2.13(l) with respect to such Defaulting Revolving Lender’s LC Exposure shall be payable to the Issuing Banks until and to the extent that such LC Exposure is reallocated and/or cash collateralized;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so long as such Lender is a Defaulting Revolving Lender, the Swingline Lender shall not be required to fund any Swingline Loan and no Issuing Bank shall be required to issue, amend or increase any Letter of Credit, unless it is satisfied that the related exposure and the Defaulting Revolving Lender’s then outstanding LC Exposure will be 100% covered by the Commitments of the non-Defaulting Revolving Lenders and/or cash collateral will be provided by the applicable Borrower in accordance with Section 2.27(b), and Swingline Exposure related to any newly made Swingline Loan or LC Exposure related to any newly issued or increased Letter of Credit shall be allocated among non-Defaulting Revolving Lenders in a manner consistent with Section 2.27(b)(i) (and such Defaulting Revolving Lender shall not participate therein);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Revolving Commitment and Revolving Extensions of Credit of such Defaulting Revolving Lender shall not be included in determining whether the Required Lenders or the Majority Facility Lenders under the Revolving Facility have taken or may take any action hereunder (including any consent to any amendment, waiver or other modification pursuant to Section 10.1); provided, that this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4"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clause (d) shall not apply in the case of an amendment, waiver or other modification requiring the consent of all Lenders or each Lender affected thereby;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any amount payable to such Defaulting Revolving Lender hereunder (whether on account of principal, interest, fees or otherwise and including any amount that would otherwise be payable to such Defaulting Revolving Lender pursuant to Section 10.7 but excluding Section 2.22) shall, in lieu of being distributed to such Defaulting Revolving Lender and without duplication, be retained by the Administrative Agent in a segregated interest-bearing account reasonably satisfactory to the Administrative Agent and the applicable Borrower(s) and, subject to any applicable requirements of law, be applied at such time or times as may be determined by the Administrative Agent (i) first, to the payment of any amounts owing by such Defaulting Revolving Lender to the Administrative Agent hereunder, (ii) second, to the payment on a pro rata basis of any amounts owing by such Defaulting Revolving Lender to any Issuing Bank or Swingline Lender hereunder, (iii) third, to cash collateralize LC Exposure with respect to such Defaulting Revolving Lender in accordance with this Section, (iv) fourth, to the funding of any Revolving Loan in respect of which such Defaulting Revolving Lender has failed to fund its portion thereof as required by this Agreement, as determined by the Administrative Agent, (v) fifth, if so determined by the Administrative Agent and the Borrower, unless such Defaulting Revolving Lender has no remaining unutilized Revolving Commitment, to be held in a deposit account and released pro rata in order to (x) satisfy such Defaulting Revolving Lender’s potential future funding obligations with respect to Loans under this Agreement and (y) cash collateralize future LC Exposure with respect to such Defaulting Revolving Lender with respect to future Letters of Credit issued under this Agreement, in accordance with this Section, (vi) sixth, to the payment of any amounts owing to the Lenders, the Issuing Banks or the Swingline Lender as a result of any judgment of a court of competent jurisdiction obtained by any Lender, the Issuing Banks or the Swingline Lender against such Defaulting Revolving Lender as a result of such Defaulting Revolving Lender’s breach of its obligations under this Agreement or under any other Loan Document, (vii) seventh, to the payment of any amounts owing to the applicable Borrower(s) as a result of any judgment of a court of competent jurisdiction obtained by such Borrower(s) against such Defaulting Revolving Lender as a result of such Defaulting Revolving Lender’s breach of its obligations under this Agreement, and (viii) eighth, to such Defaulting Revolving Lender or as otherwise directed by a court of competent jurisdiction, provided, that, with respect to this clause (viii), if such payment is (A) a prepayment of the principal amount of any Revolving Loans or Reimbursement Obligations as to which a Defaulting Revolving Lender has funded its participation and (B) made at a time when the conditions set forth in Section 5.3 are satisfied, such payment shall be applied solely to prepay the Revolving Loans of, and Reimbursement Obligations owed to, all Revolving Lenders that are not Defaulting Revolving Lenders under the Revolving Facility pro rata prior to being applied to the prepayment of any Revolving Loans of, or Reimbursement Obligations owed to, any Defaulting Revolving Lender. On the Revolving Termination Date, any remaining amounts not previously applied (except for amounts in connection with clause (vii) above) shall be returned to the applicable Defaulting Revolving Lender.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that each of the Administrative Agent, the Company, the Swingline Lender and each Issuing Bank agrees that a Defaulting Revolving Lender has adequately remedied all matters that caused such Revolving Lender to be a Defaulting Revolving Lender, then the Swingline Exposure and LC Exposure of the Revolving Lenders shall be readjusted to reflect the inclusion of such Revolving Lender’s Revolving Commitment and on such date such Revolving Lender shall purchase at par such of the Revolving Loans of the other Revolving Lenders (other than Swingline Loans) as the Administrative Agent shall determine may be necessary in order for such Revolving Lender to hold such Revolving Loans in accordance with its Revolving Percentage.</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provisions of this Agreement relating to funding, payment and other matters with respect to the Revolving Facility may be adjusted by the Administrative Agent, with the consent of the Borrowers (such consent not to be unreasonably withheld), to the extent necessary to give effect to the provisions of this Section 2.27. The provisions of this Section 2.27 may not be amended, supplemented or modified without, in addition to consents required by Section 10.1, the prior written consent of the Administrative Agent, the Swingline Lender, the Issuing Banks, the Borrowers and any Defaulting Revolving Lenders.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Section 10.19, no reallocation hereunder shall constitute a waiver or release of any claim of any party hereunder against a Defaulting Revolving Lender arising from such Lender becoming a Defaulting Revolving Lender, including any claim of a non-Defaulting Revolving Lender as a result of such non-Defaulting Revolving Lender’s increased exposure following such reallocation.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2.28.</w:t>
      </w:r>
      <w:r>
        <w:rPr>
          <w:rFonts w:ascii="Times New Roman;serif" w:hAnsi="Times New Roman;serif"/>
          <w:b w:val="false"/>
          <w:color w:val="000000"/>
          <w:sz w:val="22"/>
          <w:u w:val="single"/>
        </w:rPr>
        <w:t>Refinancing Facilities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On one or more occasions after the Closing Date, the applicable Borrower may obtain, from any Lender or any other bank, financial institution or other institutional lender or investor (other than an Ineligible Institution) that agrees to provide any portion of Refinancing Term Loans or Other Revolving Commitments pursuant to a Refinancing Amendment in accordance with this Section 2.28 (each, an “</w:t>
      </w:r>
      <w:r>
        <w:rPr>
          <w:rFonts w:ascii="Times New Roman;serif" w:hAnsi="Times New Roman;serif"/>
          <w:b/>
          <w:color w:val="000000"/>
          <w:sz w:val="22"/>
        </w:rPr>
        <w:t>Additional Refinancing Lender</w:t>
      </w:r>
      <w:r>
        <w:rPr>
          <w:color w:val="000000"/>
        </w:rPr>
        <w:t>”</w:t>
      </w:r>
      <w:r>
        <w:rPr>
          <w:rFonts w:ascii="Times New Roman;serif" w:hAnsi="Times New Roman;serif"/>
          <w:b w:val="false"/>
          <w:color w:val="000000"/>
          <w:sz w:val="22"/>
        </w:rPr>
        <w:t>) (provided that the Administrative Agent, the Swingline Lender and each Issuing Bank, if applicable, shall have consented (not to be unreasonably withheld or delayed) to such Lender’s or Additional Refinancing Lender’s providing such Refinancing Term Loans or Other Revolving Commitments to the extent such consent, if any, would be required under Section 10.6(c) for an assignment of Revolving Commitments or Loans to such Lender or Additional Refinancing Lender), Credit Agreement Refinancing Indebtedness in respect of all or any portion of any Class, as selected by the applicable Borrower in its sole discretion, of Term Loans or Revolving Loans (or unused Commitments in respect thereof) then outstanding under this Agreement, in the form of Refinancing Term Loans, Refinancing Term Commitments, Other Revolving Commitments, or Other Revolving Loans; provided that notwithstanding anything to the contrary in this Section 2.28 or otherwise, (1) the borrowing and repayment (except for (A) payments of interest and fees at different rates on Other Revolving Commitments (and related outstandings), (B) repayments required upon the maturity date of the Other Revolving Commitments and (C) repayment made in connection with a permanent repayment and termination of commitments (subject to clause (3) below)) of Loans with respect to Other Revolving Commitments after the date of obtaining any Other Revolving Commitments shall be made on a pro rata basis with all other Revolving Commitments, (2) all Swingline Loans and Letters of Credit shall be participated on a pro rata basis by all Lenders with Commitments in accordance with their percentage of the Commitments in respect of Revolving Loans, (3) the permanent repayment of Revolving Loans with respect to, and termination of, Other Revolving Commitments after the date of obtaining any Other Revolving Commitments shall be made on a pro rata basis with all other Revolving Commitments in respect of Revolving Loans, except that the Company shall be permitted to permanently repay and terminate commitments of any such Class on a better than a pro rata basis as compared to any other Class with a later maturity date than such Class and (4) assignments and participations of Other Revolving Commitments and Other Revolving Loans shall be governed by the same assignment and participation provisions applicable to Revolving Commitments and Revolving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effectiveness of any Refinancing Amendment shall be subject to the satisfaction on the date thereof of each of the conditions set forth in Section 5.3 and, to the extent reasonably requested by the Administrative Agent, receipt by the Administrative Agent of reaffirmation agreements and/or such amendments to the Security Documents as may be reasonably requested by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Agent in order to ensure that such Credit Agreement Refinancing Indebtedness is provided with the benefit of the applicable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issuance of Credit Agreement Refinancing Indebtedness under Section 2.28(a) shall be in an aggregate principal amount that is (x) not less than $10,000,000 and (y) an integral multiple of $1,000,000 in excess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make such other changes to this Agreement and the other Loan Documents consistent with the provisions and intent of the third paragraph of Section 10.1 (without the consent of the Required Lenders called for therein) and (iii) effect such other amendments to this Agreement and the other Loan Documents as may be necessary or appropriate, in the reasonable opinion of the Administrative Agent and the Company, to effect the provisions of this Section 2.28, and the Required Lenders hereby expressly authorize the Administrative Agent to enter into any such Refinancing Amendment.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This Section 2.28 shall supersede any provisions in Section 2.17 or </w:t>
      </w:r>
      <w:r>
        <w:rPr>
          <w:rFonts w:ascii="Times New Roman;serif" w:hAnsi="Times New Roman;serif"/>
          <w:b/>
          <w:color w:val="000000"/>
          <w:sz w:val="22"/>
        </w:rPr>
        <w:t>10.1</w:t>
      </w:r>
      <w:r>
        <w:rPr>
          <w:color w:val="000000"/>
        </w:rPr>
        <w:t xml:space="preserve"> </w:t>
      </w:r>
      <w:r>
        <w:rPr>
          <w:rFonts w:ascii="Times New Roman;serif" w:hAnsi="Times New Roman;serif"/>
          <w:b w:val="false"/>
          <w:color w:val="000000"/>
          <w:sz w:val="22"/>
        </w:rPr>
        <w:t>to the contrary.</w:t>
      </w:r>
    </w:p>
    <w:p>
      <w:pPr>
        <w:pStyle w:val="TextBody"/>
        <w:bidi w:val="0"/>
        <w:spacing w:lineRule="auto" w:line="288" w:before="0" w:after="240"/>
        <w:jc w:val="both"/>
        <w:rPr/>
      </w:pPr>
      <w:r>
        <w:rPr>
          <w:rFonts w:ascii="Times New Roman;serif" w:hAnsi="Times New Roman;serif"/>
          <w:b w:val="false"/>
          <w:color w:val="010000"/>
          <w:sz w:val="22"/>
        </w:rPr>
        <w:t>Section 3.</w:t>
      </w:r>
      <w:r>
        <w:rPr>
          <w:rFonts w:ascii="Times New Roman;serif" w:hAnsi="Times New Roman;serif"/>
          <w:b w:val="false"/>
          <w:color w:val="000000"/>
          <w:sz w:val="22"/>
        </w:rPr>
        <w:t>[RESERVED]</w:t>
      </w:r>
    </w:p>
    <w:p>
      <w:pPr>
        <w:pStyle w:val="TextBody"/>
        <w:bidi w:val="0"/>
        <w:spacing w:lineRule="auto" w:line="288" w:before="0" w:after="240"/>
        <w:jc w:val="both"/>
        <w:rPr/>
      </w:pPr>
      <w:r>
        <w:rPr>
          <w:rFonts w:ascii="Times New Roman;serif" w:hAnsi="Times New Roman;serif"/>
          <w:b w:val="false"/>
          <w:color w:val="010000"/>
          <w:sz w:val="22"/>
        </w:rPr>
        <w:t>Section 4.</w:t>
      </w:r>
      <w:r>
        <w:rPr>
          <w:rFonts w:ascii="Times New Roman;serif" w:hAnsi="Times New Roman;serif"/>
          <w:b w:val="false"/>
          <w:color w:val="000000"/>
          <w:sz w:val="22"/>
        </w:rP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induce the Administrative Agent and the Lenders to enter into this Agreement and to make the Loans and issue or participate in the Letters of Credit, the Company and, as to itself, each other Borrower each hereby represent and warrant to the Administrative Agent and each Lender, that:</w:t>
      </w:r>
    </w:p>
    <w:p>
      <w:pPr>
        <w:pStyle w:val="TextBody"/>
        <w:bidi w:val="0"/>
        <w:spacing w:lineRule="auto" w:line="288" w:before="0" w:after="240"/>
        <w:ind w:left="0" w:right="0" w:firstLine="720"/>
        <w:jc w:val="both"/>
        <w:rPr/>
      </w:pPr>
      <w:r>
        <w:rPr>
          <w:rFonts w:ascii="Times New Roman;serif" w:hAnsi="Times New Roman;serif"/>
          <w:b w:val="false"/>
          <w:color w:val="000000"/>
          <w:sz w:val="22"/>
        </w:rPr>
        <w:t>4.1.</w:t>
      </w:r>
      <w:r>
        <w:rPr>
          <w:rFonts w:ascii="Times New Roman;serif" w:hAnsi="Times New Roman;serif"/>
          <w:b w:val="false"/>
          <w:color w:val="000000"/>
          <w:sz w:val="22"/>
          <w:u w:val="single"/>
        </w:rPr>
        <w:t>Financial Condition</w:t>
      </w:r>
      <w:r>
        <w:rPr>
          <w:rFonts w:ascii="Times New Roman;serif" w:hAnsi="Times New Roman;serif"/>
          <w:b w:val="false"/>
          <w:color w:val="000000"/>
          <w:sz w:val="22"/>
        </w:rPr>
        <w:t>. The financial statements of the Company delivered to the Arrangers prior to the Closing Date and the financial statements of the Company delivered pursuant to Section 6.1 present fairly in all material respects the financial condition of the Company as at the date referenced therein, and the combined results of its operations and its combined cash flows for the applicable periods then ended. All such financial statements, including the related schedules and notes thereto, have been prepared in accordance with GAAP applied consistently throughout the periods involved (except as approved by the aforementioned firm of accountants and disclosed therein).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4.2.</w:t>
      </w:r>
      <w:r>
        <w:rPr>
          <w:rFonts w:ascii="Times New Roman;serif" w:hAnsi="Times New Roman;serif"/>
          <w:b w:val="false"/>
          <w:color w:val="000000"/>
          <w:sz w:val="22"/>
          <w:u w:val="single"/>
        </w:rPr>
        <w:t>No Change</w:t>
      </w:r>
      <w:r>
        <w:rPr>
          <w:rFonts w:ascii="Times New Roman;serif" w:hAnsi="Times New Roman;serif"/>
          <w:b w:val="false"/>
          <w:color w:val="000000"/>
          <w:sz w:val="22"/>
        </w:rPr>
        <w:t>. Since December 31, 2024, there has not occurred any change, development or event that, individually or in the aggregate, has had or would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4.3.</w:t>
      </w:r>
      <w:r>
        <w:rPr>
          <w:rFonts w:ascii="Times New Roman;serif" w:hAnsi="Times New Roman;serif"/>
          <w:b w:val="false"/>
          <w:color w:val="000000"/>
          <w:sz w:val="22"/>
          <w:u w:val="single"/>
        </w:rPr>
        <w:t>Existence; Compliance with Law</w:t>
      </w:r>
      <w:r>
        <w:rPr>
          <w:rFonts w:ascii="Times New Roman;serif" w:hAnsi="Times New Roman;serif"/>
          <w:b w:val="false"/>
          <w:color w:val="000000"/>
          <w:sz w:val="22"/>
        </w:rPr>
        <w:t xml:space="preserve">. Each of the Company and its Subsidiaries (a) is (except in the case of any Immaterial Subsidiary) duly organized, validly existing and in good standing (to the extent such concept is relevant in the applicable jurisdiction) under the laws of the jurisdiction of its organization, (b) has the corporate or other organizational power and authority, and the legal right, to own and operate its property, to lease the property it operates as lessee and to conduct the business in which it is currently engaged, (c) is duly qualified as a foreign corporation or other entity and in good standing (to the extent such concept is relevant in the applicable jurisdiction) under the laws of each jurisdiction where its ownership, lease or operation of property or the conduct of its business requires such qualification and (d) is in compliance with all Requirements of Law except, in the case of clauses (a) (except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7"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any Borrower), (b), (c) and (d), to the extent that the failure to be qualified or comply would not, in the aggregate,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4.4.</w:t>
      </w:r>
      <w:r>
        <w:rPr>
          <w:rFonts w:ascii="Times New Roman;serif" w:hAnsi="Times New Roman;serif"/>
          <w:b w:val="false"/>
          <w:color w:val="000000"/>
          <w:sz w:val="22"/>
          <w:u w:val="single"/>
        </w:rPr>
        <w:t>Power; Authorization; Enforceable Obligations</w:t>
      </w:r>
      <w:r>
        <w:rPr>
          <w:rFonts w:ascii="Times New Roman;serif" w:hAnsi="Times New Roman;serif"/>
          <w:b w:val="false"/>
          <w:color w:val="000000"/>
          <w:sz w:val="22"/>
        </w:rPr>
        <w:t>. Each Loan Party has the corporate or other organizational power and authority, and the legal right, to make, deliver and perform the Loan Documents to which it is a party and, in the case of each Borrower, to borrow hereunder. Each Loan Party has taken all necessary corporate or other organizational action to authorize the execution, delivery and performance of the Loan Documents to which it is a party and, in the case of each Borrower, to authorize the borrowings on the terms and conditions of this Agreement. No consent or authorization of, filing with, notice to or other act by or in respect of, any Governmental Authority or any other Person is required in connection with the borrowings hereunder or with the execution, delivery, performance, validity or enforceability of this Agreement or any of the other Loan Documents, except (i) consents, authorizations, filings and notices described in Schedule 4.4, which consents, authorizations, filings and notices have been obtained or made and are in full force and effect or will have been obtained or made and be in full force and effect on the Closing Date or (ii) where the failure to obtain such consent or authorization, or failure to file or provide notice would not, in the aggregate, reasonably be expected to have a Material Adverse Effect. Each Loan Document has been duly executed and delivered on behalf of each Loan Party that is a party thereto. This Agreement constitutes, and each other Loan Document upon execution will constitute,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4.5.</w:t>
      </w:r>
      <w:r>
        <w:rPr>
          <w:rFonts w:ascii="Times New Roman;serif" w:hAnsi="Times New Roman;serif"/>
          <w:b w:val="false"/>
          <w:color w:val="000000"/>
          <w:sz w:val="22"/>
          <w:u w:val="single"/>
        </w:rPr>
        <w:t>No Legal Bar</w:t>
      </w:r>
      <w:r>
        <w:rPr>
          <w:rFonts w:ascii="Times New Roman;serif" w:hAnsi="Times New Roman;serif"/>
          <w:b w:val="false"/>
          <w:color w:val="000000"/>
          <w:sz w:val="22"/>
        </w:rPr>
        <w:t>. The execution, delivery and performance of this Agreement and the other Loan Documents, the issuance of Letters of Credit, the borrowings hereunder and the use of the proceeds thereof will not violate (a) the Certificate of Incorporation and By-Laws or other organizational or governing documents of the Company or any of its Subsidiaries or (b) any other Requirement of Law or any Contractual Obligation of the Company or any of its Subsidiaries and will not result in, or require, the creation or imposition of any Lien on any of their respective properties or revenues pursuant to any Requirement of Law or any such Contractual Obligation (other than the Liens created by the Security Documents), except to the extent, in this clause (b), such violation would not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4.6.</w:t>
      </w:r>
      <w:r>
        <w:rPr>
          <w:rFonts w:ascii="Times New Roman;serif" w:hAnsi="Times New Roman;serif"/>
          <w:b w:val="false"/>
          <w:color w:val="000000"/>
          <w:sz w:val="22"/>
          <w:u w:val="single"/>
        </w:rPr>
        <w:t>Litigation</w:t>
      </w:r>
      <w:r>
        <w:rPr>
          <w:rFonts w:ascii="Times New Roman;serif" w:hAnsi="Times New Roman;serif"/>
          <w:b w:val="false"/>
          <w:color w:val="000000"/>
          <w:sz w:val="22"/>
        </w:rPr>
        <w:t>. No litigation, investigation or proceeding of or before any arbitrator or Governmental Authority is pending or, to the Knowledge of the Company, threatened by or against the Company or any of its Subsidiaries or against any of their respective properties or revenues (a) with respect to any of the Loan Documents or any of the transactions contemplated hereby or thereby, or (b) that would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4.7.</w:t>
      </w:r>
      <w:r>
        <w:rPr>
          <w:rFonts w:ascii="Times New Roman;serif" w:hAnsi="Times New Roman;serif"/>
          <w:b w:val="false"/>
          <w:color w:val="000000"/>
          <w:sz w:val="22"/>
          <w:u w:val="single"/>
        </w:rPr>
        <w:t>No Default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Neither the Company nor any of its Subsidiaries is in default under or with respect to any of its Contractual Obligations in any respect that would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No Default has occurred and is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4.8.</w:t>
      </w:r>
      <w:r>
        <w:rPr>
          <w:rFonts w:ascii="Times New Roman;serif" w:hAnsi="Times New Roman;serif"/>
          <w:b w:val="false"/>
          <w:color w:val="000000"/>
          <w:sz w:val="22"/>
          <w:u w:val="single"/>
        </w:rPr>
        <w:t>Ownership of Property</w:t>
      </w:r>
      <w:r>
        <w:rPr>
          <w:rFonts w:ascii="Times New Roman;serif" w:hAnsi="Times New Roman;serif"/>
          <w:b w:val="false"/>
          <w:color w:val="000000"/>
          <w:sz w:val="22"/>
        </w:rPr>
        <w:t>. Each of the Company and its Subsidiaries (other than Foreign Subsidiaries, as to which no representation is made) has title in fee simple to, or a valid leasehold interest in, all its material real property, including the Mortgaged Properties, and good title to, or a valid leasehold interest in, all its other property and rights, except where such failure would not, in the aggregate,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4.9.</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The Company and each of its Subsidiaries owns, or has a license or right to use, all Intellectual Property necessary for the conduct of its business as currently conducted, and no claim has been asserted and is pending, or, to the knowledge of the Company, threatened in writing, by any Person challenging or questioning the use of any such Intellectual Property or the validity of any such Intellectual Property owned by the Company or any of its Subsidiaries, nor does the Company know of any valid basis for any such claim, except, in each of the foregoing cases, as would not, in the aggregate, reasonably be expected to result in a Material Adverse Effect. To the Knowledge of the Company, no use of Intellectual Property by the Company and its Subsidiaries infringes, misappropriates or otherwise violates the valid and enforceable Intellectual Property rights of any Person, except where such use would not, individually or in the aggregate, reasonably be expected to result in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4.10.</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Except as would not be expected to result in a Material Adverse Effect, each of the Company and each of its Subsidiaries has filed or caused to be filed all Federal, state and other tax returns that are required to be filed and has paid all Taxes (whether or not shown to be due and payable on said returns) or on any assessments made against it or any of its property and all other Taxes imposed on it or any of its property by any Governmental Authority (other than any amount or validity of which are currently being contested in good faith by appropriate proceedings and with respect to which reserves in conformity with GAAP have been provided on the books of the Company or such Subsidiary, as the case may be). </w:t>
      </w:r>
    </w:p>
    <w:p>
      <w:pPr>
        <w:pStyle w:val="TextBody"/>
        <w:bidi w:val="0"/>
        <w:spacing w:lineRule="auto" w:line="288" w:before="0" w:after="240"/>
        <w:ind w:left="0" w:right="0" w:firstLine="720"/>
        <w:jc w:val="both"/>
        <w:rPr/>
      </w:pPr>
      <w:r>
        <w:rPr>
          <w:rFonts w:ascii="Times New Roman;serif" w:hAnsi="Times New Roman;serif"/>
          <w:b w:val="false"/>
          <w:color w:val="000000"/>
          <w:sz w:val="22"/>
        </w:rPr>
        <w:t>4.11.</w:t>
      </w:r>
      <w:r>
        <w:rPr>
          <w:rFonts w:ascii="Times New Roman;serif" w:hAnsi="Times New Roman;serif"/>
          <w:b w:val="false"/>
          <w:color w:val="000000"/>
          <w:sz w:val="22"/>
          <w:u w:val="single"/>
        </w:rPr>
        <w:t>Federal Regulations</w:t>
      </w:r>
      <w:r>
        <w:rPr>
          <w:rFonts w:ascii="Times New Roman;serif" w:hAnsi="Times New Roman;serif"/>
          <w:b w:val="false"/>
          <w:color w:val="000000"/>
          <w:sz w:val="22"/>
        </w:rPr>
        <w:t xml:space="preserve">. No part of the proceeds of any Loans or Letters of Credit will be used for “buying” or “carrying” any “margin stock” within the respective meanings of each of the quoted terms under Regulation U as now and from time to time hereafter in effect or for any purpose that violates the provisions of the Regulations of the Board. </w:t>
      </w:r>
    </w:p>
    <w:p>
      <w:pPr>
        <w:pStyle w:val="TextBody"/>
        <w:bidi w:val="0"/>
        <w:spacing w:lineRule="auto" w:line="288" w:before="0" w:after="240"/>
        <w:ind w:left="0" w:right="0" w:firstLine="720"/>
        <w:jc w:val="both"/>
        <w:rPr/>
      </w:pPr>
      <w:r>
        <w:rPr>
          <w:rFonts w:ascii="Times New Roman;serif" w:hAnsi="Times New Roman;serif"/>
          <w:b w:val="false"/>
          <w:color w:val="000000"/>
          <w:sz w:val="22"/>
        </w:rPr>
        <w:t>4.12.</w:t>
      </w:r>
      <w:r>
        <w:rPr>
          <w:rFonts w:ascii="Times New Roman;serif" w:hAnsi="Times New Roman;serif"/>
          <w:b w:val="false"/>
          <w:color w:val="000000"/>
          <w:sz w:val="22"/>
          <w:u w:val="single"/>
        </w:rPr>
        <w:t>Labor Matters</w:t>
      </w:r>
      <w:r>
        <w:rPr>
          <w:rFonts w:ascii="Times New Roman;serif" w:hAnsi="Times New Roman;serif"/>
          <w:b w:val="false"/>
          <w:color w:val="000000"/>
          <w:sz w:val="22"/>
        </w:rPr>
        <w:t>. Except as, in the aggregate, would not reasonably be expected to have a Material Adverse Effect: (a) there are no strikes or other labor disputes against the Company or any of its Subsidiaries pending or, to the Knowledge of the Company, threatened and (b) hours worked by and payment made to employees of the Company and its Subsidiaries have not been in violation of the Fair Labor Standards Act or any other applicable Requirement of Law dealing with such matters.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4.13.</w:t>
      </w:r>
      <w:r>
        <w:rPr>
          <w:rFonts w:ascii="Times New Roman;serif" w:hAnsi="Times New Roman;serif"/>
          <w:b w:val="false"/>
          <w:color w:val="000000"/>
          <w:sz w:val="22"/>
          <w:u w:val="single"/>
        </w:rPr>
        <w:t>ERISA</w:t>
      </w:r>
      <w:r>
        <w:rPr>
          <w:rFonts w:ascii="Times New Roman;serif" w:hAnsi="Times New Roman;serif"/>
          <w:b w:val="false"/>
          <w:color w:val="000000"/>
          <w:sz w:val="22"/>
        </w:rPr>
        <w:t xml:space="preserve">. During the five-year period prior to the date on which this representation is made, except as would not reasonably be expected to have a Material Adverse Effect, (a) neither a Reportable Event nor an “accumulated funding deficiency” or “failure to meet the minimum funding standards” (within the meaning of Section 412 of the Code or Section 302 of ERISA) has occurred with respect to any Single Employer Plan, (b) each Single Employer Plan has complied with the applicable provisions of ERISA and the Code, (c) no termination of a Single Employer Plan under Section 4041(c) of ERISA has occurred, and (d) no Lien in favor of the PBGC or a Plan has arisen.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Single Employer Plan allocable to such accrued benefits by an amount which would reasonably be expected to have a Material Adverse Effect. Neither the Company nor any Commonly Controlled Entity has had a complete or partial withdrawal from any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Multiemployer Plan that has resulted or would reasonably be expected to result in a Material Adverse Effect. Except as would not reasonably be expected to result in a Material Adverse Effect to the Loan Parties, no such Multiemployer Plan is Insolvent.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4.14.</w:t>
      </w:r>
      <w:r>
        <w:rPr>
          <w:rFonts w:ascii="Times New Roman;serif" w:hAnsi="Times New Roman;serif"/>
          <w:b w:val="false"/>
          <w:color w:val="000000"/>
          <w:sz w:val="22"/>
          <w:u w:val="single"/>
        </w:rPr>
        <w:t>Investment Company Act; Other Regulations</w:t>
      </w:r>
      <w:r>
        <w:rPr>
          <w:rFonts w:ascii="Times New Roman;serif" w:hAnsi="Times New Roman;serif"/>
          <w:b w:val="false"/>
          <w:color w:val="000000"/>
          <w:sz w:val="22"/>
        </w:rPr>
        <w:t>. No Loan Party is required to register as an “investment company” within the meaning of the Investment Company Act of 1940, as amended.</w:t>
      </w:r>
    </w:p>
    <w:p>
      <w:pPr>
        <w:pStyle w:val="TextBody"/>
        <w:bidi w:val="0"/>
        <w:spacing w:lineRule="auto" w:line="288" w:before="0" w:after="240"/>
        <w:ind w:left="0" w:right="0" w:firstLine="720"/>
        <w:jc w:val="both"/>
        <w:rPr/>
      </w:pPr>
      <w:r>
        <w:rPr>
          <w:rFonts w:ascii="Times New Roman;serif" w:hAnsi="Times New Roman;serif"/>
          <w:b w:val="false"/>
          <w:color w:val="000000"/>
          <w:sz w:val="22"/>
        </w:rPr>
        <w:t>4.15.</w:t>
      </w:r>
      <w:r>
        <w:rPr>
          <w:rFonts w:ascii="Times New Roman;serif" w:hAnsi="Times New Roman;serif"/>
          <w:b w:val="false"/>
          <w:color w:val="000000"/>
          <w:sz w:val="22"/>
          <w:u w:val="single"/>
        </w:rPr>
        <w:t>Subsidiaries</w:t>
      </w:r>
      <w:r>
        <w:rPr>
          <w:rFonts w:ascii="Times New Roman;serif" w:hAnsi="Times New Roman;serif"/>
          <w:b w:val="false"/>
          <w:color w:val="000000"/>
          <w:sz w:val="22"/>
        </w:rPr>
        <w:t>. Schedule 4.15 sets forth the name and jurisdiction of formation of each Subsidiary and, as to each such Subsidiary, the percentage of each class of Capital Stock owned by the Company or any Subsidiary, in each case, on the Closing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4.16.</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proceeds of the Revolving Loans shall be used to finance the working capital needs, capital expenditures and general corporate purposes of the Company and its Subsidiaries or for any other purpose not prohibited under this Agreement. The proceeds of the Swingline Loans and the Letters of Credit shall be used for general corporate purposes or for any other purpose not prohibited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4.17.</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 Except as, in the aggregate, would not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facilities and real properties owned, leased or operated by the Company or any of its Subsidiaries (the “</w:t>
      </w:r>
      <w:r>
        <w:rPr>
          <w:rFonts w:ascii="Times New Roman;serif" w:hAnsi="Times New Roman;serif"/>
          <w:b/>
          <w:color w:val="000000"/>
          <w:sz w:val="22"/>
        </w:rPr>
        <w:t>Properties</w:t>
      </w:r>
      <w:r>
        <w:rPr>
          <w:color w:val="000000"/>
        </w:rPr>
        <w:t>”</w:t>
      </w:r>
      <w:r>
        <w:rPr>
          <w:rFonts w:ascii="Times New Roman;serif" w:hAnsi="Times New Roman;serif"/>
          <w:b w:val="false"/>
          <w:color w:val="000000"/>
          <w:sz w:val="22"/>
        </w:rPr>
        <w:t>) do not contain any Materials of Environmental Concern under circumstances that constitute a violation of, or would reasonably be expected to give rise to liability under, any Environmental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neither the Company nor any of its Subsidiaries has received any written notice of violation, alleged violation, non-compliance, liability or potential liability regarding Environmental Laws with regard to any of the Properties or the business operated by the Company or any of its Subsidiaries (the “</w:t>
      </w:r>
      <w:r>
        <w:rPr>
          <w:rFonts w:ascii="Times New Roman;serif" w:hAnsi="Times New Roman;serif"/>
          <w:b/>
          <w:color w:val="000000"/>
          <w:sz w:val="22"/>
        </w:rPr>
        <w:t>Business</w:t>
      </w:r>
      <w:r>
        <w:rPr>
          <w:color w:val="000000"/>
        </w:rPr>
        <w:t>”</w:t>
      </w:r>
      <w:r>
        <w:rPr>
          <w:rFonts w:ascii="Times New Roman;serif" w:hAnsi="Times New Roman;serif"/>
          <w:b w:val="false"/>
          <w:color w:val="000000"/>
          <w:sz w:val="22"/>
        </w:rPr>
        <w:t>) nor does the Company have Knowledge of any such threatened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Materials of Environmental Concern have not been transported or disposed of from the Properties in violation of, or in a manner or to a location that would be reasonably expected to give rise to liability under, any Environmental Law, nor have any Materials of Environmental Concern been generated, treated, stored or disposed of at, on or under any of the Properties in violation of, or in a manner that would reasonably be expected to give rise to liability under, any Environmental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 judicial proceeding or governmental or administrative action is pending or, to the Knowledge of the Company, threatened, under any Environmental Law to which the Company or any Subsidiary is or, to the knowledge of the Company, will be named as a party with respect to the Properties or the Business, nor are there any consent decrees or other decrees, consent orders or administrative orders or other orders in effect under any Environmental Law with respect to the Properties or the Business; </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there has been no release or threatened release of Materials of Environmental Concern at or from the Properties, or arising from or related to the operations of the Company or any Subsidiary in connection with the Properties or otherwise in connection with the Business, in violation of or in amounts or in a manner that could give rise to liability under Environmental Laws;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Company and the Subsidiaries are, and have in the last five years been in compliance, with all applicable Environmental Laws.</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4.18.</w:t>
      </w:r>
      <w:r>
        <w:rPr>
          <w:rFonts w:ascii="Times New Roman;serif" w:hAnsi="Times New Roman;serif"/>
          <w:b w:val="false"/>
          <w:color w:val="000000"/>
          <w:sz w:val="22"/>
          <w:u w:val="single"/>
        </w:rPr>
        <w:t>Accuracy of Information, etc.</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 Written factual information, other than the Projections, forward-looking statements, estimates and information of a general economic or industry specific nature (the “</w:t>
      </w:r>
      <w:r>
        <w:rPr>
          <w:rFonts w:ascii="Times New Roman;serif" w:hAnsi="Times New Roman;serif"/>
          <w:b/>
          <w:color w:val="000000"/>
          <w:sz w:val="22"/>
        </w:rPr>
        <w:t>Information</w:t>
      </w:r>
      <w:r>
        <w:rPr>
          <w:color w:val="000000"/>
        </w:rPr>
        <w:t>”</w:t>
      </w:r>
      <w:r>
        <w:rPr>
          <w:rFonts w:ascii="Times New Roman;serif" w:hAnsi="Times New Roman;serif"/>
          <w:b w:val="false"/>
          <w:color w:val="000000"/>
          <w:sz w:val="22"/>
        </w:rPr>
        <w:t>), that has been made available to the Administrative Agent or the Arrangers in connection with the transactions contemplated by this Agreement, concerning the Company, its Subsidiaries and the transactions contemplated by this Agreement, when taken as a whole, does not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and (ii) the Projections have been prepared in good faith based upon assumptions believed by the Company to be reasonable at the time furnished (it being recognized that such Projections are not to be viewed as facts and are subject to significant uncertainties and contingencies many of which are beyond the Company’s control and that actual results during the period or periods covered by any such Projections may differ from the projected results, and such differences may be material).</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As of the Closing Date, to the best Knowledge of the Company, the information included in the Beneficial Ownership Certification and any Declaration of Beneficiaries and Controlling Parties provided on or prior to the Closing Date to any Lender in connection with this Agreement is true and correct in all material respects. </w:t>
      </w:r>
    </w:p>
    <w:p>
      <w:pPr>
        <w:pStyle w:val="TextBody"/>
        <w:bidi w:val="0"/>
        <w:spacing w:lineRule="auto" w:line="288" w:before="0" w:after="240"/>
        <w:ind w:left="0" w:right="0" w:firstLine="720"/>
        <w:jc w:val="both"/>
        <w:rPr/>
      </w:pPr>
      <w:r>
        <w:rPr>
          <w:rFonts w:ascii="Times New Roman;serif" w:hAnsi="Times New Roman;serif"/>
          <w:b w:val="false"/>
          <w:color w:val="000000"/>
          <w:sz w:val="22"/>
        </w:rPr>
        <w:t>4.19.</w:t>
      </w:r>
      <w:r>
        <w:rPr>
          <w:rFonts w:ascii="Times New Roman;serif" w:hAnsi="Times New Roman;serif"/>
          <w:b w:val="false"/>
          <w:color w:val="000000"/>
          <w:sz w:val="22"/>
          <w:u w:val="single"/>
        </w:rPr>
        <w:t>Security Documents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Collateral Agreement is effective to create in favor of the Collateral Agent, for the benefit of the Administrative Agent and the Lenders, a legal, valid and enforceable (except as enforceability may be limited by applicable bankruptcy, insolvency, reorganization, moratorium or similar laws affecting the enforcement of creditors’ rights generally) security interest in the Collateral described therein and proceeds thereof. In the case of the Pledged Stock, when the Administrative Agent (or its designee or agent) obtains control of stock certificates representing such Pledged Stock, in the case of the other Collateral described in the Collateral Agreement (other than any Intellectual Property constituting Collateral), when financing statements and other filings specified on Schedule 4.19(a) in appropriate form are or have been filed in the offices specified on Schedule 4.19(a), and, in the case of Intellectual Property constituting Collateral, when financing statements and other filings specified on Schedule 4.19(a) in appropriate form are or have been filed in the appropriate offices and, to the extent UCC filings are insufficient under applicable Law to perfect the security interest therein appropriate filings have been filed with the United States Patent and Trademark Office or United States Copyright Office, as applicable, the Collateral Agreement shall constitute a fully perfected Lien on, and security interest in, all right, title and interest of the Loan Parties party thereto in such Collateral and the proceeds thereof to the extent a security interest can be perfected by filings or other action required thereunder as security for the Obligations (as defined in the Collateral Agreement), in each case prior and superior in right to any other Person (except, Liens permitted by Section 7.3).</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of the Mortgages is effective to create in favor of the Collateral Agent, for the benefit of the Administrative Agent and the Secured Parties, a legal, valid and enforceable Lien on the Mortgaged Properties described therein and proceeds thereof, and when the Mortgages are or have been filed or recorded in the appropriate offices, each such Mortgage shall constitute a fully perfected Lien on, and security interest in, all right, title and interest of the Loan Parties in the Mortgaged Properties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proceeds thereof, as security for the Obligations (as defined in the relevant Mortgage), in each case prior and superior in right to any other Person subject only to permitted Liens described in Section 7.3 hereof. As of the Closing Date, Schedule 1.1B lists each of the real properties in the United States owned in fee simple by the Company or any of its Subsidiaries having a value, in the reasonable opinion of the Company, in excess of $10,000,000.</w:t>
      </w:r>
    </w:p>
    <w:p>
      <w:pPr>
        <w:pStyle w:val="TextBody"/>
        <w:bidi w:val="0"/>
        <w:spacing w:lineRule="auto" w:line="288" w:before="0" w:after="240"/>
        <w:ind w:left="0" w:right="0" w:firstLine="720"/>
        <w:jc w:val="both"/>
        <w:rPr/>
      </w:pPr>
      <w:r>
        <w:rPr>
          <w:rFonts w:ascii="Times New Roman;serif" w:hAnsi="Times New Roman;serif"/>
          <w:b w:val="false"/>
          <w:color w:val="000000"/>
          <w:sz w:val="22"/>
        </w:rPr>
        <w:t>4.20.</w:t>
      </w:r>
      <w:r>
        <w:rPr>
          <w:rFonts w:ascii="Times New Roman;serif" w:hAnsi="Times New Roman;serif"/>
          <w:b w:val="false"/>
          <w:color w:val="000000"/>
          <w:sz w:val="22"/>
          <w:u w:val="single"/>
        </w:rPr>
        <w:t>Solvency</w:t>
      </w:r>
      <w:r>
        <w:rPr>
          <w:rFonts w:ascii="Times New Roman;serif" w:hAnsi="Times New Roman;serif"/>
          <w:b w:val="false"/>
          <w:color w:val="000000"/>
          <w:sz w:val="22"/>
        </w:rPr>
        <w:t>. As of the Closing Date, each Loan Party is, and after giving effect to the incurrence of all Indebtedness and obligations being incurred in connection herewith will be, Solvent.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4.21.</w:t>
      </w:r>
      <w:r>
        <w:rPr>
          <w:rFonts w:ascii="Times New Roman;serif" w:hAnsi="Times New Roman;serif"/>
          <w:b w:val="false"/>
          <w:color w:val="000000"/>
          <w:sz w:val="22"/>
          <w:u w:val="single"/>
        </w:rPr>
        <w:t>Anti-Corruption Laws; Sanctions and Patriot Act</w:t>
      </w:r>
      <w:r>
        <w:rPr>
          <w:rFonts w:ascii="Times New Roman;serif" w:hAnsi="Times New Roman;serif"/>
          <w:b w:val="false"/>
          <w:color w:val="000000"/>
          <w:sz w:val="22"/>
        </w:rPr>
        <w:t>. The Company has implemented and maintains in effect policies and procedures reasonably designed to promote compliance by the Company, its Subsidiaries and their respective directors, officers, employees and agents with Anti-Corruption Laws and applicable Sanctions, and the Company, its Subsidiaries and, to the Knowledge of the Company, its directors, officers, employees and agents, acting in their capacity as such, are in compliance with Anti-Corruption Laws and applicable Sanctions in all material respects. None of (a) the Company, any Subsidiary or, to the Knowledge of the Company, any of the Company’s directors, officers or employees, or (b) to the Knowledge of the Company, any agent of the Company or any Subsidiary that will act in any capacity in connection with or benefit from the credit facilities established hereby, is a Sanctioned Person. No Loan or Letter of Credit, direct or, to any Borrower’s Knowledge, indirect use of proceeds, or other transaction by any Borrower contemplated by this Agreement will violate the Patriot Act, Anti-Corruption Laws or applicable Sanctions.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4.22.</w:t>
      </w:r>
      <w:r>
        <w:rPr>
          <w:rFonts w:ascii="Times New Roman;serif" w:hAnsi="Times New Roman;serif"/>
          <w:b w:val="false"/>
          <w:color w:val="000000"/>
          <w:sz w:val="22"/>
          <w:u w:val="single"/>
        </w:rPr>
        <w:t>Affected Financial Institutions</w:t>
      </w:r>
      <w:r>
        <w:rPr>
          <w:rFonts w:ascii="Times New Roman;serif" w:hAnsi="Times New Roman;serif"/>
          <w:b w:val="false"/>
          <w:color w:val="000000"/>
          <w:sz w:val="22"/>
        </w:rPr>
        <w:t>. No Loan Party is an Affected Financial Institution.</w:t>
      </w:r>
    </w:p>
    <w:p>
      <w:pPr>
        <w:pStyle w:val="TextBody"/>
        <w:bidi w:val="0"/>
        <w:spacing w:lineRule="auto" w:line="288" w:before="0" w:after="240"/>
        <w:jc w:val="both"/>
        <w:rPr/>
      </w:pPr>
      <w:r>
        <w:rPr>
          <w:rFonts w:ascii="Times New Roman;serif" w:hAnsi="Times New Roman;serif"/>
          <w:b w:val="false"/>
          <w:color w:val="010000"/>
          <w:sz w:val="22"/>
        </w:rPr>
        <w:t>Section 5.</w:t>
      </w:r>
      <w:r>
        <w:rPr>
          <w:rFonts w:ascii="Times New Roman;serif" w:hAnsi="Times New Roman;serif"/>
          <w:b w:val="false"/>
          <w:color w:val="000000"/>
          <w:sz w:val="22"/>
        </w:rPr>
        <w:t>CONDITIONS PRECEDENT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5.1.</w:t>
      </w:r>
      <w:r>
        <w:rPr>
          <w:rFonts w:ascii="Times New Roman;serif" w:hAnsi="Times New Roman;serif"/>
          <w:b w:val="false"/>
          <w:color w:val="000000"/>
          <w:sz w:val="22"/>
          <w:u w:val="single"/>
        </w:rPr>
        <w:t xml:space="preserve">[Reserved]. </w:t>
      </w:r>
    </w:p>
    <w:p>
      <w:pPr>
        <w:pStyle w:val="TextBody"/>
        <w:bidi w:val="0"/>
        <w:spacing w:lineRule="auto" w:line="288" w:before="0" w:after="240"/>
        <w:ind w:left="0" w:right="0" w:firstLine="720"/>
        <w:jc w:val="both"/>
        <w:rPr/>
      </w:pPr>
      <w:r>
        <w:rPr>
          <w:rFonts w:ascii="Times New Roman;serif" w:hAnsi="Times New Roman;serif"/>
          <w:b w:val="false"/>
          <w:color w:val="000000"/>
          <w:sz w:val="22"/>
        </w:rPr>
        <w:t>5.2.</w:t>
      </w:r>
      <w:r>
        <w:rPr>
          <w:rFonts w:ascii="Times New Roman;serif" w:hAnsi="Times New Roman;serif"/>
          <w:b w:val="false"/>
          <w:color w:val="000000"/>
          <w:sz w:val="22"/>
          <w:u w:val="single"/>
        </w:rPr>
        <w:t>Conditions to the Closing Date</w:t>
      </w:r>
      <w:r>
        <w:rPr>
          <w:rFonts w:ascii="Times New Roman;serif" w:hAnsi="Times New Roman;serif"/>
          <w:b w:val="false"/>
          <w:color w:val="000000"/>
          <w:sz w:val="22"/>
        </w:rPr>
        <w:t>. The agreement of each Lender to make extensions of credit hereunder is subject to the prior or concurrent satisfaction of the following conditions precedent: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Loan Documents and Certificates</w:t>
      </w:r>
      <w:r>
        <w:rPr>
          <w:rFonts w:ascii="Times New Roman;serif" w:hAnsi="Times New Roman;serif"/>
          <w:b w:val="false"/>
          <w:color w:val="000000"/>
          <w:sz w:val="22"/>
        </w:rPr>
        <w:t>. The Administrative Agent shall have received the following, each dated the Closing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(i)counterparts of this Agreement executed by each of the Lenders and a Responsible Officer of the Company and Remitly;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Guarantee Agreement, executed and delivered by each Loan Party and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Collateral Agreement, executed and delivered by each Loan Party, the Administrative Agent and the Collateral Agent;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(iv)(A) a certificate of a Responsible Officer of the Company certifying satisfaction of the conditions set forth in Sections 5.2(f), (j) and (k) and (B) a certificate of each Loan Party, dated as of the Closing Date, executed by a secretary, assistant secretary or other senior officer (as the case may be) thereof, which shall (I) certify that attached thereto is a true and complete copy of the resolutions or written consents of its shareholders, board of directors, board of managers, members or other governing body authorizing the entry into the Loan Documents to which it is a party and, in the case of the Borrower, the borrowings, and that such resolutions or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written consents have not been modified, rescinded or amended and are in full force and effect, (II) identify by name and title and bear the signatures of the officers, managers, directors or authorized signatories of such Loan Party authorized to sign the Loan Documents to which it is a party on the Closing Date, (III) certify (x) that attached thereto is a true and complete copy of the certificate or articles of incorporation or organization (or memorandum of association or other equivalent thereof) of such Loan Party (or articles of association or other equivalent thereof) and a true and correct copy of its by-laws or operating, management, partnership or similar agreement and (y) that such documents or agreements have not been amended (except as otherwise attached to such certificate and certified therein as being the only amendments thereto as of such date) and (IV) attach a recent good standing certificate (or the equivalent in the jurisdiction of organization of such Loan Party) with respect to such Loan Party.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Legal Opinion</w:t>
      </w:r>
      <w:r>
        <w:rPr>
          <w:rFonts w:ascii="Times New Roman;serif" w:hAnsi="Times New Roman;serif"/>
          <w:b w:val="false"/>
          <w:color w:val="000000"/>
          <w:sz w:val="22"/>
        </w:rPr>
        <w:t>. The Administrative Agent shall have received the executed legal opinions, each in a form reasonably acceptable to the Administrative Agent of (i) Davis Polk &amp; Wardwell LLP, special New York counsel to the Loan Parties and (ii) Morris, Nichols, Arsht &amp; Tunnell LLP, Delaware counsel to the applicable Loan Parties.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KYC</w:t>
      </w:r>
      <w:r>
        <w:rPr>
          <w:rFonts w:ascii="Times New Roman;serif" w:hAnsi="Times New Roman;serif"/>
          <w:b w:val="false"/>
          <w:color w:val="000000"/>
          <w:sz w:val="22"/>
        </w:rPr>
        <w:t xml:space="preserve">. (A) The Administrative Agent shall have received, at least three Business Days prior to the Closing Date, all documentation and other information as has been reasonably requested in writing at least ten Business Days prior to the Closing Date by the Administrative Agent or the Lenders that they reasonably determine is required by regulatory authorities under applicable “know your customer” and anti-money laundering rules and regulations, including the Patriot Act and the Beneficial Ownership Regulation and (B) to the extent any Borrower qualifies as a “legal entity customer” under the Beneficial Ownership Regulation, at least three Business Days prior to the Closing Date, any Lender that has requested, in a written notice to the Borrowers at least ten Business Days prior to the Closing Date, a Beneficial Ownership Certification in relation to any Borrower shall have received such Beneficial Ownership Certification (provided that, upon the execution and delivery by such Lender of its signature page to this Agreement, the condition set forth in this clause (B) shall be deemed to be satisfied). </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Fees</w:t>
      </w:r>
      <w:r>
        <w:rPr>
          <w:rFonts w:ascii="Times New Roman;serif" w:hAnsi="Times New Roman;serif"/>
          <w:b w:val="false"/>
          <w:color w:val="000000"/>
          <w:sz w:val="22"/>
        </w:rPr>
        <w:t>. The Administrative Agent shall have received all fees, interest and other amounts due and payable as of the Closing Date to the Administrative Agent and the Lenders under the Loan Documents and pursuant to any fee or similar letters (including the Fee Letter) executed by the Company in connection herewith shall be paid, including reimbursement or payment of all out-of-pocket expenses required thereunder to be reimbursed or paid by the Company and its subsidiaries, in each case solely to the extent invoiced in writing to the Company in reasonable detail at least three business days prior to the Closing.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Historical Financial Statements</w:t>
      </w:r>
      <w:r>
        <w:rPr>
          <w:rFonts w:ascii="Times New Roman;serif" w:hAnsi="Times New Roman;serif"/>
          <w:b w:val="false"/>
          <w:color w:val="000000"/>
          <w:sz w:val="22"/>
        </w:rPr>
        <w:t>. The Administrative Agent shall have received (i) audited consolidated balance sheets and related statements of income (loss), convertible preferred shares and shareholder equity and cash flows of the Company and its subsidiaries for the three most recently completed fiscal years ended at least 90 days prior to the Closing Date and (ii) unaudited consolidated balance sheets and related statements of income (loss), convertible preferred shares and shareholder equity and cash flows of the Company and its subsidiaries for each subsequent fiscal quarter ended at least 45 days prior to the Closing Date if such period is one of the first three fiscal quarters of a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Material Adverse Effect</w:t>
      </w:r>
      <w:r>
        <w:rPr>
          <w:rFonts w:ascii="Times New Roman;serif" w:hAnsi="Times New Roman;serif"/>
          <w:b w:val="false"/>
          <w:color w:val="000000"/>
          <w:sz w:val="22"/>
        </w:rPr>
        <w:t>. Since December 31, 2024, there has not occurred any change, development or event that, individually or in the aggregate, has had or would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Collateral</w:t>
      </w:r>
      <w:r>
        <w:rPr>
          <w:rFonts w:ascii="Times New Roman;serif" w:hAnsi="Times New Roman;serif"/>
          <w:b w:val="false"/>
          <w:color w:val="000000"/>
          <w:sz w:val="22"/>
        </w:rPr>
        <w:t xml:space="preserve">. Except to the extent set forth in </w:t>
      </w:r>
      <w:r>
        <w:rPr>
          <w:rFonts w:ascii="Times New Roman;serif" w:hAnsi="Times New Roman;serif"/>
          <w:b w:val="false"/>
          <w:color w:val="000000"/>
          <w:sz w:val="22"/>
          <w:u w:val="single"/>
        </w:rPr>
        <w:t>Section 6.12</w:t>
      </w:r>
      <w:r>
        <w:rPr>
          <w:rFonts w:ascii="Times New Roman;serif" w:hAnsi="Times New Roman;serif"/>
          <w:b w:val="false"/>
          <w:color w:val="000000"/>
          <w:sz w:val="22"/>
        </w:rPr>
        <w:t>, all documents and instruments necessary to create and perfect a first priority security interest (subject to liens permitted under the Loan Documents) in the Collateral shall have been delivered by the Loan Parties.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Payoff Letter</w:t>
      </w:r>
      <w:r>
        <w:rPr>
          <w:rFonts w:ascii="Times New Roman;serif" w:hAnsi="Times New Roman;serif"/>
          <w:b w:val="false"/>
          <w:color w:val="000000"/>
          <w:sz w:val="22"/>
        </w:rPr>
        <w:t>. Prior to or substantially concurrently with the Closing Date, the Existing Credit Agreement Refinancing shall occur, and the Administrative Agent shall have received customary evidence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The Administrative Agent shall have received a solvency certificate dated as of the Closing Date in substantially the form of Exhibit E from a Responsible Officer of the Company (or, at the option of the Borrower, a third party opinion as to the solvency of the Borrowers and their subsidiaries on a consolidated basis issued by a nationally recognized firm).</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Each of the representations and warranties made by any Loan Party in or pursuant to the Loan Documents shall be true and correct in all material respects (and in all respects if any such representation and warranty is qualified by materiality) on and as of the Closing Date (except to the extent any such representation and warranty expressly relates to an earlier date, in which case it was true and correct in all material respects (and in all respects if any such representation and warranty is qualified by materiality) as of such earlier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No Default</w:t>
      </w:r>
      <w:r>
        <w:rPr>
          <w:rFonts w:ascii="Times New Roman;serif" w:hAnsi="Times New Roman;serif"/>
          <w:b w:val="false"/>
          <w:color w:val="000000"/>
          <w:sz w:val="22"/>
        </w:rPr>
        <w:t>. No Default or Event of Default shall have occurred and be continuing on the Closing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5.3.</w:t>
      </w:r>
      <w:r>
        <w:rPr>
          <w:rFonts w:ascii="Times New Roman;serif" w:hAnsi="Times New Roman;serif"/>
          <w:b w:val="false"/>
          <w:color w:val="000000"/>
          <w:sz w:val="22"/>
          <w:u w:val="single"/>
        </w:rPr>
        <w:t>Conditions to Extensions of Credit</w:t>
      </w:r>
      <w:r>
        <w:rPr>
          <w:rFonts w:ascii="Times New Roman;serif" w:hAnsi="Times New Roman;serif"/>
          <w:b w:val="false"/>
          <w:color w:val="000000"/>
          <w:sz w:val="22"/>
        </w:rPr>
        <w:t>. The agreement of each Lender to make any extension of credit requested to be made by it on any date (other than the Closing Date) is subject to the satisfaction of the following conditions precedent: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Each of the representations and warranties made by any Loan Party in or pursuant to the Loan Documents shall be true and correct in all material respects (and in all respects if any such representation and warranty is qualified by materiality) on and as of such date as if made on and as of such date (except to the extent any such representation and warranty expressly relates to an earlier date, in which case it was true and correct in all material respects (and in all respects if any such representation and warranty is qualified by materiality) as of such earlier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 Default</w:t>
      </w:r>
      <w:r>
        <w:rPr>
          <w:rFonts w:ascii="Times New Roman;serif" w:hAnsi="Times New Roman;serif"/>
          <w:b w:val="false"/>
          <w:color w:val="000000"/>
          <w:sz w:val="22"/>
        </w:rPr>
        <w:t>. No Default or Event of Default shall have occurred and be continuing on such date or after giving effect to the extensions of credit requested to be made on such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borrowing by any Borrower of Revolving Loans and each issuance of a Letter of Credit on behalf of any Borrower hereunder shall constitute a representation and warranty by such Borrower as of the date of such extension of credit that the conditions contained in this Section 5.3 have been satisfied.</w:t>
      </w:r>
    </w:p>
    <w:p>
      <w:pPr>
        <w:pStyle w:val="TextBody"/>
        <w:bidi w:val="0"/>
        <w:spacing w:lineRule="auto" w:line="288" w:before="0" w:after="240"/>
        <w:jc w:val="both"/>
        <w:rPr/>
      </w:pPr>
      <w:r>
        <w:rPr>
          <w:rFonts w:ascii="Times New Roman;serif" w:hAnsi="Times New Roman;serif"/>
          <w:b w:val="false"/>
          <w:color w:val="010000"/>
          <w:sz w:val="22"/>
        </w:rPr>
        <w:t>Section 6.</w:t>
      </w:r>
      <w:r>
        <w:rPr>
          <w:rFonts w:ascii="Times New Roman;serif" w:hAnsi="Times New Roman;serif"/>
          <w:b w:val="false"/>
          <w:color w:val="000000"/>
          <w:sz w:val="22"/>
        </w:rPr>
        <w:t>AFFIRMATIVE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and after the Closing Date, the Company hereby agrees that, so long as the Commitments remain in effect, any Letter of Credit remains outstanding (other than Letters of Credit that are cash collateralized or backstopped on terms reasonably satisfactory to the applicable Issuing Bank) or any Loan or other amount is due and owing to any Lender or the Administrative Agent hereunder, the Company shall and shall cause each of its Subsidiaries to:</w:t>
      </w:r>
    </w:p>
    <w:p>
      <w:pPr>
        <w:pStyle w:val="TextBody"/>
        <w:bidi w:val="0"/>
        <w:spacing w:lineRule="auto" w:line="288" w:before="0" w:after="240"/>
        <w:ind w:left="0" w:right="0" w:firstLine="720"/>
        <w:jc w:val="both"/>
        <w:rPr/>
      </w:pPr>
      <w:r>
        <w:rPr>
          <w:rFonts w:ascii="Times New Roman;serif" w:hAnsi="Times New Roman;serif"/>
          <w:b w:val="false"/>
          <w:color w:val="000000"/>
          <w:sz w:val="22"/>
        </w:rPr>
        <w:t>6.1.</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Furnish to the Administrative Agent and each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4"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as soon as available, but in any event within 90 days after the end of each fiscal year of the Company, a copy of the audited consolidated balance sheet of the Company and its consolidated subsidiaries as at the end of such year and the related audited consolidated statements of income and of cash flows for such year, setting forth in each case in comparative form the figures for the previous year, reported on without a “going concern” or like qualification or exception, or qualification arising out of the scope of the audit (other than any such exception, explanatory paragraph or qualification, that is expressly solely with respect to, or expressly resulting solely from, (i) an upcoming maturity date under Indebtedness permitted to be incurred under Section 7.2 that is scheduled to occur within one year from the time such audit report is delivered, (ii) any actual or potential inability to satisfy the Financial Covenant or (iii) the activities, operations, financial results, assets or liabilities of any Unrestricted Subsidiary), by PricewaterhouseCoopers LLP or other independent certified public accountants of nationally recognized standing;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as soon as available, but in any event not later than 45 days after the end of each fiscal quarter of the Company (other than the fourth fiscal quarter of any fiscal year), the unaudited consolidated or combined, as applicable, balance sheet of the Company and its consolidated or combined, as applicable, subsidiaries as at the end of such fiscal quarter and the related unaudited consolidated or combined, as applicable, statements of income and of cash flows for such quarter and the portion of the fiscal year through the end of such quarter, setting forth in each case in comparative form the figures for the previous year, certified by a Responsible Officer as fairly presenting in all material respects the financial condition of the Company and its subsidiaries (subject to normal year-end audit adjustments).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such financial statements shall be prepared in reasonable detail and in accordance in all material respects with GAAP applied consistently throughout the periods reflected therein and with prior periods (except as approved by such accountants or officer, as the case may be, and disclosed therein).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Financial statements and reports required to be delivered pursuant to this Section 6.1 and Section 6.2(d) shall be deemed to have been delivered on the date on which (a) such financial statements or reports have been included in the Company’s annual report on Form 10-K or quarterly report on Form 10-Q, as filed with the SEC, and such report has been posted on the SEC website on the Internet at sec.gov/edaux/searches.htm (or any successor website), on the Company’s IntraLinks site at intralinks.com or on the Company’s website or (b) the Company provides notice to the Administrative Agent (which notice the Administrative Agent shall promptly provide to the Lenders) that such financial statement or report has been posted at another relevant website identified in such notice and accessible by the Lenders without charge.</w:t>
      </w:r>
    </w:p>
    <w:p>
      <w:pPr>
        <w:pStyle w:val="TextBody"/>
        <w:bidi w:val="0"/>
        <w:spacing w:lineRule="auto" w:line="288" w:before="0" w:after="240"/>
        <w:ind w:left="0" w:right="0" w:firstLine="720"/>
        <w:jc w:val="both"/>
        <w:rPr/>
      </w:pPr>
      <w:r>
        <w:rPr>
          <w:rFonts w:ascii="Times New Roman;serif" w:hAnsi="Times New Roman;serif"/>
          <w:b w:val="false"/>
          <w:color w:val="000000"/>
          <w:sz w:val="22"/>
        </w:rPr>
        <w:t>6.2.</w:t>
      </w:r>
      <w:r>
        <w:rPr>
          <w:rFonts w:ascii="Times New Roman;serif" w:hAnsi="Times New Roman;serif"/>
          <w:b w:val="false"/>
          <w:color w:val="000000"/>
          <w:sz w:val="22"/>
          <w:u w:val="single"/>
        </w:rPr>
        <w:t>Certificates; Other Information</w:t>
      </w:r>
      <w:r>
        <w:rPr>
          <w:rFonts w:ascii="Times New Roman;serif" w:hAnsi="Times New Roman;serif"/>
          <w:b w:val="false"/>
          <w:color w:val="000000"/>
          <w:sz w:val="22"/>
        </w:rPr>
        <w:t>. Furnish to the Administrative Agent and each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simultaneously with the delivery of each set of consolidated financial statements referred to in Section 6.1(a) and Section 6.1(b) above, the related consolidating financial information (which may be unaudited) reflecting adjustments necessary to eliminate the accounts of Unrestricted Subsidiaries (if any) from such consolidated financial statements;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within five (5) Business Days of the date that any financial statements are required to be delivered pursuant to Section 6.1, (i) a certificate of a Responsible Officer stating that such Responsible Officer has obtained no knowledge of any Default or Event of Default except as specified in such certificate and (ii) in the case of quarterly or annual financial statements, a Compliance Certificate as of the last day of the fiscal quarter or fiscal year of the Company,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5"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promptly upon the mailing thereof, copies of all financial statements and reports (except to the extent previously delivered pursuant to Section 6.1) that the Company sends to the holders of any class of its debt securities or public equity securities and, within five days after the same are filed, copies of all financial statements and reports that the Company may make to, or file with, the SEC;</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promptly following any reasonable request therefor, information and documentation reasonably requested by the Administrative Agent or any Lender for purposes of compliance with applicable “know your customer” regulations and anti-money laundering rules and regulations, including the Patriot Act and the Beneficial Ownership Regulation;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promptly, such additional financial information as any Lender (through the Administrative Agent) may from time to time reasonably request.</w:t>
      </w:r>
    </w:p>
    <w:p>
      <w:pPr>
        <w:pStyle w:val="TextBody"/>
        <w:bidi w:val="0"/>
        <w:spacing w:lineRule="auto" w:line="288" w:before="0" w:after="240"/>
        <w:ind w:left="0" w:right="0" w:firstLine="720"/>
        <w:jc w:val="both"/>
        <w:rPr/>
      </w:pPr>
      <w:r>
        <w:rPr>
          <w:rFonts w:ascii="Times New Roman;serif" w:hAnsi="Times New Roman;serif"/>
          <w:b w:val="false"/>
          <w:color w:val="000000"/>
          <w:sz w:val="22"/>
        </w:rPr>
        <w:t>6.3.</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 Pay, discharge or otherwise satisfy at or before maturity or before they become delinquent, as the case may be, all Tax obligations, except where the amount or validity thereof is currently being contested in good faith by appropriate proceedings and reserves in conformity with GAAP with respect thereto have been provided on the books of the Company or its Subsidiaries, as the case may be, or except where such failure would not, in the aggregate, reasonably be expected to result in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6.4.</w:t>
      </w:r>
      <w:r>
        <w:rPr>
          <w:rFonts w:ascii="Times New Roman;serif" w:hAnsi="Times New Roman;serif"/>
          <w:b w:val="false"/>
          <w:color w:val="000000"/>
          <w:sz w:val="22"/>
          <w:u w:val="single"/>
        </w:rPr>
        <w:t>Maintenance of Existence; Compliance</w:t>
      </w:r>
      <w:r>
        <w:rPr>
          <w:rFonts w:ascii="Times New Roman;serif" w:hAnsi="Times New Roman;serif"/>
          <w:b w:val="false"/>
          <w:color w:val="000000"/>
          <w:sz w:val="22"/>
        </w:rPr>
        <w:t>. (a) (i) Preserve, renew and keep in full force and effect its corporate or other organizational existence and (ii) take all reasonable action to maintain all rights, privileges and franchises necessary or desirable in the normal conduct of the Business, except, in each case, as otherwise permitted by Section 7.4 and except, in the case of each of clause (i) (other than with respect to the existence of the Borrowers) and (ii) above, to the extent that failure to do so would not, in the aggregate, reasonably be expected to have a Material Adverse Effect, (b) comply with all Contractual Obligations and Requirements of Law (including the Outbound Investment Rules) except to the extent that failure to comply therewith would not, in the aggregate, reasonably be expected to have a Material Adverse Effect and (c) maintain in effect and apply policies and procedures reasonably designed to ensure compliance in all material respects by the Company, its Subsidiaries and their respective directors, officers, employees and agents with Anti-Corruption Laws and applicable Sanctions.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6.5.</w:t>
      </w:r>
      <w:r>
        <w:rPr>
          <w:rFonts w:ascii="Times New Roman;serif" w:hAnsi="Times New Roman;serif"/>
          <w:b w:val="false"/>
          <w:color w:val="000000"/>
          <w:sz w:val="22"/>
          <w:u w:val="single"/>
        </w:rPr>
        <w:t>Maintenance of Property; Insurance</w:t>
      </w:r>
      <w:r>
        <w:rPr>
          <w:rFonts w:ascii="Times New Roman;serif" w:hAnsi="Times New Roman;serif"/>
          <w:b w:val="false"/>
          <w:color w:val="000000"/>
          <w:sz w:val="22"/>
        </w:rPr>
        <w:t>. (a) Keep all property useful and necessary in its business in good working order and condition, ordinary wear and tear excepted, except where such failure would not, in the aggregate, reasonably be expected to result in a Material Adverse Effect, (b) maintain with financially sound and reputable insurance companies insurance on all its property in at least such amounts and against at least such risks (but including in any event public liability, product liability and business interruption) as are customarily insured against in the same general area by companies engaged in the same or a similar business and (c) if any portion of any improved Mortgaged Property is at any time located in an area identified as a special flood hazard area with respect to which flood insurance has been made available under the Flood Laws, then the Borrowers shall, or shall cause the applicable Loan Party to, (i) maintain, or cause to be maintained, with a financially sound and reputable insurer, flood insurance in an amount and otherwise sufficient to comply with all applicable rules and regulations promulgated pursuant to the Flood Laws and (ii) deliver to the Administrative evidence of such compliance in form and substance reasonably acceptable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6"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6.6.</w:t>
      </w:r>
      <w:r>
        <w:rPr>
          <w:rFonts w:ascii="Times New Roman;serif" w:hAnsi="Times New Roman;serif"/>
          <w:b w:val="false"/>
          <w:color w:val="000000"/>
          <w:sz w:val="22"/>
          <w:u w:val="single"/>
        </w:rPr>
        <w:t>Inspection of Property; Books and Records; Discussions</w:t>
      </w:r>
      <w:r>
        <w:rPr>
          <w:rFonts w:ascii="Times New Roman;serif" w:hAnsi="Times New Roman;serif"/>
          <w:b w:val="false"/>
          <w:color w:val="000000"/>
          <w:sz w:val="22"/>
        </w:rPr>
        <w:t>. (a) Keep proper books of records and accounts in conformity in all material respects with GAAP and (b) permit representatives of the Administrative Agent (which, following the occurrence and during the continuance of an Event of Default, may be accompanied by representatives of any Lender), upon reasonable prior written notice, to make reasonable visits to and inspections of any of its properties and examine and make abstracts from any of its books and records at any reasonable time and as often as may reasonably be desired and to discuss the business, operations, properties and financial condition of the Company and its Subsidiaries with officers of the Company and its Subsidiaries; provided that with respect to clause (b), prior to the occurrence and continuation of an Event of Default, no more than one such visit shall be made per year.</w:t>
      </w:r>
    </w:p>
    <w:p>
      <w:pPr>
        <w:pStyle w:val="TextBody"/>
        <w:bidi w:val="0"/>
        <w:spacing w:lineRule="auto" w:line="288" w:before="0" w:after="240"/>
        <w:ind w:left="0" w:right="0" w:firstLine="720"/>
        <w:jc w:val="both"/>
        <w:rPr/>
      </w:pPr>
      <w:r>
        <w:rPr>
          <w:rFonts w:ascii="Times New Roman;serif" w:hAnsi="Times New Roman;serif"/>
          <w:b w:val="false"/>
          <w:color w:val="000000"/>
          <w:sz w:val="22"/>
        </w:rPr>
        <w:t>6.7.</w:t>
      </w:r>
      <w:r>
        <w:rPr>
          <w:rFonts w:ascii="Times New Roman;serif" w:hAnsi="Times New Roman;serif"/>
          <w:b w:val="false"/>
          <w:color w:val="000000"/>
          <w:sz w:val="22"/>
          <w:u w:val="single"/>
        </w:rPr>
        <w:t>Notices</w:t>
      </w:r>
      <w:r>
        <w:rPr>
          <w:rFonts w:ascii="Times New Roman;serif" w:hAnsi="Times New Roman;serif"/>
          <w:b w:val="false"/>
          <w:color w:val="000000"/>
          <w:sz w:val="22"/>
        </w:rPr>
        <w:t>. Promptly give notice to the Administrative Agent and each Lender of:</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occurrence of any Default or Event of Default upon obtaining Knowledge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any (i) default or event of default under any Contractual Obligation of the Company or any of its Subsidiaries that, would reasonably be expected to have a Material Adverse Effect or (ii) litigation, investigation or proceeding affecting the Company or any of its Subsidiaries that would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following events, as soon as possible and in any event within 30 days after the Company has Knowledge: (i) the occurrence of any Reportable Event with respect to any Plan, a failure to make any required contribution to a Plan, the creation of any Lien in favor of the PBGC or a Plan or any withdrawal from, or the termination or Insolvency of, any Multiemployer Plan or (ii) the institution of proceedings or the taking of any other action by the PBGC or the Company or any Commonly Controlled Entity or any Multiemployer Plan with respect to the withdrawal from, or the termination or Insolvency of, any Plan; provided, that in each case of clauses (i) and (ii), except as would not reasonably be expected to have a Material Adverse Effect; and </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any development or event that has had or would reasonably be expected to have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notice pursuant to this Section 6.7 shall be accompanied by a statement of a Responsible Officer setting forth details of the occurrence referred to therein and stating what action the Company or the relevant Subsidiary proposes to take with respect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6.8.</w:t>
      </w:r>
      <w:r>
        <w:rPr>
          <w:rFonts w:ascii="Times New Roman;serif" w:hAnsi="Times New Roman;serif"/>
          <w:b w:val="false"/>
          <w:color w:val="000000"/>
          <w:sz w:val="22"/>
          <w:u w:val="single"/>
        </w:rPr>
        <w:t>Environmental Laws</w:t>
      </w:r>
      <w:r>
        <w:rPr>
          <w:rFonts w:ascii="Times New Roman;serif" w:hAnsi="Times New Roman;serif"/>
          <w:b w:val="false"/>
          <w:color w:val="000000"/>
          <w:sz w:val="22"/>
        </w:rPr>
        <w:t>. Comply with, and take commercially reasonable steps to ensure compliance in all material respects by all tenants and subtenants, if any, with, all applicable Environmental Laws, and obtain and comply with and maintain, and take commercially reasonable steps to ensure that all tenants and subtenants obtain and comply in all material respects with and maintain, any and all licenses, approvals, notifications, registrations or permits required by applicable Environmental Laws, except, in each case with respect to this Section 6.8, to the extent the failure to do so would not reasonably be expected to have, individually or in the aggregate,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6.9.</w:t>
      </w:r>
      <w:r>
        <w:rPr>
          <w:rFonts w:ascii="Times New Roman;serif" w:hAnsi="Times New Roman;serif"/>
          <w:b w:val="false"/>
          <w:color w:val="000000"/>
          <w:sz w:val="22"/>
          <w:u w:val="single"/>
        </w:rPr>
        <w:t>Additional Collateral, etc.</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With respect to any property or rights acquired after the Closing Date by the Company or any of its Subsidiaries that is a Loan Party (or is required to be a Loan Party pursuant to the terms of this Agreement and the other Loan Documents) (other than any property described in paragraph (b), (c) or (d) below) as to which the Collateral Agent, for the benefit of the Administrative Agent and the Lenders, does not have a perfected Lien, promptly (and, in any event within 60 days following such acquisition) (i)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7"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execute and deliver to the Administrative Agent and the Collateral Agent such amendments to the Collateral Agreement or such other documents as the Administrative Agent or the Collateral Agent reasonably request to grant to the Collateral Agent, for the benefit of the Administrative Agent and the Lenders, a security interest in such property and (ii) take all actions as the Administrative Agent or Collateral Agent reasonably request to grant to the Collateral Agent, for the benefit of the Administrative Agent and the Lenders, a perfected first priority security interest in such property, including the filing of Uniform Commercial Code or other applicable financing statements in such jurisdictions as may be required by the Collateral Agreement or by law or as may be reasonably requested by the Administrative Agent or the Collateral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With respect to (i) any fee interest in any real property having a value (together with improvements thereof) of at least $10,000,000 acquired after the Closing Date by the Company or any of its Subsidiaries that is a Loan Party (or is required to be a Loan Party pursuant to the terms of this Agreement and the other Loan Documents) and (ii) any real property listed in part (b) of Schedule 1.1B that becomes a Mortgaged Property pursuant to the definition thereof, promptly (and in any event within 90 days following such acquisition or such real property becoming a Mortgaged Property) deliver the documents required for Mortgaged Properties pursuant to Section 6.11. Notwithstanding the foregoing, the Collateral Agent shall not enter into any Mortgage in respect of any real property acquired by any Loan Party after the Closing Date until the date that is (a) if such real property is not located in a “special flood hazard area”, thirty (30) days or (b) if such real property is located in a “special flood hazard area”, thirty (30) days, after the Administrative Agent has delivered to the Lenders the following documents in respect of such real property: (i) a completed flood hazard determination from a third party vendor; (ii) if such real property is located in a “special flood hazard area”, (A) a notification to the applicable Loan Parties of that fact and (if applicable) notification to the applicable Loan Parties that flood insurance coverage is not available and (B) evidence of the receipt by the applicable Loan Parties of such notice; and (iii) if required by Flood Laws, evidence of required flood insurance.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With respect to any new Subsidiary (other than any Excluded Subsidiary) (which, for the purposes of this paragraph (c), shall include any existing Subsidiary that ceases to be an Excluded Subsidiary (to the extent not a Loan Party)), promptly (and, in any event within 60 days after the acquisition or formation thereof or the cessation to be an Excluded Subsidiary) (i) execute and deliver to the Administrative Agent and the Collateral Agent such amendments to the Collateral Agreement or such other documents as the Administrative Agent or the Collateral Agent reasonably request to grant to the Collateral Agent, for the benefit of the Administrative Agent and the Lenders, a perfected first priority security interest in the Capital Stock of such new Subsidiary that is owned by the Company or any of its Subsidiaries that is a Loan Party (or is required to be a Loan Party pursuant to the terms of this Agreement and the other Loan Documents), (ii) deliver to the Collateral Agent the certificates representing such Capital Stock, together with undated stock powers, in blank, executed and delivered by a duly authorized officer of the Company or such Subsidiary, as the case may be, and take such other action as may be required or the Administrative Agent reasonably requests to perfect the Collateral Agent’s security interest therein, (iii) cause such new Subsidiary to become a party to the Guarantee Agreement and the Collateral Agreement and (iv) if reasonably requested by the Administrative Agent or the Collateral Agent, deliver to the Administrative Agent and the Collateral Agent legal opinions relating to the matters described above, which opinions shall be in form and substance, and from counsel, reasonably satisfactory to the Administrative Agent and the Collateral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With respect to any new CFC or CFC Holding Company (other than any Excluded Foreign Subsidiary (as defined in the Collateral Agreement)) of a Loan Party created or acquired after the Closing Date by the Company or any other Loan Party, promptly (and, in any event within 60 days after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creation or acquisition thereof) (i) execute and deliver to the Administrative Agent and the Collateral Agent such amendments to the Collateral Agreement or such other documents as the Administrative Agent or the Collateral Agent reasonably request to grant to the Collateral Agent, for the benefit of the Administrative Agent and the Lenders, a perfected first priority security interest in the Capital Stock of such new Subsidiary (provided that in no event shall more than 65% of the total outstanding Capital Stock of any such new Subsidiary that is a CFC or a CFC Holding Company be required to be so pledged); provided, further, that no Loan Party shall be obligated to pledge the Capital Stock of a Foreign Subsidiary to the extent such pledge would violate the laws of the jurisdiction of such Foreign Subsidiary’s organization, (ii) deliver to the Collateral Agent the certificates representing such Capital Stock, together with undated stock powers, in blank, executed and delivered by a duly authorized officer of such Loan Party, as the case may be, and take such other action as may be necessary or, in the opinion of the Administrative Agent or the Collateral Agent, desirable to perfect the Collateral Agent’s security interest therein and (iii) if reasonably requested by the Administrative Agent or the Collateral Agent, deliver to the Administrative Agent and the Collateral Agent legal opinions relating to the matters described above, which opinions shall be in form and substance, and from counsel, reasonably satisfactory to the Administrative Agent and the Collateral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In addition, within 60 days of the Closing Date, the Company shall deliver to the Administrative Agent and the Collateral Agent insurance certificates and endorsements naming the Collateral Agent as additional insured or mortgagee and loss payee (in accordance with customary practice in the jurisdiction where the applicable insurance policy is maintained) under the insurance policies of the Company and its Subsidiaries in accordance with the Collateral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For the avoidance of doubt, references in this Section 6.9 to any asset, property, right or Capital Stock of any Subsidiary created or acquired after the Closing Date do not include Excluded Assets (as defined in the Collateral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The Administrative Agent shall have the right to extend any of the time periods set forth in this Section 6.9 in its reasonable discretion.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Notwithstanding anything to the contrary in any Loan Document, no Loan Party shall be required, nor shall the Administrative Agent be authorized, (A) to perfect any pledge, security interest or mortgage by any means other than through (x) any filing pursuant to the UCC in the office of the secretary of state (or similar central filing office) of the relevant State(s) or pursuant to any applicable real estate records in the United States with respect to any Mortgaged Property or any fixture relating to any Mortgaged Property, (y) any filing in the United Stated Copyright Office or the United States Patent and Trademark Office with respect to intellectual property or (z) delivery to the Administrative Agent to be held in its possession of all Collateral consisting of stock certificates of the Company and its wholly-owned pledged subsidiaries and certain instruments with a fair market value in excess of $5,000,000, (B) to enter into any account control agreement or lockbox or similar arrangement with respect to any deposit account, securities account or commodities account, (C) to take any action in or required by a jurisdiction other than the United States or with respect to any asset located or titled outside of the United States (and there shall be no guarantee, security agreement or pledge agreement governed by the laws of any jurisdiction other than a state in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2"/>
        </w:rPr>
        <w:t>6.10.</w:t>
      </w:r>
      <w:r>
        <w:rPr>
          <w:rFonts w:ascii="Times New Roman;serif" w:hAnsi="Times New Roman;serif"/>
          <w:b w:val="false"/>
          <w:color w:val="000000"/>
          <w:sz w:val="22"/>
          <w:u w:val="single"/>
        </w:rPr>
        <w:t>Designation of Subsidiaries</w:t>
      </w:r>
      <w:r>
        <w:rPr>
          <w:rFonts w:ascii="Times New Roman;serif" w:hAnsi="Times New Roman;serif"/>
          <w:b w:val="false"/>
          <w:color w:val="000000"/>
          <w:sz w:val="22"/>
        </w:rPr>
        <w:t xml:space="preserve">. The Company may at any time designate any Subsidiary (other than Remitly) as an Unrestricted Subsidiary or any Unrestricted Subsidiary as a Subsidiary by delivering to the Administrative Agent a certificate of a Responsible Officer of the Company specifying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designation and certifying that the conditions to such designation set forth in this Section 6.10 are satisfied; provided that: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both immediately before and immediately after any such designation, no Event of Default shall have occurred and be continuing or would result therefrom;</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the case of a designation of a Subsidiary as an Unrestricted Subsidiary, each subsidiary of such Subsidiary has been, or concurrently therewith will be, designated as an Unrestricted Subsidiary in accordance with this Section 6.10;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in no event shall any Subsidiary be designated an Unrestricted Subsidiary if such Subsidiary or any subsidiary of such Subsidiary owns (i) any Equity Interest of any Borrower or any Subsidiary or (ii) any Material IP.</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designation of any Subsidiary as an Unrestricted Subsidiary shall constitute an Investment by the Company in such Subsidiary on the date of designation in an amount equal to the fair market value of the Company’s or its Subsidiary’s (as applicable) Investment therein (as determined reasonably and in good faith by a Responsible Officer of the Company). The designation of any Unrestricted Subsidiary as a Subsidiary shall constitute the incurrence at the time of designation of any Investment, Indebtedness or Liens of such Subsidiary existing at such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6.11.</w:t>
      </w:r>
      <w:r>
        <w:rPr>
          <w:rFonts w:ascii="Times New Roman;serif" w:hAnsi="Times New Roman;serif"/>
          <w:b w:val="false"/>
          <w:color w:val="000000"/>
          <w:sz w:val="22"/>
          <w:u w:val="single"/>
        </w:rPr>
        <w:t>Post-Closing Real Estate Deliverables</w:t>
      </w:r>
      <w:r>
        <w:rPr>
          <w:rFonts w:ascii="Times New Roman;serif" w:hAnsi="Times New Roman;serif"/>
          <w:b w:val="false"/>
          <w:color w:val="000000"/>
          <w:sz w:val="22"/>
        </w:rPr>
        <w:t>. No later than 120 days after the Closing Date (or such later date selected by the Administrative Agent in its reasonable discretion) the Company shall cause to be delivered to the Administrative Agent and the Collateral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Mortgages</w:t>
      </w:r>
      <w:r>
        <w:rPr>
          <w:rFonts w:ascii="Times New Roman;serif" w:hAnsi="Times New Roman;serif"/>
          <w:b w:val="false"/>
          <w:color w:val="000000"/>
          <w:sz w:val="22"/>
        </w:rPr>
        <w:t>. A Mortgage encumbering each Mortgaged Property listed on Schedule 1.1B in favor of the Collateral Agent, for the benefit of the Administrative Agent and the Secured Parties, duly executed and acknowledged by each Loan Party that is the owner of or holder of any interest in such Mortgaged Property, and otherwise in form for recording in the recording office of each applicable political subdivision where each such Mortgaged Property is situated, together with such certificates, affidavits, questionnaires or returns as shall be required in connection with the recording or filing thereof to create a lien under applicable Requirements of Law, and such financing statements and any other instruments necessary to grant a mortgage lien under the laws of any applicable jurisdiction, all of which shall be in form and substance reasonably satisfactory to Collateral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Title Insurance Policies</w:t>
      </w:r>
      <w:r>
        <w:rPr>
          <w:rFonts w:ascii="Times New Roman;serif" w:hAnsi="Times New Roman;serif"/>
          <w:b w:val="false"/>
          <w:color w:val="000000"/>
          <w:sz w:val="22"/>
        </w:rPr>
        <w:t>. With respect to each Mortgage, (i) a policy of title insurance (or marked up unconditional title insurance commitment having the effect of a policy of title insurance) issued by a nationally recognized and financially stable title insurance company reasonably acceptable to the Administrative Agent (the “</w:t>
      </w:r>
      <w:r>
        <w:rPr>
          <w:rFonts w:ascii="Times New Roman;serif" w:hAnsi="Times New Roman;serif"/>
          <w:b/>
          <w:color w:val="000000"/>
          <w:sz w:val="22"/>
        </w:rPr>
        <w:t>Title Company</w:t>
      </w:r>
      <w:r>
        <w:rPr>
          <w:color w:val="000000"/>
        </w:rPr>
        <w:t>”</w:t>
      </w:r>
      <w:r>
        <w:rPr>
          <w:rFonts w:ascii="Times New Roman;serif" w:hAnsi="Times New Roman;serif"/>
          <w:b w:val="false"/>
          <w:color w:val="000000"/>
          <w:sz w:val="22"/>
        </w:rPr>
        <w:t>) insuring the Lien of such Mortgage as a valid first mortgage Lien on the Mortgaged Property in an amount not less than the fair market value of such Mortgaged Property determined in the reasonable opinion of the Company, which policy (or such marked up unconditional title insurance commitment) (each, a “</w:t>
      </w:r>
      <w:r>
        <w:rPr>
          <w:rFonts w:ascii="Times New Roman;serif" w:hAnsi="Times New Roman;serif"/>
          <w:b/>
          <w:color w:val="000000"/>
          <w:sz w:val="22"/>
        </w:rPr>
        <w:t>Title Policy</w:t>
      </w:r>
      <w:r>
        <w:rPr>
          <w:color w:val="000000"/>
        </w:rPr>
        <w:t>”</w:t>
      </w:r>
      <w:r>
        <w:rPr>
          <w:rFonts w:ascii="Times New Roman;serif" w:hAnsi="Times New Roman;serif"/>
          <w:b w:val="false"/>
          <w:color w:val="000000"/>
          <w:sz w:val="22"/>
        </w:rPr>
        <w:t xml:space="preserve">) shall (x) to the extent necessary, include such co-insurance and reinsurance arrangements (with provisions for direct access, if necessary) as shall be reasonably acceptable to the Administrative Agent, (y) have been supplemented by such endorsements as shall be reasonably requested by the Administrative Agent, and (z) contain no exceptions to title other than Liens permitted pursuant to Section 7.3; (ii) evidence reasonably acceptable to the Collateral Agent of payment by applicable Borrower of all Title Policy premiums, search and examination charges, escrow charges and related charges, mortgage recording taxes, fees, charges, costs and expenses required for the recording of the Mortgages and issuance of the Title Policies; and (iii) such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60"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affidavits, certificates, information (including financial data) and instruments of indemnification (including a so-called “gap” indemnification) as shall be required to induce the Title Company to issue the Title Policies and endorsements;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Surveys</w:t>
      </w:r>
      <w:r>
        <w:rPr>
          <w:rFonts w:ascii="Times New Roman;serif" w:hAnsi="Times New Roman;serif"/>
          <w:b w:val="false"/>
          <w:color w:val="000000"/>
          <w:sz w:val="22"/>
        </w:rPr>
        <w:t>. A survey of the applicable Mortgaged Property for which all necessary fees (where applicable) have been paid (a) prepared by a surveyor reasonably acceptable to the Collateral Agent, (b) dated or re-certificated not earlier than three months prior to the date of such delivery or such other date as may be reasonably satisfactory to the Administrative Agent in its sole discretion, (c) for Mortgaged Property situated in the United States, certified to the Collateral Agent, and the Title Company, which certification shall be reasonably acceptable to the Collateral Agent and (d) in such form as shall be required by the title company to issue the so-called comprehensive and other survey-related endorsements and to remove the standard survey exceptions from the Title Policies and endorsements provided, however, that a new survey shall not be required to the extent that (x) an existing survey together with an “affidavit of no change” is delivered to the Collateral Agent and the Title Company and (y) the Title Policy for such Mortgaged Property does not contain the standard survey exception and includes customary survey related endorsements and other coverages in the applicable Title Policy (including, but not limited to public road access, survey, contiguity and so-called comprehensive coverage);</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Opinions</w:t>
      </w:r>
      <w:r>
        <w:rPr>
          <w:rFonts w:ascii="Times New Roman;serif" w:hAnsi="Times New Roman;serif"/>
          <w:b w:val="false"/>
          <w:color w:val="000000"/>
          <w:sz w:val="22"/>
        </w:rPr>
        <w:t>. Favorable written opinions, addressed to the Administrative Agent, the Collateral Agent and the Lenders, of local counsel to the Loan Parties in each jurisdiction (i) where a Mortgaged Property is located and (ii) where the applicable Loan Party granting the Mortgage on said Mortgaged Property is organized, regarding the due authority, execution, delivery, perfection and enforceability of each such Mortgage, the corporate formation, existence and good standing of the applicable Loan Party, and such other matters as may be reasonably requested by the Administrative Agent, each in form and substance reasonably satisfactory to the Collateral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Flood Insurance</w:t>
      </w:r>
      <w:r>
        <w:rPr>
          <w:rFonts w:ascii="Times New Roman;serif" w:hAnsi="Times New Roman;serif"/>
          <w:b w:val="false"/>
          <w:color w:val="000000"/>
          <w:sz w:val="22"/>
        </w:rPr>
        <w:t>. (a) “Life-of-Loan” Federal Emergency Management Agency Standard Flood Hazard Determination with respect to each Mortgaged Property; and (b) in the event any such property is located in an area identified by the Federal Emergency Management Agency (or any successor agency) as a “special flood hazard area,” (x) a notice about special flood hazard area status and flood disaster assistance, duly executed by the Company, (y) evidence of flood insurance with a financially sound and reputable insurer, naming the Collateral Agent, as mortgagee, in an amount and otherwise in form and substance reasonably satisfactory to the Collateral Agent, Agent and otherwise in compliance with the Flood Laws and (z) evidence of the payment of premiums in respect thereof in form and substance reasonably satisfactory to the Collateral Agent (provided that, notwithstanding the foregoing, the Collateral Agent shall not enter into any Mortgage in respect of any Mortgaged Property listed on Schedule 1.1B until the date that is (a) if such real property is not located in a “special flood hazard area”, thirty (30) days or (b) if such real property is located in a “special flood hazard area”, one hundred twenty (120) days, after the Collateral Agent has delivered to the Lenders the following documents in respect of such real property: (i) a completed flood hazard determination from a third party vendor; (ii) if such real property is located in a “special flood hazard area”, (A) a notification to the applicable Loan Parties of that fact and (if applicable) notification to the applicable Loan Parties that flood insurance coverage is not available and (B) evidence of the receipt by the applicable Loan Parties of such notice; and (iii) if required by Flood Laws, evidence of required flood insurance);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6.12.</w:t>
      </w:r>
      <w:r>
        <w:rPr>
          <w:rFonts w:ascii="Times New Roman;serif" w:hAnsi="Times New Roman;serif"/>
          <w:b w:val="false"/>
          <w:color w:val="000000"/>
          <w:sz w:val="22"/>
          <w:u w:val="single"/>
        </w:rPr>
        <w:t>Post-Closing Obligations</w:t>
      </w:r>
      <w:r>
        <w:rPr>
          <w:rFonts w:ascii="Times New Roman;serif" w:hAnsi="Times New Roman;serif"/>
          <w:b w:val="false"/>
          <w:color w:val="000000"/>
          <w:sz w:val="22"/>
        </w:rPr>
        <w:t xml:space="preserve">. The Company and each applicable Loan Party shall comply with each requirement set forth on Schedule 6.12 on or before the date specified for such requirement (or such later date as the Administrative Agent may agree in its reasonable discretion); provided that this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61"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Section 6.12 shall be deemed to qualify the representations, warranties, covenants and other agreements in the Loan Documents such that no inaccuracy or breach thereof shall arise in respect of the matters set forth on Schedule 6.12 prior to the time by which such actions are required to be taken.</w:t>
      </w:r>
    </w:p>
    <w:p>
      <w:pPr>
        <w:pStyle w:val="TextBody"/>
        <w:bidi w:val="0"/>
        <w:spacing w:lineRule="auto" w:line="288" w:before="0" w:after="240"/>
        <w:ind w:left="0" w:right="0" w:firstLine="720"/>
        <w:jc w:val="both"/>
        <w:rPr/>
      </w:pPr>
      <w:r>
        <w:rPr>
          <w:rFonts w:ascii="Times New Roman;serif" w:hAnsi="Times New Roman;serif"/>
          <w:b w:val="false"/>
          <w:color w:val="000000"/>
          <w:sz w:val="22"/>
        </w:rPr>
        <w:t>6.13.</w:t>
      </w:r>
      <w:r>
        <w:rPr>
          <w:rFonts w:ascii="Times New Roman;serif" w:hAnsi="Times New Roman;serif"/>
          <w:b w:val="false"/>
          <w:color w:val="000000"/>
          <w:sz w:val="22"/>
          <w:u w:val="single"/>
        </w:rPr>
        <w:t>Holding Company Reorganization</w:t>
      </w:r>
      <w:r>
        <w:rPr>
          <w:rFonts w:ascii="Times New Roman;serif" w:hAnsi="Times New Roman;serif"/>
          <w:b w:val="false"/>
          <w:color w:val="000000"/>
          <w:sz w:val="22"/>
        </w:rPr>
        <w:t>. The Company at any time may consummate a Holding Company Reorganization, provided that (i) immediately after giving effect thereto, no Default or Event of Default shall exist or shall have occurred and be continuing, (ii) the Company shall cause the Holding Company to (A) become a party to the Guarantee Agreement as a Guarantor, (B) deliver to the Administrative Agent any certificates representing the Collateral consisting of all Capital Stock owned by the Holding Company (other than Excluded Assets) and such joinder agreements, amendments and supplements to the applicable Security Documents or such other documents as the Administrative Agent shall deem necessary or advisable to grant to the Administrative Agent, for the benefit of the Credit Parties, a Lien on all Collateral owned by the Holding Company (other than Excluded Assets) and take all such actions necessary to cause such Lien to be duly perfected to the extent required by the Security Documents and (C) expressly assume all obligations of the Company under this Agreement and the other Loan Documents pursuant to supplements hereto and thereto or other documents or instruments, in each case in form and substance reasonably satisfactory to the Administrative Agent, and shall take all actions as may be required to preserve the enforceability of the Loan Documents, (iii) each Guarantor shall have confirmed in writing that its Guarantee shall apply to the Obligations of the Borrowers notwithstanding the occurrence of the Holding Company Reorganization, (iv) the Administrative Agent shall have received such officers’ certificates and opinions of counsel as it may reasonably request in connection with such transaction, (v) the direct or indirect holders of the Capital Stock of the Holding Company immediately following such Holding Company Reorganization are substantially the same as the holders of the Company’s Capital Stock immediately prior to such Holding Company Reorganization, (vi) the revised organizational structure of the Holding Company, the Company and the Subsidiaries shall be reasonably satisfactory to Administrative Agent and (vii) the Administrative Agent and each Lender shall receive all documentation and other information required by regulatory authorities under applicable “know your customer” and anti-money laundering rules and regulations, including the Patriot Act and the Beneficial Ownership Regulation.</w:t>
      </w:r>
    </w:p>
    <w:p>
      <w:pPr>
        <w:pStyle w:val="TextBody"/>
        <w:bidi w:val="0"/>
        <w:spacing w:lineRule="auto" w:line="288" w:before="0" w:after="240"/>
        <w:jc w:val="both"/>
        <w:rPr/>
      </w:pPr>
      <w:r>
        <w:rPr>
          <w:rFonts w:ascii="Times New Roman;serif" w:hAnsi="Times New Roman;serif"/>
          <w:b w:val="false"/>
          <w:color w:val="010000"/>
          <w:sz w:val="22"/>
        </w:rPr>
        <w:t>Section 7.</w:t>
      </w:r>
      <w:r>
        <w:rPr>
          <w:rFonts w:ascii="Times New Roman;serif" w:hAnsi="Times New Roman;serif"/>
          <w:b w:val="false"/>
          <w:color w:val="000000"/>
          <w:sz w:val="22"/>
        </w:rPr>
        <w:t>NEGATIVE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and after the Closing Date, the Company hereby agrees that, so long as any Loan or other amount is due and owing to any Lender or the Administrative Agent hereunder, any Commitment remains in effect or any Letter of Credit remains outstanding (other than Letters of Credit that are cash collateralized or backstopped on terms reasonably satisfactory to the applicable Issuing Bank), the Company shall not, and shall not permit any of its Subsidiaries to, directly or indirectly:</w:t>
      </w:r>
    </w:p>
    <w:p>
      <w:pPr>
        <w:pStyle w:val="TextBody"/>
        <w:bidi w:val="0"/>
        <w:spacing w:lineRule="auto" w:line="288" w:before="0" w:after="240"/>
        <w:ind w:left="0" w:right="0" w:firstLine="720"/>
        <w:jc w:val="left"/>
        <w:rPr/>
      </w:pPr>
      <w:r>
        <w:rPr>
          <w:rFonts w:ascii="Times New Roman;serif" w:hAnsi="Times New Roman;serif"/>
          <w:b w:val="false"/>
          <w:color w:val="000000"/>
          <w:sz w:val="22"/>
        </w:rPr>
        <w:t>7.1.</w:t>
      </w:r>
      <w:r>
        <w:rPr>
          <w:rFonts w:ascii="Times New Roman;serif" w:hAnsi="Times New Roman;serif"/>
          <w:b w:val="false"/>
          <w:color w:val="000000"/>
          <w:sz w:val="22"/>
          <w:u w:val="single"/>
        </w:rPr>
        <w:t>Financial Covenant</w:t>
      </w:r>
      <w:r>
        <w:rPr>
          <w:rFonts w:ascii="Times New Roman;serif" w:hAnsi="Times New Roman;serif"/>
          <w:b w:val="false"/>
          <w:color w:val="000000"/>
          <w:sz w:val="22"/>
        </w:rPr>
        <w:t xml:space="preserve">. Permit the Total Net Leverage Ratio as at the last day of any Test Period to exceed 4.50 to 1.00, commencing with the Test Period for which the last fiscal quarter is the first fiscal quarter ending after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Borrowers shall be permitted, solely in connection with a Qualified Acquisition, to elect to increase such maximum Total Net Leverage Ratio by 0.50:1.00 (to 5.00:1.00) for the fiscal quarter during which such Qualified Acquisition is consummated and for the three (3) fiscal quarters immediately thereafter (such period of four consecutive fiscal quarters, the “</w:t>
      </w:r>
      <w:r>
        <w:rPr>
          <w:rFonts w:ascii="Times New Roman;serif" w:hAnsi="Times New Roman;serif"/>
          <w:b/>
          <w:color w:val="000000"/>
          <w:sz w:val="22"/>
        </w:rPr>
        <w:t>Total Net Leverage Ratio Step Up Period</w:t>
      </w:r>
      <w:r>
        <w:rPr>
          <w:color w:val="000000"/>
        </w:rPr>
        <w:t>”</w:t>
      </w:r>
      <w:r>
        <w:rPr>
          <w:rFonts w:ascii="Times New Roman;serif" w:hAnsi="Times New Roman;serif"/>
          <w:b w:val="false"/>
          <w:color w:val="000000"/>
          <w:sz w:val="22"/>
        </w:rPr>
        <w:t xml:space="preserve">); provided that (i) the maximum Total Net Leverage Ratio shall revert to 4.50:1.00 at the end of such Total Net Leverage Ratio Step Up Period, (ii) subsequent to any Total Net Leverage Ratio Step Up Period, the Borrowers may not designate another acquisition as a Qualified Acquisition unless the maximum Total Net Leverage Ratio required to be maintained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62"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to this Section 7.1 has been 4.50:1.00 for at least one (1) full fiscal quarter and (iii) there shall only be two (2) Total Net Leverage Ratio Step Up Periods during the term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7.2.</w:t>
      </w:r>
      <w:r>
        <w:rPr>
          <w:rFonts w:ascii="Times New Roman;serif" w:hAnsi="Times New Roman;serif"/>
          <w:b w:val="false"/>
          <w:color w:val="000000"/>
          <w:sz w:val="22"/>
          <w:u w:val="single"/>
        </w:rPr>
        <w:t>Indebtedness</w:t>
      </w:r>
      <w:r>
        <w:rPr>
          <w:rFonts w:ascii="Times New Roman;serif" w:hAnsi="Times New Roman;serif"/>
          <w:b w:val="false"/>
          <w:color w:val="000000"/>
          <w:sz w:val="22"/>
        </w:rPr>
        <w:t>. Create, issue, incur, assume, become liable in respect of or suffer to exist any Indebtedness, except: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Indebtedness of any Loan Party pursuant to any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Indebtedness of the Company to any of its Subsidiaries and of any Subsidiary to the Company or any other Subsidiary of the Company; provided that any Indebtedness of any Subsidiary that is not a Loan Party to the Company or to any of its Subsidiaries that are Loan Parties is permitted pursuant to Section 7.7 (other than Sections 7.7(c)(i) and 7.7(cc));</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Indebtedness existing on the Closing Date (or which may have been incurred pursuant to commitments existing on the Closing Date) listed, to the extent in excess of $5,000,000 on Schedule 7.2(c) and any Permitted Refinancing in respect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Indebtedness (including Capital Lease Obligations) secured by Liens permitted by Section 7.3(i) in an aggregate principal amount not to exceed the greater of (x) $53,000,000 and (y) 30% of Consolidated EBITDA for the most recently ended Test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Hedge Agreements as long as such agreements are not entered into for speculative purposes;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(i) Incremental Equivalent Debt; provided that the aggregate principal amount of such Indebtedness incurred pursuant to this clause (i) by Subsidiaries that are not Loan Parties, together with the aggregate amount of Incurred Acquisition Debt and Ratio Debt incurred by Subsidiaries that are not Loan Parties, shall not exceed the greater of (x) $44,250,000 and (y) 25% of Consolidated EBITDA for the most recently ended Test Period and (ii) any Permitted Refinancing in respect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(i) additional Indebtedness of the Company or any of its Subsidiaries in an aggregate principal amount (for all incurrences by the Company and all Subsidiaries pursuant to this clause (g)) which when incurred does not exceed the greater of (x) $71,000,000 and (y) 40% of Consolidated EBITDA for the most recently ended Test Period and (ii) any Permitted Refinancing in respect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Capital Lease Obligations arising from Permitted Sale/Leasebacks;</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(i) Indebtedness of the Company or any Subsidiary (“</w:t>
      </w:r>
      <w:r>
        <w:rPr>
          <w:rFonts w:ascii="Times New Roman;serif" w:hAnsi="Times New Roman;serif"/>
          <w:b/>
          <w:color w:val="000000"/>
          <w:sz w:val="22"/>
        </w:rPr>
        <w:t>Ratio Debt</w:t>
      </w:r>
      <w:r>
        <w:rPr>
          <w:color w:val="000000"/>
        </w:rPr>
        <w:t>”</w:t>
      </w:r>
      <w:r>
        <w:rPr>
          <w:rFonts w:ascii="Times New Roman;serif" w:hAnsi="Times New Roman;serif"/>
          <w:b w:val="false"/>
          <w:color w:val="000000"/>
          <w:sz w:val="22"/>
        </w:rPr>
        <w:t xml:space="preserve">) in an aggregate principal amount not to exceed (A) the Shared Incremental Amount plus (B) an unlimited amount equal to the Ratio Based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requirement set forth in Sections 2.25(a)(iv) and (v) (except with respect to any Ratio Debt consisting of a customary bridge facility so long as, subject to customary conditions, such bridge facility automatically converts into long-term debt satisfying the requirements set forth in Sections 2.25(a)(iv) and (v)) as applicable, shall apply mutatis mutandis as if such Ratio Debt were Incremental Facilities and (ii) the aggregate amount of Indebtedness incurred by Subsidiaries that are not Loan Parties under this clause (i), together with the aggregate amount of Incurred Acquisition Debt and Incremental Equivalent Debt incurred by Subsidiaries that are not Loan Parties, shall not exceed the greater of (x) $44,250,000 and (y) 25% of Consolidated EBITDA for the most recently ended Test Period and (ii) any Permitted Refinancing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63"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Indebtedness in respect of Cash Management Obligations, or guarantees thereof, including the guarantee set forth in the Guarantee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(i) additional Indebtedness of Subsidiaries that are not Loan Parties in an aggregate principal amount not to exceed the greater of (x) $44,250,000 and (y) 25% of Consolidated EBITDA for the most recently ended Test Period and (ii) any Permitted Refinancing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Guarantee Obligations by the Company of Indebtedness otherwise permitted hereunder of any Subsidiary and by any Subsidiary of Indebtedness otherwise permitted hereunder of the Company or any other Subsidiary; provided that any guarantee by any Loan Party of any Indebtedness of any Subsidiary that is not a Loan Party is permitted pursuant to Section 7.7 (other than Sections 7.7(c)(i) and 7.7(cc));</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(i) Indebtedness incurred in connection with any acquisition or other Investment permitted hereunder (“</w:t>
      </w:r>
      <w:r>
        <w:rPr>
          <w:rFonts w:ascii="Times New Roman;serif" w:hAnsi="Times New Roman;serif"/>
          <w:b/>
          <w:color w:val="000000"/>
          <w:sz w:val="22"/>
        </w:rPr>
        <w:t>Incurred Acquisition Debt</w:t>
      </w:r>
      <w:r>
        <w:rPr>
          <w:color w:val="000000"/>
        </w:rPr>
        <w:t>”</w:t>
      </w:r>
      <w:r>
        <w:rPr>
          <w:rFonts w:ascii="Times New Roman;serif" w:hAnsi="Times New Roman;serif"/>
          <w:b w:val="false"/>
          <w:color w:val="000000"/>
          <w:sz w:val="22"/>
        </w:rPr>
        <w:t xml:space="preserve">) in an amount not to exceed (A) the Shared Incremental Amount plus (B) an unlimited amount equal to the Ratio Based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requirement set forth in Sections 2.25(a)(iv) and (v) (except with respect to any Incurred Acquisition Debt consisting of a customary bridge facility so long as, subject to customary conditions, such bridge facility automatically converts into long-term debt satisfying the requirements set forth in Sections 2.25(a)(iv) and (v)), as applicable shall apply mutatis mutandis as if such Incurred Acquisition Debt were Incremental Facilities and (ii) the aggregate amount of Indebtedness incurred by Subsidiaries that are not Loan Parties under this clause (m), together with the aggregate amount of Ratio Debt and Incremental Equivalent Debt incurred by Subsidiaries that are not Loan Parties, shall not exceed the greater of (x) $44,250,000 and (y) 25% of Consolidated EBITDA for the most recently ended Test Period and (ii) any Permitted Refinancing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Indebtedness under a Permitted Receivables Financing;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to the extent constituting Indebtedness, obligations (including reimbursement obligations with respect to guaranties, letters of credit or other similar obligations) in respect of tenders, statutory obligations, leases, governmental contracts, stay, performance bid, customs, appeal and surety bonds and performance and/or return of money bonds and completion guarantees or other obligations of a like nature issued for the account of, or provided by, the Company and its Subsidiaries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Indebtedness incurred by a Special Purpose Finance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Credit Agreement Refinancing Indebtedness (including successive Permitted Refinancings thereof) and Guarantee Obligations by the Guarantors in respect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Indebtedness arising from agreements providing for indemnification, purchase price adjustments or similar obligations incurred by the Company or its Subsidiaries in connection with any acquisition or Disposition in each case permitted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Indebtedness consisting of obligations of the Company or any Subsidiary under deferred compensation (e.g., earn-outs, indemnifications, incentive non-competes and other contingent or deferred obligations) or other similar arrangements incurred by such Person in connection with any acquisition or other Investment in each case permitted under Section 7.7 (other than Section 7.7(cc));</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rPr>
        <w:t>Indebtedness of a Person which becomes a Subsidiary or is merged into any Subsidiary after the Closing Date in each case to the extent such acquisition or merger is permitted under this Agreement; provided that (i) such Indebtedness was in existence on the date such Person became a Subsidiary of, or merged into, such Subsidiary, (ii) such Indebtedness was not created in contemplation of such Person becoming a Subsidiary, (iii) such Indebtedness is not guaranteed in any respect by or secured by the assets of the Company or any of its Subsidiaries (other than by any such person that so becomes a Subsidiary) and (iv) immediately after giving effect to the acquisition of or merger with such Person by such Subsidiary, no Event of Default shall have occurred and be continuing;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(u)</w:t>
      </w:r>
      <w:r>
        <w:rPr>
          <w:rFonts w:ascii="Times New Roman;serif" w:hAnsi="Times New Roman;serif"/>
          <w:b w:val="false"/>
          <w:color w:val="000000"/>
          <w:sz w:val="22"/>
        </w:rPr>
        <w:t>Indebtedness incurred by the Company or its Subsidiaries in respect of banker’s acceptances, bank guarantees, letters of credit, warehouse receipts or similar instruments entered into in the ordinary course of business, including in respect of workers compensation claims, health, disability or other employee benefits or property, casualty or liability insurance or self-insurance, or other Indebtedness with respect to reimbursement type obligations regarding workers compensation claims, in each case in the ordinary course of business or consistent with past practice;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Indebtedness consisting of (i) the financing of insurance premiums, (ii) take-or-pay obligations contained in supply arrangements, (iii) obligations to reacquire assets or inventory in connection with customer financing arrangements or (iv) obligations owing under supply, customer, distribution, license, lease or similar agreements, in each case with respect to clauses (i) through (iv), entered into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(w)</w:t>
      </w:r>
      <w:r>
        <w:rPr>
          <w:rFonts w:ascii="Times New Roman;serif" w:hAnsi="Times New Roman;serif"/>
          <w:b w:val="false"/>
          <w:color w:val="000000"/>
          <w:sz w:val="22"/>
        </w:rPr>
        <w:t>Indebtedness supported by a letter of credit issued by any Person (other than the Company or any of its Affiliates) for the account of the Company or any of its Subsidiaries pursuant to another clause of this Section 7.2, the availability of which is subject to a stated quantum in a principal amount not in excess of the stated amount of such letter of credit;</w:t>
      </w:r>
    </w:p>
    <w:p>
      <w:pPr>
        <w:pStyle w:val="TextBody"/>
        <w:bidi w:val="0"/>
        <w:spacing w:lineRule="auto" w:line="288" w:before="0" w:after="240"/>
        <w:ind w:left="0" w:right="0" w:firstLine="720"/>
        <w:jc w:val="both"/>
        <w:rPr/>
      </w:pPr>
      <w:r>
        <w:rPr>
          <w:rFonts w:ascii="Times New Roman;serif" w:hAnsi="Times New Roman;serif"/>
          <w:b w:val="false"/>
          <w:color w:val="000000"/>
          <w:sz w:val="22"/>
        </w:rPr>
        <w:t>(x)</w:t>
      </w:r>
      <w:r>
        <w:rPr>
          <w:rFonts w:ascii="Times New Roman;serif" w:hAnsi="Times New Roman;serif"/>
          <w:b w:val="false"/>
          <w:color w:val="000000"/>
          <w:sz w:val="22"/>
        </w:rPr>
        <w:t>Indebtedness related to any letter of credit issued in the ordinary course of business or created by or for the account of the Company or any of its Subsidiaries, in an aggregate principal amount not in excess of the greater of (x) $35,500,000 and (y) 20% of Consolidated EBITDA for the most recently ended Test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(y)</w:t>
      </w:r>
      <w:r>
        <w:rPr>
          <w:rFonts w:ascii="Times New Roman;serif" w:hAnsi="Times New Roman;serif"/>
          <w:b w:val="false"/>
          <w:color w:val="000000"/>
          <w:sz w:val="22"/>
        </w:rPr>
        <w:t>Indebtedness incurred in the ordinary course of business or consistent with past practice under travel and expense cards, corporate purchasing cards and car leasing programs, and Guarantee Obligations of the Company and its Subsidiaries with respect to any such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(z)</w:t>
      </w:r>
      <w:r>
        <w:rPr>
          <w:rFonts w:ascii="Times New Roman;serif" w:hAnsi="Times New Roman;serif"/>
          <w:b w:val="false"/>
          <w:color w:val="000000"/>
          <w:sz w:val="22"/>
        </w:rPr>
        <w:t>Indebtedness of the Company or any Subsidiary as an account party in respect of trade letters of credit issued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(aa)</w:t>
      </w:r>
      <w:r>
        <w:rPr>
          <w:rFonts w:ascii="Times New Roman;serif" w:hAnsi="Times New Roman;serif"/>
          <w:b w:val="false"/>
          <w:color w:val="000000"/>
          <w:sz w:val="22"/>
        </w:rPr>
        <w:t>Indebtedness (other than debt for borrowed money) of the Company and/or any Subsidiary consisting of obligations owing under incentive, supply, license or similar agreements entered into in the ordinary course of business or consistent with past practice;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(ab)</w:t>
      </w:r>
      <w:r>
        <w:rPr>
          <w:rFonts w:ascii="Times New Roman;serif" w:hAnsi="Times New Roman;serif"/>
          <w:b w:val="false"/>
          <w:color w:val="000000"/>
          <w:sz w:val="22"/>
        </w:rPr>
        <w:t>endorsement of instruments or other payment items for collection or deposit in the ordinary course of business or consistent with past practice;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(ac)</w:t>
      </w:r>
      <w:r>
        <w:rPr>
          <w:rFonts w:ascii="Times New Roman;serif" w:hAnsi="Times New Roman;serif"/>
          <w:b w:val="false"/>
          <w:color w:val="000000"/>
          <w:sz w:val="22"/>
        </w:rPr>
        <w:t>unfunded pension fund and other employee benefit plan obligations and liabilities incurred by the Company and/or any Subsidiary in the ordinary course of business or consistent with past practice to the extent that the unfunded amounts would not otherwise cause an Event of Default under Section 8(g);</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(ad)</w:t>
      </w:r>
      <w:r>
        <w:rPr>
          <w:rFonts w:ascii="Times New Roman;serif" w:hAnsi="Times New Roman;serif"/>
          <w:b w:val="false"/>
          <w:color w:val="000000"/>
          <w:sz w:val="22"/>
        </w:rPr>
        <w:t xml:space="preserve">customer deposits and advance payments received in the ordinary course of business or consistent with past practice from customers for goods and services purchased in the ordinary course of business; </w:t>
      </w:r>
    </w:p>
    <w:p>
      <w:pPr>
        <w:pStyle w:val="TextBody"/>
        <w:bidi w:val="0"/>
        <w:spacing w:lineRule="auto" w:line="288" w:before="0" w:after="240"/>
        <w:ind w:left="0" w:right="0" w:firstLine="720"/>
        <w:jc w:val="both"/>
        <w:rPr/>
      </w:pPr>
      <w:r>
        <w:rPr>
          <w:rFonts w:ascii="Times New Roman;serif" w:hAnsi="Times New Roman;serif"/>
          <w:b w:val="false"/>
          <w:color w:val="000000"/>
          <w:sz w:val="22"/>
        </w:rPr>
        <w:t>(ae)</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(af)</w:t>
      </w:r>
      <w:r>
        <w:rPr>
          <w:rFonts w:ascii="Times New Roman;serif" w:hAnsi="Times New Roman;serif"/>
          <w:b w:val="false"/>
          <w:color w:val="000000"/>
          <w:sz w:val="22"/>
        </w:rPr>
        <w:t>obligations in respect of letters of support, guarantees or similar obligations issued, made or incurred for the benefit of the Company or any Subsidiary to the extent required by law or in connection with any statutory filing or the delivery of audit opinions performed in jurisdictions other than within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2"/>
        </w:rPr>
        <w:t>(ag)</w:t>
      </w:r>
      <w:r>
        <w:rPr>
          <w:rFonts w:ascii="Times New Roman;serif" w:hAnsi="Times New Roman;serif"/>
          <w:b w:val="false"/>
          <w:color w:val="000000"/>
          <w:sz w:val="22"/>
        </w:rPr>
        <w:t>all premiums, interest (including post-petition interest), fees, expenses, charges and additional or contingent interest on obligations described in this Section 7.2;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(ah)</w:t>
      </w:r>
      <w:r>
        <w:rPr>
          <w:rFonts w:ascii="Times New Roman;serif" w:hAnsi="Times New Roman;serif"/>
          <w:b w:val="false"/>
          <w:color w:val="000000"/>
          <w:sz w:val="22"/>
        </w:rPr>
        <w:t>Indebtedness consisting of Customer Guarantees to the extent permitted pursuant to Section 7.7(k) or Section 7.7(mm); provided that, notwithstanding anything in this Agreement to the contrary, Indebtedness consisting of Customer Guarantees may only be incurred pursuant to this Section 7.2(hh).</w:t>
      </w:r>
    </w:p>
    <w:p>
      <w:pPr>
        <w:pStyle w:val="TextBody"/>
        <w:bidi w:val="0"/>
        <w:spacing w:lineRule="auto" w:line="288" w:before="0" w:after="240"/>
        <w:ind w:left="0" w:right="0" w:firstLine="720"/>
        <w:jc w:val="both"/>
        <w:rPr/>
      </w:pPr>
      <w:r>
        <w:rPr>
          <w:rFonts w:ascii="Times New Roman;serif" w:hAnsi="Times New Roman;serif"/>
          <w:b w:val="false"/>
          <w:color w:val="000000"/>
          <w:sz w:val="22"/>
        </w:rPr>
        <w:t>7.3.</w:t>
      </w:r>
      <w:r>
        <w:rPr>
          <w:rFonts w:ascii="Times New Roman;serif" w:hAnsi="Times New Roman;serif"/>
          <w:b w:val="false"/>
          <w:color w:val="000000"/>
          <w:sz w:val="22"/>
          <w:u w:val="single"/>
        </w:rPr>
        <w:t>Liens</w:t>
      </w:r>
      <w:r>
        <w:rPr>
          <w:rFonts w:ascii="Times New Roman;serif" w:hAnsi="Times New Roman;serif"/>
          <w:b w:val="false"/>
          <w:color w:val="000000"/>
          <w:sz w:val="22"/>
        </w:rPr>
        <w:t>. Create, incur, assume or suffer to exist any Lien upon any of its property, whether now owned or hereafter acquired, except for:</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Liens for taxes not yet due or that are being contested in good faith by appropriate proceedings; provided that adequate reserves with respect thereto are maintained on the books of any Loan Party or any Excluded Subsidiary, as the case may be, in conformity with GAAP or in the case of a Subsidiary located outside of the United States, general accounting principles in effect from time to time in its jurisdiction of incorporation;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statutory liens of landlords and carriers, warehousemen, mechanics, materialmen, repairmen or other like Liens arising in the ordinary course of business that are not overdue for a period of more than 60 days or that are being contested in good faith by appropriate proceedings;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pledges or deposits in connection with workers’ compensation, unemployment insurance and other social security legislation;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deposits to secure the performance of bids, trade contracts (other than for borrowed money), leases, statutory obligations, governmental contracts, customs, stay, surety and appeal bonds, performance and/or return of money bonds and completion guarantees or other obligations of a like nature (including those to secure health, safety and environmental obligations) incurred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easements, rights-of-way, restrictions and other similar encumbrances that are or would be reflected on a survey or by inspection of any real property or that, in the aggregate, are not substantial in amount and that do not in the aggregate materially detract from the value of the property subject thereto or materially interfere with the ordinary conduct of the business of the Company or any of its Subsidiaries taken as a whole;</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 Liens in existence on the Closing Date, to the extent the obligations secured by such Liens are in excess of $5,000,000, listed on Schedule 7.3(f) securing Indebtedness permitted by Section 7.2(c) or other obligations not prohibited hereunder and (ii) Liens replacing the Liens set forth on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Schedule 7.3(f) securing a refinancing, refunding, renewal or extension of Indebtedness that is permitted pursuant to Section 7.2(c) or such other obligations; provided that such Lien shall not encumber any additional property after the Closing Date unless otherwise permitted by another provision of this Section 7.3 (in which case, for the avoidance of doubt, such Lien encumbering any additional property shall be incurred in reliance on such other provision of this Section 7.3) and that the amount of Indebtedness or such other obligation secured thereby is not increased;</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Liens on the Collateral to secure Indebtedness permitted under Sections 7.2(i) or 7.2(m); provided</w:t>
      </w:r>
      <w:r>
        <w:rPr>
          <w:color w:val="000000"/>
        </w:rPr>
        <w:t xml:space="preserve"> </w:t>
      </w:r>
      <w:r>
        <w:rPr>
          <w:rFonts w:ascii="Times New Roman;serif" w:hAnsi="Times New Roman;serif"/>
          <w:b w:val="false"/>
          <w:color w:val="000000"/>
          <w:sz w:val="22"/>
        </w:rPr>
        <w:t>that an Other Debt Representative acting on behalf of the holders of such Indebtedness shall have become party to (i) if such Indebtedness is secured by a Lien on the Collateral that is pari passu (but without regard to the control of remedies) with the Liens securing the Obligations, a First Lien Intercreditor Agreement as a “Senior Representative” (or similar term, in each case, to be defined in the First Lien Intercreditor Agreement) or (ii) if such Indebtedness is secured by the Collateral that is junior to the Liens securing the Obligations, a Junior Lien Intercreditor Agreement as a “Junior Priority Representative” (or similar term, in each case, to be defined in the Junior Lien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Liens arising solely by virtue of any contractual, statutory or common law provisions related to banker’s liens, rights of set-off or similar rights and remedies as to deposit accounts and securities accounts;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Liens securing Indebtedness of the Company or any Subsidiary incurred pursuant to Section 7.2(d) to finance the acquisition of fixed or capital assets; provided that (i) such Liens do not at any time encumber any property other than the property financed by such Indebtedness (other than after-acquired property that is affixed or incorporated into the property covered by such Lien or financed by Indebtedness permitted under Section 7.2(d)) and (ii) the amount of Indebtedness secured thereby is not increased;</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Liens created pursuant to the Security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Liens consisting of judgment or judicial attachment Liens and Liens securing contingent obligations on appeal and other bonds in connection with court proceedings, settlements or judgments; provided that (i) such Liens would not result in the occurrence of an Event of Default hereunder and (ii) such Liens are being contested in good faith by appropriate proceedings;</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Liens consisting of any (i) interest or title of a lessor, sub-lessor, licensor or sub-licensor under any lease, license, sublicense or similar arrangement of real estate or other property (including Intellectual Property) permitted hereunder, (ii) landlord lien arising by law or permitted by the terms of any lease, sub-lease, license, sub-license or similar arrangement, (iii) restriction or encumbrance to which the interest or title of such lessor, sub-lessor, licensor or sub-licensor may be subject, (iv) subordination of the interest of the lessee, sub-lessee, licensee or sub-licensee under such lease, sub-lease, license, sub-license or similar arrangement to any restriction or encumbrance referred to in the preceding clause (iii) or (v) deposit of cash with the owner or lessor of premises leased and operated by the Company or any Subsidiary in the ordinary course of business or consistent with past practice to secure the performance of obligations under the terms of the lease for such premises;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Liens on assets subject to a Permitted Receivables Financing securing such Permitted Receivables Financing;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additional Liens so long as the aggregate outstanding principal amount of the obligations secured thereby at the time such Lien is incurred does not exceed the greater of (x) $71,000,000 and (y)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40% of Consolidated EBITDA for the most recently ended Test Period; provided that if any such Liens encumber Collateral, such Liens shall be junior to the Liens securing the Obligations and an Other Debt Representative acting on behalf of the holders of such obligations shall have become a party to a Junior Lien Intercreditor Agreement as a “Junior Priority Representative” (or similar term, in each case, to be defined in the Junior Lien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Liens on the Collateral securing Incremental Equivalent Debt;</w:t>
      </w:r>
      <w:r>
        <w:rPr>
          <w:color w:val="000000"/>
        </w:rPr>
        <w:t xml:space="preserve"> </w:t>
      </w:r>
      <w:r>
        <w:rPr>
          <w:rFonts w:ascii="Times New Roman;serif" w:hAnsi="Times New Roman;serif"/>
          <w:b w:val="false"/>
          <w:color w:val="000000"/>
          <w:sz w:val="22"/>
        </w:rPr>
        <w:t>provided</w:t>
      </w:r>
      <w:r>
        <w:rPr>
          <w:color w:val="000000"/>
        </w:rPr>
        <w:t xml:space="preserve"> </w:t>
      </w:r>
      <w:r>
        <w:rPr>
          <w:rFonts w:ascii="Times New Roman;serif" w:hAnsi="Times New Roman;serif"/>
          <w:b w:val="false"/>
          <w:color w:val="000000"/>
          <w:sz w:val="22"/>
        </w:rPr>
        <w:t>that an Other Debt Representative acting on behalf of the holders of such Indebtedness shall have become party to (i) if such Indebtedness by secured by a Lien on the Collateral that is pari passu (but without regard to the control of remedies) with the Liens securing the Obligations, a First Lien Intercreditor Agreement as a “Senior Representative” (or similar term, in each case, to be defined in the First Lien Intercreditor Agreement) or (ii) if such Indebtedness is secured by a Lien on the Collateral that is junior to the Liens securing the Obligations, a Junior Lien Intercreditor Agreement as a “Junior Priority Representative” (or similar term, in each case, to be defined in the Junior Lien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Liens on cash, Cash Equivalents, deposit accounts and similar items of Subsidiaries that are not Loan Parties securing Cash Management Obligations of Subsidiaries that are not Loan Parties, and guarantees by any Subsidiary that is not a Loan Party of such Cash Management Obligations of other Subsidiaries that are not Loan Parties or such similar obligations of other Subsidiaries that are not Loan Parties;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Liens on assets of Subsidiaries that are not Loan Parties (including Capital Stock owned by such Persons) securing Indebtedness or other obligations of Subsidiaries that are not Loan Parties permitted pursuant to Section 7.2 (or not prohibited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Liens on Company Stock;</w:t>
      </w:r>
    </w:p>
    <w:p>
      <w:pPr>
        <w:pStyle w:val="TextBody"/>
        <w:bidi w:val="0"/>
        <w:spacing w:lineRule="auto" w:line="288"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Liens on assets of a Special Purpose Finance Subsidiary to secure Indebtedness incurred by such Special Purpose Finance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rPr>
        <w:t>matters expressly listed as exceptions to title or subordinate matters in the Administrative Agent’s title insurance policies for such Mortgaged Properties;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(u)</w:t>
      </w:r>
      <w:r>
        <w:rPr>
          <w:rFonts w:ascii="Times New Roman;serif" w:hAnsi="Times New Roman;serif"/>
          <w:b w:val="false"/>
          <w:color w:val="000000"/>
          <w:sz w:val="22"/>
        </w:rPr>
        <w:t>Liens on the Collateral securing obligations in respect of Credit Agreement Refinancing Indebtedness and any Permitted Refinancing in respect thereof, and any Guarantee Obligations by the Guarantors in respect thereof;</w:t>
      </w:r>
      <w:r>
        <w:rPr>
          <w:color w:val="000000"/>
        </w:rPr>
        <w:t xml:space="preserve"> </w:t>
      </w:r>
      <w:r>
        <w:rPr>
          <w:rFonts w:ascii="Times New Roman;serif" w:hAnsi="Times New Roman;serif"/>
          <w:b w:val="false"/>
          <w:color w:val="000000"/>
          <w:sz w:val="22"/>
        </w:rPr>
        <w:t>provided</w:t>
      </w:r>
      <w:r>
        <w:rPr>
          <w:color w:val="000000"/>
        </w:rPr>
        <w:t xml:space="preserve"> </w:t>
      </w:r>
      <w:r>
        <w:rPr>
          <w:rFonts w:ascii="Times New Roman;serif" w:hAnsi="Times New Roman;serif"/>
          <w:b w:val="false"/>
          <w:color w:val="000000"/>
          <w:sz w:val="22"/>
        </w:rPr>
        <w:t>that an Other Debt Representative acting on behalf of the holders of such Indebtedness shall have become party to (i) if such Indebtedness is secured by a Lien on the Collateral that is pari passu (but without regard to the control of remedies) with the Liens securing the Obligations, a First Lien Intercreditor Agreement as a “Senior Representative” (or similar term, in each case, to be defined in the First Lien Intercreditor Agreement) or (ii) if such Indebtedness is secured by a Lien on the Collateral that is junior to the Liens securing the Obligations, a Junior Lien Intercreditor Agreement as a “Junior Priority Representative” (or similar term, in each case, to be defined in the Junior Lien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Liens (i) in favor of customs and revenue authorities arising as a matter of law to secure payment of customs duties in connection with the importation of goods in the ordinary course of business or consistent with past practice or (ii) on specific items of inventory or other goods and proceeds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8"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(w)</w:t>
      </w:r>
      <w:r>
        <w:rPr>
          <w:rFonts w:ascii="Times New Roman;serif" w:hAnsi="Times New Roman;serif"/>
          <w:b w:val="false"/>
          <w:color w:val="000000"/>
          <w:sz w:val="22"/>
        </w:rPr>
        <w:t>Liens (i) on cash or Cash Equivalents advanced in favor of the seller of any property to be acquired in an Investment permitted pursuant to Section 7.7 to be applied against the purchase price for such Investment or (ii) consisting of an agreement to Dispose of any property in a Disposition permitted under Section 7.5 (or, to dispose of any property in a transaction not constituting a Disposition hereunder to the extent such transaction is otherwise permitted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(x)</w:t>
      </w:r>
      <w:r>
        <w:rPr>
          <w:rFonts w:ascii="Times New Roman;serif" w:hAnsi="Times New Roman;serif"/>
          <w:b w:val="false"/>
          <w:color w:val="000000"/>
          <w:sz w:val="22"/>
        </w:rPr>
        <w:t>Liens on property or assets acquired by a Loan Party or on property or assets of any Person which becomes a Subsidiary of a Loan Party, in any such case existing at the time of the acquisition thereof (including acquisition through merger or consolidation) and not incurred in contemplation of such acquisition;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(y)</w:t>
      </w:r>
      <w:r>
        <w:rPr>
          <w:rFonts w:ascii="Times New Roman;serif" w:hAnsi="Times New Roman;serif"/>
          <w:b w:val="false"/>
          <w:color w:val="000000"/>
          <w:sz w:val="22"/>
        </w:rPr>
        <w:t>Liens arising on any real property as a result of any eminent domain, condemnation or similar proceeding being commenced with respect to such real property;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(z)</w:t>
      </w:r>
      <w:r>
        <w:rPr>
          <w:rFonts w:ascii="Times New Roman;serif" w:hAnsi="Times New Roman;serif"/>
          <w:b w:val="false"/>
          <w:color w:val="000000"/>
          <w:sz w:val="22"/>
        </w:rPr>
        <w:t>(i) Liens on the Capital Stock of a Joint Venture securing obligations of such Joint Venture that are otherwise permitted under this Agreement and (ii) customary options, put and call arrangements, rights of first refusal and similar rights relating to such Joint Venture under its joint venture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(aa)</w:t>
      </w:r>
      <w:r>
        <w:rPr>
          <w:rFonts w:ascii="Times New Roman;serif" w:hAnsi="Times New Roman;serif"/>
          <w:b w:val="false"/>
          <w:color w:val="000000"/>
          <w:sz w:val="22"/>
        </w:rPr>
        <w:t>(i) deposits made or other security provided to secure liabilities to insurance brokers, insurance carriers under insurance or self-insurance arrangements in the ordinary course of business or consistent with past practice and (ii) Liens on insurance policies and the proceeds thereof securing the financing of insurance premiums with respect thereto to the extent permitted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(ab)</w:t>
      </w:r>
      <w:r>
        <w:rPr>
          <w:rFonts w:ascii="Times New Roman;serif" w:hAnsi="Times New Roman;serif"/>
          <w:b w:val="false"/>
          <w:color w:val="000000"/>
          <w:sz w:val="22"/>
        </w:rPr>
        <w:t>(i) Liens that are contractual rights of set-off or netting or pledge relating to (A) the establishment of depositary relations with banks or other financial institutions not granted in connection with the issuance of Indebtedness, (B) pooled deposit or sweep accounts of the Company and/or any Subsidiary to permit satisfaction of overdraft or similar obligations incurred in the ordinary course of business or consistent with past practice of the Company and/or any Subsidiary, (C) purchase orders and other agreements entered into with customers of the Company and/or any Subsidiary in the ordinary course of business or consistent with past practice and (D) commodity trading or other brokerage accounts incurred in the ordinary course of business, (ii) Liens encumbering reasonable customary initial deposits and margin deposits, (iii) bankers Liens and rights and remedies as to deposit accounts or similar accounts, (iv) Liens of a collection bank arising under Section 4-208 or Section 4-210 of the UCC (or any similar Requirement of Law of any jurisdiction) on items in the ordinary course of business, (v) Liens (including rights of set-off)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and (vi) Liens on the proceeds of any Indebtedness permitted hereunder incurred in connection with any transaction permitted hereunder, which proceeds have been deposited into an escrow account on customary terms to secure such Indebtedness pending the application of such proceeds to finance such transaction or on cash or Cash Equivalents set aside at the time of the incurrence of such Indebtedness to the extent such cash or Cash Equivalents prefund the payment of interest or fees on such Indebtedness and are held in escrow pending application for such purpose;</w:t>
      </w:r>
    </w:p>
    <w:p>
      <w:pPr>
        <w:pStyle w:val="TextBody"/>
        <w:bidi w:val="0"/>
        <w:spacing w:lineRule="auto" w:line="288" w:before="0" w:after="240"/>
        <w:ind w:left="0" w:right="0" w:firstLine="720"/>
        <w:jc w:val="both"/>
        <w:rPr/>
      </w:pPr>
      <w:r>
        <w:rPr>
          <w:rFonts w:ascii="Times New Roman;serif" w:hAnsi="Times New Roman;serif"/>
          <w:b w:val="false"/>
          <w:color w:val="000000"/>
          <w:sz w:val="22"/>
        </w:rPr>
        <w:t>(ac)</w:t>
      </w:r>
      <w:r>
        <w:rPr>
          <w:rFonts w:ascii="Times New Roman;serif" w:hAnsi="Times New Roman;serif"/>
          <w:b w:val="false"/>
          <w:color w:val="000000"/>
          <w:sz w:val="22"/>
        </w:rPr>
        <w:t>Liens in favor of any Governmental Authority to secure progress, advance or other payments pursuant to any contract or provision of any statute;</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9"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(ad)</w:t>
      </w:r>
      <w:r>
        <w:rPr>
          <w:rFonts w:ascii="Times New Roman;serif" w:hAnsi="Times New Roman;serif"/>
          <w:b w:val="false"/>
          <w:color w:val="000000"/>
          <w:sz w:val="22"/>
        </w:rPr>
        <w:t>Liens in connection with a Permitted Sale/Leaseback; provided that any such Lien shall encumber only the property interest subject to such Permitted Sale/Leaseback;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(ae)</w:t>
      </w:r>
      <w:r>
        <w:rPr>
          <w:rFonts w:ascii="Times New Roman;serif" w:hAnsi="Times New Roman;serif"/>
          <w:b w:val="false"/>
          <w:color w:val="000000"/>
          <w:sz w:val="22"/>
        </w:rPr>
        <w:t>Liens securing obligations (other than obligations representing Indebtedness for borrowed money) under operating, reciprocal easement or similar agreements entered into in the ordinary course of business or consistent with past practice of the Company and/or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(af)</w:t>
      </w:r>
      <w:r>
        <w:rPr>
          <w:rFonts w:ascii="Times New Roman;serif" w:hAnsi="Times New Roman;serif"/>
          <w:b w:val="false"/>
          <w:color w:val="000000"/>
          <w:sz w:val="22"/>
        </w:rPr>
        <w:t>Liens on securities or other assets that are the subject of repurchase agreements constituting Investments permitted under Section 7.7 arising out of such repurchase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(ag)</w:t>
      </w:r>
      <w:r>
        <w:rPr>
          <w:rFonts w:ascii="Times New Roman;serif" w:hAnsi="Times New Roman;serif"/>
          <w:b w:val="false"/>
          <w:color w:val="000000"/>
          <w:sz w:val="22"/>
        </w:rPr>
        <w:t>Liens securing obligations in respect of letters of credit, bank guaranties, surety bonds, performance bonds or similar instruments permitted under Sections 7.2(o) and (u);</w:t>
      </w:r>
    </w:p>
    <w:p>
      <w:pPr>
        <w:pStyle w:val="TextBody"/>
        <w:bidi w:val="0"/>
        <w:spacing w:lineRule="auto" w:line="288" w:before="0" w:after="240"/>
        <w:ind w:left="0" w:right="0" w:firstLine="720"/>
        <w:jc w:val="both"/>
        <w:rPr/>
      </w:pPr>
      <w:r>
        <w:rPr>
          <w:rFonts w:ascii="Times New Roman;serif" w:hAnsi="Times New Roman;serif"/>
          <w:b w:val="false"/>
          <w:color w:val="000000"/>
          <w:sz w:val="22"/>
        </w:rPr>
        <w:t>(ah)</w:t>
      </w:r>
      <w:r>
        <w:rPr>
          <w:rFonts w:ascii="Times New Roman;serif" w:hAnsi="Times New Roman;serif"/>
          <w:b w:val="false"/>
          <w:color w:val="000000"/>
          <w:sz w:val="22"/>
        </w:rPr>
        <w:t>Liens arising (i) out of conditional sale, title retention, consignment or similar arrangements for the sale of any assets or property and bailee arrangements in the ordinary course of business and permitted by this Agreement or (ii) by operation of law under Article 2 of the UCC (or any similar Requirement of Law of any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(ai)</w:t>
      </w:r>
      <w:r>
        <w:rPr>
          <w:rFonts w:ascii="Times New Roman;serif" w:hAnsi="Times New Roman;serif"/>
          <w:b w:val="false"/>
          <w:color w:val="000000"/>
          <w:sz w:val="22"/>
        </w:rPr>
        <w:t>Liens (i) in favor of any Loan Party and/or (ii) granted by any Subsidiary that is not a Loan Party in favor of any Subsidiary that is not a Loan Party, in the case of each of clauses (i) and (ii), securing intercompany Indebtedness permitted under Section 7.2 or Section 7.7 or securing other intercompany obligations not prohibited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(aj)</w:t>
      </w:r>
      <w:r>
        <w:rPr>
          <w:rFonts w:ascii="Times New Roman;serif" w:hAnsi="Times New Roman;serif"/>
          <w:b w:val="false"/>
          <w:color w:val="000000"/>
          <w:sz w:val="22"/>
        </w:rPr>
        <w:t>Liens on cash or Cash Equivalents arising in connection with the defeasance, discharge or redemption of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(ak)</w:t>
      </w:r>
      <w:r>
        <w:rPr>
          <w:rFonts w:ascii="Times New Roman;serif" w:hAnsi="Times New Roman;serif"/>
          <w:b w:val="false"/>
          <w:color w:val="000000"/>
          <w:sz w:val="22"/>
        </w:rPr>
        <w:t>undetermined or inchoate Liens, rights of distress and charges incidental to current operations that have not at such time been filed or exercised, or which relate to obligations not due or payable or, if due, the validity of such Liens are being contested in good faith by appropriate actions diligently conducted, if adequate reserves with respect thereto are maintained on the books of such Person in accordance with GAAP;</w:t>
      </w:r>
    </w:p>
    <w:p>
      <w:pPr>
        <w:pStyle w:val="TextBody"/>
        <w:bidi w:val="0"/>
        <w:spacing w:lineRule="auto" w:line="288" w:before="0" w:after="240"/>
        <w:ind w:left="0" w:right="0" w:firstLine="720"/>
        <w:jc w:val="both"/>
        <w:rPr/>
      </w:pPr>
      <w:r>
        <w:rPr>
          <w:rFonts w:ascii="Times New Roman;serif" w:hAnsi="Times New Roman;serif"/>
          <w:b w:val="false"/>
          <w:color w:val="000000"/>
          <w:sz w:val="22"/>
        </w:rPr>
        <w:t>(al)</w:t>
      </w:r>
      <w:r>
        <w:rPr>
          <w:rFonts w:ascii="Times New Roman;serif" w:hAnsi="Times New Roman;serif"/>
          <w:b w:val="false"/>
          <w:color w:val="000000"/>
          <w:sz w:val="22"/>
        </w:rPr>
        <w:t>security given to a public or private utility or any Governmental Authority as required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(am)</w:t>
      </w:r>
      <w:r>
        <w:rPr>
          <w:rFonts w:ascii="Times New Roman;serif" w:hAnsi="Times New Roman;serif"/>
          <w:b w:val="false"/>
          <w:color w:val="000000"/>
          <w:sz w:val="22"/>
        </w:rPr>
        <w:t>receipt of progress payments and advances from customers in the ordinary course of business or consistent with past practice to the extent the same creates a Lien on the related inventory and proceeds;</w:t>
      </w:r>
    </w:p>
    <w:p>
      <w:pPr>
        <w:pStyle w:val="TextBody"/>
        <w:bidi w:val="0"/>
        <w:spacing w:lineRule="auto" w:line="288" w:before="0" w:after="240"/>
        <w:ind w:left="0" w:right="0" w:firstLine="720"/>
        <w:jc w:val="both"/>
        <w:rPr/>
      </w:pPr>
      <w:r>
        <w:rPr>
          <w:rFonts w:ascii="Times New Roman;serif" w:hAnsi="Times New Roman;serif"/>
          <w:b w:val="false"/>
          <w:color w:val="000000"/>
          <w:sz w:val="22"/>
        </w:rPr>
        <w:t>(an)</w:t>
      </w:r>
      <w:r>
        <w:rPr>
          <w:rFonts w:ascii="Times New Roman;serif" w:hAnsi="Times New Roman;serif"/>
          <w:b w:val="false"/>
          <w:color w:val="000000"/>
          <w:sz w:val="22"/>
        </w:rPr>
        <w:t>Liens on property or assets of Subsidiaries that are not Loan Parties securing Indebtedness of Subsidiaries that are not Loan Parties incurred pursuant to Section 7.2(k);</w:t>
      </w:r>
    </w:p>
    <w:p>
      <w:pPr>
        <w:pStyle w:val="TextBody"/>
        <w:bidi w:val="0"/>
        <w:spacing w:lineRule="auto" w:line="288" w:before="0" w:after="240"/>
        <w:ind w:left="0" w:right="0" w:firstLine="720"/>
        <w:jc w:val="both"/>
        <w:rPr/>
      </w:pPr>
      <w:r>
        <w:rPr>
          <w:rFonts w:ascii="Times New Roman;serif" w:hAnsi="Times New Roman;serif"/>
          <w:b w:val="false"/>
          <w:color w:val="000000"/>
          <w:sz w:val="22"/>
        </w:rPr>
        <w:t>(ao)</w:t>
      </w:r>
      <w:r>
        <w:rPr>
          <w:rFonts w:ascii="Times New Roman;serif" w:hAnsi="Times New Roman;serif"/>
          <w:b w:val="false"/>
          <w:color w:val="000000"/>
          <w:sz w:val="22"/>
        </w:rPr>
        <w:t>Liens in the nature of the right of setoff in favor of counterparties to contractual agreements with the Company or any Subsidiary in the ordinary course of business;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(ap)</w:t>
      </w:r>
      <w:r>
        <w:rPr>
          <w:rFonts w:ascii="Times New Roman;serif" w:hAnsi="Times New Roman;serif"/>
          <w:b w:val="false"/>
          <w:color w:val="000000"/>
          <w:sz w:val="22"/>
        </w:rPr>
        <w:t>Liens arising solely in connection with rights of dissenting equity holders pursuant to any Requirement of Law in respect of any acquisition or other similar Investment permitted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70"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7.4.</w:t>
      </w:r>
      <w:r>
        <w:rPr>
          <w:rFonts w:ascii="Times New Roman;serif" w:hAnsi="Times New Roman;serif"/>
          <w:b w:val="false"/>
          <w:color w:val="000000"/>
          <w:sz w:val="22"/>
          <w:u w:val="single"/>
        </w:rPr>
        <w:t>Fundamental Changes</w:t>
      </w:r>
      <w:r>
        <w:rPr>
          <w:rFonts w:ascii="Times New Roman;serif" w:hAnsi="Times New Roman;serif"/>
          <w:b w:val="false"/>
          <w:color w:val="000000"/>
          <w:sz w:val="22"/>
        </w:rPr>
        <w:t>. Enter into any merger, consolidation or amalgamation, or liquidate, wind up or dissolve itself (or suffer any liquidation or dissolution) or Dispose of all or substantially all of its property or business, except that: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 any Subsidiary of the Company (other than Remitly) may be merged or consolidated with or into the Company (provided that the Company shall be the continuing or surviving corporation) or with or into any other Subsidiary of the Company; provided that if any such transaction is between a Guarantor and a Subsidiary that is not a Guarantor, such Guarantor shall be the continuing or surviving entity and (ii) Remitly may be merged or consolidated with or into any other Subsidiary; provided that Remitly shall be the continuing or surviving entity. </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 any Subsidiary of the Company may Dispose of all or substantially all of its assets (upon voluntary liquidation or otherwise) to the Company or any other Loan Party, (ii) any Subsidiary that is not a Loan Party may Dispose of all or substantially all of its assets upon voluntary liquidation or otherwise to the Company or any Subsidiary and (iii) any Subsidiary of the Company may Dispose of all or substantially all of its assets pursuant to a Disposition permitted by Section 7.5 (other than pursuant to Section 7.5(c)); provided that, for the avoidance of doubt, any Subsidiary of the Company that only holds Capital Stock of other Subsidiaries of the Company (a “</w:t>
      </w:r>
      <w:r>
        <w:rPr>
          <w:rFonts w:ascii="Times New Roman;serif" w:hAnsi="Times New Roman;serif"/>
          <w:b/>
          <w:color w:val="000000"/>
          <w:sz w:val="22"/>
        </w:rPr>
        <w:t>Subsidiary Holding Company</w:t>
      </w:r>
      <w:r>
        <w:rPr>
          <w:color w:val="000000"/>
        </w:rPr>
        <w:t>”</w:t>
      </w:r>
      <w:r>
        <w:rPr>
          <w:rFonts w:ascii="Times New Roman;serif" w:hAnsi="Times New Roman;serif"/>
          <w:b w:val="false"/>
          <w:color w:val="000000"/>
          <w:sz w:val="22"/>
        </w:rPr>
        <w:t xml:space="preserve">) may consummate any sale of all or substantially all of its assets that would be permitted under this Section 7.4(b) with respect each such Subsidiary or Subsidiaries held by such Subsidiary Holding Company;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any Subsidiary (other than Remitly) may be liquidated as long as the proceeds of such liquidation (after satisfying all Contractual Obligations of such Subsidiary) are distributed to the holders of the Capital Stock of such Subsidiary on an approximately ratable basis (based on their respective equity ownership interests in such Subsidiary);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Company may consummate a Holding Company Reorganization.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7.5.</w:t>
      </w:r>
      <w:r>
        <w:rPr>
          <w:rFonts w:ascii="Times New Roman;serif" w:hAnsi="Times New Roman;serif"/>
          <w:b w:val="false"/>
          <w:color w:val="000000"/>
          <w:sz w:val="22"/>
          <w:u w:val="single"/>
        </w:rPr>
        <w:t>Disposition of Property</w:t>
      </w:r>
      <w:r>
        <w:rPr>
          <w:rFonts w:ascii="Times New Roman;serif" w:hAnsi="Times New Roman;serif"/>
          <w:b w:val="false"/>
          <w:color w:val="000000"/>
          <w:sz w:val="22"/>
        </w:rPr>
        <w:t>. Dispose of any of its property or rights, whether now owned or hereafter acquired, except: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Disposition of unnecessary, obsolete or worn out property ;</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sale of inventory or goods held for sale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Dispositions permitted by Section 7.4(b), and Dispositions to effect Restricted Payments and Investments permitted pursuant to Section 7.6 (other than Section 7.6(h)) or 7.7 (other than Section 7.7(y) and (cc)), respectively; provided that no Subsidiary may make a Disposition of any Material IP to any Unrestricted Subsidiary pursuant to this Section 7.5(c) unless such Disposition is to effect an Investment permitted pursuant to Section 7.7(bb);</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non-exclusive licensing or sublicensing of Intellectual Property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any Permitted Receivables Financing;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Dispositions listed and described, to the extent in excess of $5,000,000, on Schedule 7.5 as in effect on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any Disposition of assets (i) from one Loan Party to another Loan Party, (ii) from a Subsidiary to a Loan Party or (iii) from one Subsidiary that is not a Loan Party to another Subsidiary that is not a Loan Party;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the Disposition of other property not described in clauses (a)-(g) above or (i)-(ff) below for not less than fair market value as long as at least 75% of the consideration consists of cash and cash equivalents (provided that such minimum cash/cash equivalent requirement shall not apply to any Disposition or series of related Dispositions of property having a fair market value of not more than the greater of $26,500,000 and 15% of Consolidated EBITDA for the most recently ended Test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such minimum cash/cash equivalent requirement, (v) the amount of any Indebtedness or other liabilities (other than Indebtedness or other liabilities that are subordinated to the Obligations or that are owed to the Company or any Subsidiary) of the Company or any Subsidiary (as shown on such Person’s most recent balance sheet (or in the notes thereto), or if the incurrence of such Indebtedness or other liability took place after the date of such balance sheet, that would have been shown on such balance sheet or in the notes thereto, as determined in good faith by the Company) that are (i) assumed by the transferee of any such assets and for which the Company and/or its applicable Subsidiary have been validly released by all relevant creditors in writing or (ii) otherwise cancelled or terminated in connection with such Disposition, (w) the amount of any trade-in value applied to the purchase price of any replacement assets acquired in connection with such Disposition, (x) any securities or other obligations or assets received by the Company or any Subsidiary from such transferee (including earn-outs or similar obligations) that are converted by such Person into cash or Cash Equivalents, or by their terms are required to be satisfied for cash or Cash Equivalents (to the extent of the cash or cash equivalents received) within 180 days following the closing of the applicable Disposition and (y) any Designated Non-Cash Consideration received in respect of such Disposition having an aggregate fair market value, taken together with all other Designated Non-Cash Consideration received pursuant to this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that is at that time outstanding, not in excess of the greater of $17,500,000 and 10% of Consolidated EBITDA for the most recently ended Test Period, shall be deemed cash for purposes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the Company or any of its Subsidiaries may transfer or contribute ownership of the Capital Stock of any Subsidiary that is not a Loan Party or Joint Venture or the assets of any Subsidiary that is not a Loan Party or Joint Venture to the Company or a Subsidiary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Dispositions of cash and/or Cash Equivalents or other assets that were cash and/or Cash Equivalents when the relevant original Investment was made;</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the Company and its Subsidiaries may sell property pursuant to Permitted Sale/Leasebacks;</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Dispositions of Investments in Joint Ventures to the extent required by, or made pursuant to, buy/sell arrangement between joint venture or similar parties set forth in the relevant joint venture arrangements or similar binding agreements;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the Disposition of the Capital Stock or assets of any Immaterial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the sale by the Company and its Subsidiaries of bills of exchange of the Company and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Dispositions of non-core assets, in each case acquired in any acquisition or other Investment permitted hereunder, including such Dispositions (x) made in order to obtain the approval of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2"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anti-trust authority or otherwise necessary or advisable in the good faith determination of the Company to consummate any acquisition or other Investment permitted hereunder or (y) which are being held for sale and not for the continued operation of the Company or any of its Subsidiaries or any of their respective businesses;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any other Disposition; provided that the aggregate fair market value of all Dispositions pursuant to this Section 7.5(p) does not exceed the greater of (x) $44,250,000 and (y) 25% of Consolidated EBITDA for the most recently ended Test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the Company or any of its Subsidiaries may transfer or contribute ownership of the Capital Stock of any Subsidiary that is not a Loan Party formed or organized under the laws of (a) any European country or (b) any state, province, district or other subdivision of any such country, in each case to a Subsidiary that is not a Loan Party that is a European holding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Dispositions of Company Stock;</w:t>
      </w:r>
    </w:p>
    <w:p>
      <w:pPr>
        <w:pStyle w:val="TextBody"/>
        <w:bidi w:val="0"/>
        <w:spacing w:lineRule="auto" w:line="288"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 xml:space="preserve">exchanges or swaps, including transactions covered by Section 1031 of the Code (or any comparable provision of any foreign jurisdiction), of property or assets so long as any such exchange or swap is made for fair value (as determined by the Company in good faith) for like property or assets or property, assets or services of greater value or usefulness to the business of the Borrowers and their Subsidiaries as a whole, as determined in good faith by the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upon the consummation of any such exchange or swap by any Loan Party, to the extent the property received does not constitute an Excluded Asset, the Administrative Agent has a perfected Lien with the same priority as the Lien held on the property or assets so exchanged or swapped;</w:t>
      </w:r>
    </w:p>
    <w:p>
      <w:pPr>
        <w:pStyle w:val="TextBody"/>
        <w:bidi w:val="0"/>
        <w:spacing w:lineRule="auto" w:line="288"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rPr>
        <w:t>Dispositions of accounts receivable in connection with the collection or compromise thereof in the ordinary course of business or consistent with past practice (which, for the avoidance of doubt, shall exclude receivable financing);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(u)</w:t>
      </w:r>
      <w:r>
        <w:rPr>
          <w:rFonts w:ascii="Times New Roman;serif" w:hAnsi="Times New Roman;serif"/>
          <w:b w:val="false"/>
          <w:color w:val="000000"/>
          <w:sz w:val="22"/>
        </w:rPr>
        <w:t>Transfers of property subject to a casualty event and Dispositions constituting expropriations or takings by a Governmental Authority;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the unwinding of Hedge Agreements permitted hereunder pursuant to their terms;</w:t>
      </w:r>
    </w:p>
    <w:p>
      <w:pPr>
        <w:pStyle w:val="TextBody"/>
        <w:bidi w:val="0"/>
        <w:spacing w:lineRule="auto" w:line="288" w:before="0" w:after="240"/>
        <w:ind w:left="0" w:right="0" w:firstLine="720"/>
        <w:jc w:val="both"/>
        <w:rPr/>
      </w:pPr>
      <w:r>
        <w:rPr>
          <w:rFonts w:ascii="Times New Roman;serif" w:hAnsi="Times New Roman;serif"/>
          <w:b w:val="false"/>
          <w:color w:val="000000"/>
          <w:sz w:val="22"/>
        </w:rPr>
        <w:t>(w)</w:t>
      </w:r>
      <w:r>
        <w:rPr>
          <w:rFonts w:ascii="Times New Roman;serif" w:hAnsi="Times New Roman;serif"/>
          <w:b w:val="false"/>
          <w:color w:val="000000"/>
          <w:sz w:val="22"/>
        </w:rPr>
        <w:t>Dispositions of assets that do not constitute Collateral having a fair market value of not more than, in any fiscal year, the greater of $44,250,000 and 25% of Consolidated EBITDA for the most recently ended Test Period, which amount if not used in the fiscal year for which it is permitted may be carried forward to the immediately succeeding two fiscal years;</w:t>
      </w:r>
    </w:p>
    <w:p>
      <w:pPr>
        <w:pStyle w:val="TextBody"/>
        <w:bidi w:val="0"/>
        <w:spacing w:lineRule="auto" w:line="288" w:before="0" w:after="240"/>
        <w:ind w:left="0" w:right="0" w:firstLine="720"/>
        <w:jc w:val="both"/>
        <w:rPr/>
      </w:pPr>
      <w:r>
        <w:rPr>
          <w:rFonts w:ascii="Times New Roman;serif" w:hAnsi="Times New Roman;serif"/>
          <w:b w:val="false"/>
          <w:color w:val="000000"/>
          <w:sz w:val="22"/>
        </w:rPr>
        <w:t>(x)</w:t>
      </w:r>
      <w:r>
        <w:rPr>
          <w:rFonts w:ascii="Times New Roman;serif" w:hAnsi="Times New Roman;serif"/>
          <w:b w:val="false"/>
          <w:color w:val="000000"/>
          <w:sz w:val="22"/>
        </w:rPr>
        <w:t>Dispositions of in-plant maintenance, repair and operating and perishable tooling operations to third parties in connection with the outsourcing of such operations;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(y)</w:t>
      </w:r>
      <w:r>
        <w:rPr>
          <w:rFonts w:ascii="Times New Roman;serif" w:hAnsi="Times New Roman;serif"/>
          <w:b w:val="false"/>
          <w:color w:val="000000"/>
          <w:sz w:val="22"/>
        </w:rPr>
        <w:t>Dispositions, abandonments, cancellations or lapses of Intellectual Property or other Intellectual Property rights, including issuances or registrations thereof, or applications for issuances or registrations thereof, in the ordinary course of business or consistent with past practice or which, in the good faith determination of the Company, are not necessary to the conduct of the business of the Company or its Subsidiaries or are obsolete, no longer economical to maintain or otherwise not material in the conduct of business of the Company or any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3"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(z)</w:t>
      </w:r>
      <w:r>
        <w:rPr>
          <w:rFonts w:ascii="Times New Roman;serif" w:hAnsi="Times New Roman;serif"/>
          <w:b w:val="false"/>
          <w:color w:val="000000"/>
          <w:sz w:val="22"/>
        </w:rPr>
        <w:t>the expiration of any Intellectual Property in accordance with any statutory term that is not subject to renewal;</w:t>
      </w:r>
    </w:p>
    <w:p>
      <w:pPr>
        <w:pStyle w:val="TextBody"/>
        <w:bidi w:val="0"/>
        <w:spacing w:lineRule="auto" w:line="288" w:before="0" w:after="240"/>
        <w:ind w:left="0" w:right="0" w:firstLine="720"/>
        <w:jc w:val="both"/>
        <w:rPr/>
      </w:pPr>
      <w:r>
        <w:rPr>
          <w:rFonts w:ascii="Times New Roman;serif" w:hAnsi="Times New Roman;serif"/>
          <w:b w:val="false"/>
          <w:color w:val="000000"/>
          <w:sz w:val="22"/>
        </w:rPr>
        <w:t>(aa)</w:t>
      </w:r>
      <w:r>
        <w:rPr>
          <w:rFonts w:ascii="Times New Roman;serif" w:hAnsi="Times New Roman;serif"/>
          <w:b w:val="false"/>
          <w:color w:val="000000"/>
          <w:sz w:val="22"/>
        </w:rPr>
        <w:t>Dispositions of Capital Stock of, or sales of Indebtedness or other securities of, Unrestricted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(ab)</w:t>
      </w:r>
      <w:r>
        <w:rPr>
          <w:rFonts w:ascii="Times New Roman;serif" w:hAnsi="Times New Roman;serif"/>
          <w:b w:val="false"/>
          <w:color w:val="000000"/>
          <w:sz w:val="22"/>
        </w:rPr>
        <w:t>Dispositions made to comply with any order or other directive of any Governmental Authority or any applicable Requirement of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(ac)</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(ad)</w:t>
      </w:r>
      <w:r>
        <w:rPr>
          <w:rFonts w:ascii="Times New Roman;serif" w:hAnsi="Times New Roman;serif"/>
          <w:b w:val="false"/>
          <w:color w:val="000000"/>
          <w:sz w:val="22"/>
        </w:rPr>
        <w:t>any sale of motor vehicles and information technology equipment purchased at the end of an operating lease and resold thereafter;</w:t>
      </w:r>
    </w:p>
    <w:p>
      <w:pPr>
        <w:pStyle w:val="TextBody"/>
        <w:bidi w:val="0"/>
        <w:spacing w:lineRule="auto" w:line="288" w:before="0" w:after="240"/>
        <w:ind w:left="0" w:right="0" w:firstLine="720"/>
        <w:jc w:val="both"/>
        <w:rPr/>
      </w:pPr>
      <w:r>
        <w:rPr>
          <w:rFonts w:ascii="Times New Roman;serif" w:hAnsi="Times New Roman;serif"/>
          <w:b w:val="false"/>
          <w:color w:val="000000"/>
          <w:sz w:val="22"/>
        </w:rPr>
        <w:t>(ae)</w:t>
      </w:r>
      <w:r>
        <w:rPr>
          <w:rFonts w:ascii="Times New Roman;serif" w:hAnsi="Times New Roman;serif"/>
          <w:b w:val="false"/>
          <w:color w:val="000000"/>
          <w:sz w:val="22"/>
        </w:rPr>
        <w:t>any issuance, sale or Disposition of Capital Stock to directors, officers, managers or employees for purposes of satisfying requirements with respect to directors’ qualifying shares and shares issued to foreign nationals, in each case as required by applicable Requirements of Law;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(af)</w:t>
      </w:r>
      <w:r>
        <w:rPr>
          <w:rFonts w:ascii="Times New Roman;serif" w:hAnsi="Times New Roman;serif"/>
          <w:b w:val="false"/>
          <w:color w:val="000000"/>
          <w:sz w:val="22"/>
        </w:rPr>
        <w:t>any netting arrangement of accounts receivable between or among the Company and its Subsidiaries or among Subsidiaries of the Company made in the ordinary course of business.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Simultaneously with any transfer described in Section 7.5 (to the extent such transfer is to a Person that is not a Loan Party) of this Agreement, the Lien on and security interest created by the Loan Documents in the Capital Stock of the Subsidiaries so transferred or contributed will be automatically released and the Administrative Agent and the Collateral Agent shall take any action reasonably requested in writing by the Company to evidence such release.</w:t>
      </w:r>
    </w:p>
    <w:p>
      <w:pPr>
        <w:pStyle w:val="TextBody"/>
        <w:bidi w:val="0"/>
        <w:spacing w:lineRule="auto" w:line="288" w:before="0" w:after="240"/>
        <w:ind w:left="0" w:right="0" w:firstLine="720"/>
        <w:jc w:val="both"/>
        <w:rPr/>
      </w:pPr>
      <w:r>
        <w:rPr>
          <w:rFonts w:ascii="Times New Roman;serif" w:hAnsi="Times New Roman;serif"/>
          <w:b w:val="false"/>
          <w:color w:val="000000"/>
          <w:sz w:val="22"/>
        </w:rPr>
        <w:t>7.6.</w:t>
      </w:r>
      <w:r>
        <w:rPr>
          <w:rFonts w:ascii="Times New Roman;serif" w:hAnsi="Times New Roman;serif"/>
          <w:b w:val="false"/>
          <w:color w:val="000000"/>
          <w:sz w:val="22"/>
          <w:u w:val="single"/>
        </w:rPr>
        <w:t>Restricted Payments</w:t>
      </w:r>
      <w:r>
        <w:rPr>
          <w:rFonts w:ascii="Times New Roman;serif" w:hAnsi="Times New Roman;serif"/>
          <w:b w:val="false"/>
          <w:color w:val="000000"/>
          <w:sz w:val="22"/>
        </w:rPr>
        <w:t>. Declare or pay any dividend (other than dividends payable solely in common stock or other applicable common equity interests of the Person making such dividend) on, or make any payment on account of, or set apart assets for a sinking or other analogous fund for, the purchase, redemption, defeasance, retirement or other acquisition of, any Capital Stock (but excluding any of the foregoing with respect to any debt security that is convertible into, or exchangeable for, Capital Stock) of the Company or any Subsidiary, whether now or hereafter outstanding, or make any other distribution in respect thereof, either directly or indirectly, whether in cash or property or in obligations of the Company or any Subsidiary (collectively, “</w:t>
      </w:r>
      <w:r>
        <w:rPr>
          <w:rFonts w:ascii="Times New Roman;serif" w:hAnsi="Times New Roman;serif"/>
          <w:b/>
          <w:color w:val="000000"/>
          <w:sz w:val="22"/>
        </w:rPr>
        <w:t>Restricted Payments</w:t>
      </w:r>
      <w:r>
        <w:rPr>
          <w:color w:val="000000"/>
        </w:rPr>
        <w:t>”</w:t>
      </w:r>
      <w:r>
        <w:rPr>
          <w:rFonts w:ascii="Times New Roman;serif" w:hAnsi="Times New Roman;serif"/>
          <w:b w:val="false"/>
          <w:color w:val="000000"/>
          <w:sz w:val="22"/>
        </w:rPr>
        <w:t>), except that: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any Subsidiary may make Restricted Payments to the Company, any Subsidiary or to any other Person (ratably based on such other Person’s equity ownership in such Subsidiary) which owns Capital Stock of such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so long as no Event of Default shall have occurred and be continuing, the Company may purchase the Company’s common stock held by any Permitted Payee upon the death, disability or termination of employment of such officer or employee; provided that the aggregate amount of Restricted Payments under this paragraph (b) in any fiscal year shall not exceed the lesser of (i) $10,000,000 and (y) the sum of $5,000,000 plus the amount of Restricted Payments permitted to be made pursuant to this paragraph (b) in any previous fiscal year but not so made as a Restricted Payment pursuant to this paragraph (b) in any previous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Company may make Restricted Payments if, after giving effect thereto, the Total Net Leverage Ratio calculated on the date of incurrence thereof on a Pro Forma Basis would be less than 3.00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1.00 (it being understood that any Restricted Payment permitted at the time it was made shall be deemed to be permitted notwithstanding that the conditions specified in this paragraph (c) for such Restricted Payment may no longer be satisfied thereafter); provided that no Event of Default shall have occurred and be continuing or would result therefrom);</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Company may withhold shares of Capital Stock of the Company from, and pay personal payroll taxes of employees in respect of vested restricted shares of, options to purchase and other equity incentive awards in respect of, the Capital Stock of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Company may make additional Restricted Payments in an amount not to exceed the portion, if any, of the Available Amount on such date that the Company elects to apply to this clause (e); provided that (x) with respect to the use of the portion of the Available Amount set forth in (a)(ii) of the definition thereof, no Event of Default shall have occurred and be continuing or would result therefrom and (y) with respect to the use of each other portion of the Available Amount, no Specified Event of Default shall have occurred and be continuing or would result therefrom;</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Company may make additional Restricted Payments in an aggregate amount, together with the amount of Restricted Debt Payments made pursuant to Section 7.13(f), not to exceed the greater of $62,000,000 and 35% of Consolidated EBITDA for the most recently ended Test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the Company may repurchase, redeem, acquire or retire Capital Stock upon (or make provisions for withholdings in connection with) (or make provisions for withholdings in connection with),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 as part of a “cashless” exercise;</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to the extent constituting a Restricted Payment, the Company may consummate any transaction permitted by Section 7.5 (other than Sections 7.5(c)) and Section 7.7 (other than Section 7.7(y) and 7.7(cc));</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the Company may pay any dividend or other distribution or consummate any redemption within 60 days after the date of the declaration thereof or the provision of a redemption notice with respect thereto, as the case may be, if at the date of such declaration or notice, the dividend, distribution or redemption contemplated by such declaration or redemption notice would have complied with the provisions of this Section 7.6;</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so long as no Event of Default has occurred and is continuing or would result therefrom, the company may make additional Restricted Payments in an aggregate amount not to exceed 7.00% of the Total Market Cap at the time such Restricted Payment is made;</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the Company may make a distribution, by dividend or otherwise, of the Capital Stock of any Unrestricted Subsidiary (or a Subsidiary that owns one or more Unrestricted Subsidiaries; provided that such Subsidiary owns no assets other than Capital Stock of one or more Unrestricted Subsidiaries and immaterial assets incidental to the ownership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the Company may make payments and distributions to satisfy dissenters’ rights (including in connection with, or as a result of, the exercise of appraisal rights and the settlement of any claims or actions (whether actual, contingent or potential)), pursuant to or in connection with any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5" name="Frame1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acquisition, merger, consolidation, amalgamation or Disposition that complies with Section 7.5 or any other transaction permitted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the Company may make a Restricted Payment in respect of required withholding or similar non-U.S. Taxes with respect to any Permitted Payee and any repurchases of Capital Stock in consideration of such payments, including deemed repurchases in connection with the exercise of stock options or the issuance of restricted stock units or similar stock based awards;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for any taxable period for which the Company and/or any of its Subsidiaries are members of a consolidated, combined, unitary or similar group for any federal, state, or local income tax purposes, the Company may pay any federal, state or local income taxes, or any franchise taxes imposed in lieu thereof, to any parent of any consolidated, combined, unitary or similar group that includes the Company or any of its Subsidiaries or joint ventures in respect of any consolidated, combined, unitary or similar income tax return that includes the Company or any of its Subsidiaries or joint ventures to the extent attributable to the income of the Company and/or its Subsidiaries or joint ventures determined as if the Company and its Subsidiaries or joint ventures filed a consolidated, combined, unitary or similar return separately from any other members of the group.</w:t>
      </w:r>
    </w:p>
    <w:p>
      <w:pPr>
        <w:pStyle w:val="TextBody"/>
        <w:bidi w:val="0"/>
        <w:spacing w:lineRule="auto" w:line="288" w:before="0" w:after="240"/>
        <w:ind w:left="0" w:right="0" w:firstLine="720"/>
        <w:jc w:val="both"/>
        <w:rPr/>
      </w:pPr>
      <w:r>
        <w:rPr>
          <w:rFonts w:ascii="Times New Roman;serif" w:hAnsi="Times New Roman;serif"/>
          <w:b w:val="false"/>
          <w:color w:val="000000"/>
          <w:sz w:val="22"/>
        </w:rPr>
        <w:t>7.7.</w:t>
      </w:r>
      <w:r>
        <w:rPr>
          <w:rFonts w:ascii="Times New Roman;serif" w:hAnsi="Times New Roman;serif"/>
          <w:b w:val="false"/>
          <w:color w:val="000000"/>
          <w:sz w:val="22"/>
          <w:u w:val="single"/>
        </w:rPr>
        <w:t>Investments</w:t>
      </w:r>
      <w:r>
        <w:rPr>
          <w:rFonts w:ascii="Times New Roman;serif" w:hAnsi="Times New Roman;serif"/>
          <w:b w:val="false"/>
          <w:color w:val="000000"/>
          <w:sz w:val="22"/>
        </w:rPr>
        <w:t>. Make any advance, loan, extension of credit (by way of guaranty or otherwise) or capital contribution to, or purchase any Capital Stock, bonds, notes, debentures or other debt securities of, or any assets constituting a business unit of, or make any other investment in, any Person (all of the foregoing, “</w:t>
      </w:r>
      <w:r>
        <w:rPr>
          <w:rFonts w:ascii="Times New Roman;serif" w:hAnsi="Times New Roman;serif"/>
          <w:b/>
          <w:color w:val="000000"/>
          <w:sz w:val="22"/>
        </w:rPr>
        <w:t>Investments</w:t>
      </w:r>
      <w:r>
        <w:rPr>
          <w:color w:val="000000"/>
        </w:rPr>
        <w:t>”</w:t>
      </w:r>
      <w:r>
        <w:rPr>
          <w:rFonts w:ascii="Times New Roman;serif" w:hAnsi="Times New Roman;serif"/>
          <w:b w:val="false"/>
          <w:color w:val="000000"/>
          <w:sz w:val="22"/>
        </w:rPr>
        <w:t>), except: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extensions of trade credit in the ordinary course of business or consistent with past practice;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investments in Cash Equivalents;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 Guarantee Obligations permitted by Section 7.2 and (ii) Guarantee Obligations arising in the ordinary course of business or consistent with past practice with respect to other obligations that do not constitute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loans and advances to employees of the Company or any Subsidiary of the Company in the ordinary course of business or consistent with past practice (including for travel, entertainment and relocation expenses) in an aggregate amount for the Company or any Subsidiary of the Company not to exceed the greater of (x) $17,500,000 and (y) 10% of Consolidated EBITDA for the most recently ended Test Period at any one time outstanding;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Guarantee Obligations by any Loan Party of Indebtedness of any Subsidiary that is not a Loan Party; provided that the aggregate amount of such Guarantee Obligations, together with the aggregate amount of Investments by Loan Parties made pursuant to the proviso to Section 7.7(f) and the aggregate amount of Investments by Loan Parties in Subsidiaries that are not Loan Parties under Section 7.7(q), shall not exceed the greater of (x) $177,000,000 and (y) 100% of Consolidated EBITDA for the most recently ended Test Period at any one time outstanding;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intercompany Investments by the Company or any of its Subsidiaries in the Company or any Person that, prior to such investment, is a Subsidiary; provided that the aggregate amount of Investments by Loan Parties in Subsidiaries that are not Loan Parties under this clause (f), together with the aggregate amount of Guarantee Obligations pursuant to Section 7.7(e) and the aggregate amount of Investments by Loan Parties in Subsidiaries that are not Loan Parties under Section 7.7(q),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76" name="Frame1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exceed the greater of (x) $177,000,000 and (y) 100% of Consolidated EBITDA for the most recently ended Test Period at any one time outstanding;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Investments in Joint Ventures or in any Person who, prior to the Investment, is not a Subsidiary and who becomes, as a result of the Investment, a Subsidiary that is not a Wholly Owned Subsidiary or in any other Subsidiary that is not a Loan Party in an aggregate amount not to exceed in any fiscal year the greater of (x) $71,000,000 and (y) 40% of Consolidated EBITDA for the most recently ended Test Period at any one time outstanding plus, in each case, all dividends, distributions, interest, payments, returns of capital, repayments of other amounts received in cash, by the Loan Parties from Joint Ventures and Persons who become a Subsidiary as a result of such Investment or from such other Subsidiaries that are not Loan Parties; provided, that any such amount not so invested in the fiscal year for which it is permitted may be carried over for investment in the immediately succeeding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Investments in existence on the Closing Date listed, to the extent in excess of $5,000,000, on Schedule 7.7(h); provided that no such Investment is increased except as permitted by the other provisions of this Section 7.7;</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each Finance Subsidiary may execute and deliver one or more promissory notes (having terms customary for similar notes issued in transactions similar to a Permitted Receivables Financing) to the Company and its Subsidiaries representing the purchase price of Permitted Receivables Assets sold to such Finance Subsidiary in a Permitted Receivables Financing, and the Company and its Subsidiaries may contribute Permitted Receivables Assets and other assets of the type referred to in the definition of “Permitted Receivables Financing” to the capital of any Finance Subsidiary in connection with a Permitted Receivables Financing; </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Investments if, after giving effect thereto, the Total Net Leverage Ratio calculated on the date of incurrence thereof on a Pro Forma Basis would be less than 3.50 to 1.00 (it being understood that any Investment permitted at the time it was made shall be deemed to be permitted notwithstanding that the conditions specified in this paragraph (k) for such Investment may no longer be satisfied thereafter); provided that no Specified Event of Default shall have occurred and be continuing or would result therefrom;</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Investments by the Company and/or any of its Subsidiaries in an aggregate outstanding amount not to exceed the portion, if any, of the Available Amount on such date that the Company elects to apply to this clause (l); provided that no Specified Event of Default shall have occurred and be continuing or would result therefrom;</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non-cash consideration received, to the extent permitted by the Loan Documents, in connection with the disposition of property permitted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Investments consisting of extensions of credit in the nature of accounts receivable, notes receivable arising from the grant of trade credit, and guarantees for the benefit of existing or potential suppliers, customers, distributors, licensors, licensees, lessees and lessors, in each case in the ordinary course of business or consistent with past practice, and Investments received in satisfaction or partial satisfaction thereof from financially troubled account debtors;</w:t>
      </w:r>
    </w:p>
    <w:p>
      <w:pPr>
        <w:pStyle w:val="TextBody"/>
        <w:bidi w:val="0"/>
        <w:spacing w:lineRule="auto" w:line="288"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Hedge Agreements entered into not for speculative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60655"/>
                <wp:effectExtent l="0" t="0" r="0" b="0"/>
                <wp:wrapNone/>
                <wp:docPr id="177" name="Frame1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deposit accounts and securities accounts maintained in the ordinary course of business, and to the extent constituting an Investment, Cash Management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additional Investments by the Company or any of its Subsidiaries in an aggregate amount (valued at cost) (for all Investments by the Company and all Subsidiaries pursuant to this clause (q)) not to exceed the greater of (x) $88,500,000 and (y) 50% of Consolidated EBITDA for the most recently ended Test Period at any one time outstanding; provided that the aggregate amount of Investments by Loan Parties in Subsidiaries that are not Loan Parties under this clause (q), together with the aggregate amount of Guarantee Obligations pursuant to Section 7.7(e) and the aggregate amount of Investments by Loan Parties in Subsidiaries that are not Loan Parties under Section 7.7(f), shall not exceed the greater of (x) $177,000,000 and (y) 100% of Consolidated EBITDA for the most recently ended Test Period at any one time outstanding;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Investments held by a Person that is acquired and becomes a Subsidiary or of a Person merged or amalgamated or consolidated into any Subsidiary, in each case after the Closing Date and which acquisition, merger, amalgamation or consolidation is permitted in accordance with another provision of this Section 7.7, to the extent that such Investments held by such Person were not made in contemplation of or in connection with such acquisition, merger, amalgamation or consolidation, and were in existence on the date of such acquisition, merger, amalgamation or consolidation;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any Investments in a Joint Venture to the extent such Investment is substantially contemporaneously repaid in full with a dividend or other distribution from such Joint Venture;</w:t>
      </w:r>
    </w:p>
    <w:p>
      <w:pPr>
        <w:pStyle w:val="TextBody"/>
        <w:bidi w:val="0"/>
        <w:spacing w:lineRule="auto" w:line="288"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rPr>
        <w:t>to the extent that they constitute Investments, purchases and acquisitions of inventory, supplies, materials or equipment or purchases, acquisitions, licenses, sublicenses (or other grants or rights to use or exploit) or leases of other assets, Intellectual Property, or other rights, in each case in the ordinary course of business or consistent with past practice;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(u)</w:t>
      </w:r>
      <w:r>
        <w:rPr>
          <w:rFonts w:ascii="Times New Roman;serif" w:hAnsi="Times New Roman;serif"/>
          <w:b w:val="false"/>
          <w:color w:val="000000"/>
          <w:sz w:val="22"/>
        </w:rPr>
        <w:t>Investments maintained in connection with any Loan Party’s deferred compensation plan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Investments consisting of rebates and extensions of credit in the nature of accounts receivable or notes receivable arising from the grant of trade credit in the ordinary course of business or consistent with past practice;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(w)</w:t>
      </w:r>
      <w:r>
        <w:rPr>
          <w:rFonts w:ascii="Times New Roman;serif" w:hAnsi="Times New Roman;serif"/>
          <w:b w:val="false"/>
          <w:color w:val="000000"/>
          <w:sz w:val="22"/>
        </w:rPr>
        <w:t>any Investments acquired by the Company or any of its Subsidiaries: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 exchange for any other Investment or accounts receivable held by the Company or any such Subsidiary in connection with or as a result of a bankruptcy, workout, reorganization or recapitalization of, or settlement or delinquent accounts and disputes with or judgments against, the issuer of such Investment or accounts receivable;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(ii)as a result of a foreclosure by the Company or any of its Subsidiaries with respect to any secured Investment or other transfer of title with respect to any secured Investment in default;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(iii)as a result of the settlement, compromise or resolution of litigation, arbitration or other disputes with Persons who are not Affiliates;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(iv)in settlement of debts created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78" name="Frame1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(x)</w:t>
      </w:r>
      <w:r>
        <w:rPr>
          <w:rFonts w:ascii="Times New Roman;serif" w:hAnsi="Times New Roman;serif"/>
          <w:b w:val="false"/>
          <w:color w:val="000000"/>
          <w:sz w:val="22"/>
        </w:rPr>
        <w:t>Investments in prepaid expenses, negotiable instruments held for collection and lease, utility and works compensation, performance and similar deposits in each case entered into as a result of the operations of the business in the ordinary course;</w:t>
      </w:r>
    </w:p>
    <w:p>
      <w:pPr>
        <w:pStyle w:val="TextBody"/>
        <w:bidi w:val="0"/>
        <w:spacing w:lineRule="auto" w:line="288" w:before="0" w:after="240"/>
        <w:ind w:left="0" w:right="0" w:firstLine="720"/>
        <w:jc w:val="both"/>
        <w:rPr/>
      </w:pPr>
      <w:r>
        <w:rPr>
          <w:rFonts w:ascii="Times New Roman;serif" w:hAnsi="Times New Roman;serif"/>
          <w:b w:val="false"/>
          <w:color w:val="000000"/>
          <w:sz w:val="22"/>
        </w:rPr>
        <w:t>(y)</w:t>
      </w:r>
      <w:r>
        <w:rPr>
          <w:rFonts w:ascii="Times New Roman;serif" w:hAnsi="Times New Roman;serif"/>
          <w:b w:val="false"/>
          <w:color w:val="000000"/>
          <w:sz w:val="22"/>
        </w:rPr>
        <w:t>Investments in notes receivables payable to the Company or any Subsidiary by the purchasers of assets purchased pursuant to Dispositions permitted in accordance with Section 7.5;</w:t>
      </w:r>
    </w:p>
    <w:p>
      <w:pPr>
        <w:pStyle w:val="TextBody"/>
        <w:bidi w:val="0"/>
        <w:spacing w:lineRule="auto" w:line="288" w:before="0" w:after="240"/>
        <w:ind w:left="0" w:right="0" w:firstLine="720"/>
        <w:jc w:val="both"/>
        <w:rPr/>
      </w:pPr>
      <w:r>
        <w:rPr>
          <w:rFonts w:ascii="Times New Roman;serif" w:hAnsi="Times New Roman;serif"/>
          <w:b w:val="false"/>
          <w:color w:val="000000"/>
          <w:sz w:val="22"/>
        </w:rPr>
        <w:t>(z)</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(aa)</w:t>
      </w:r>
      <w:r>
        <w:rPr>
          <w:rFonts w:ascii="Times New Roman;serif" w:hAnsi="Times New Roman;serif"/>
          <w:b w:val="false"/>
          <w:color w:val="000000"/>
          <w:sz w:val="22"/>
        </w:rPr>
        <w:t xml:space="preserve">to the extent they constitute Investments, any letters of credit issued or created by the Company or its Subsidiaries pursuant to Sections 7.2(x) or 7.3(bb); </w:t>
      </w:r>
    </w:p>
    <w:p>
      <w:pPr>
        <w:pStyle w:val="TextBody"/>
        <w:bidi w:val="0"/>
        <w:spacing w:lineRule="auto" w:line="288" w:before="0" w:after="240"/>
        <w:ind w:left="0" w:right="0" w:firstLine="720"/>
        <w:jc w:val="both"/>
        <w:rPr/>
      </w:pPr>
      <w:r>
        <w:rPr>
          <w:rFonts w:ascii="Times New Roman;serif" w:hAnsi="Times New Roman;serif"/>
          <w:b w:val="false"/>
          <w:color w:val="000000"/>
          <w:sz w:val="22"/>
        </w:rPr>
        <w:t>(ab)</w:t>
      </w:r>
      <w:r>
        <w:rPr>
          <w:rFonts w:ascii="Times New Roman;serif" w:hAnsi="Times New Roman;serif"/>
          <w:b w:val="false"/>
          <w:color w:val="000000"/>
          <w:sz w:val="22"/>
        </w:rPr>
        <w:t>Investments in Unrestricted Subsidiaries in an aggregate amount not to exceed in any fiscal year the greater of (x) $71,000,000 and (y) 40% of Consolidated EBITDA for the most recently ended Test Period plus, in each case, all dividends, distributions, interest, payments, returns of capital, repayments of other amounts received in cash, by the Loan Parties from Unrestricted Subsidiaries; provided, that any such amount not so invested in the fiscal year for which it is permitted may be carried over for investment in the immediately succeeding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2"/>
        </w:rPr>
        <w:t>(ac)</w:t>
      </w:r>
      <w:r>
        <w:rPr>
          <w:rFonts w:ascii="Times New Roman;serif" w:hAnsi="Times New Roman;serif"/>
          <w:b w:val="false"/>
          <w:color w:val="000000"/>
          <w:sz w:val="22"/>
        </w:rPr>
        <w:t>Investments consisting of (or resulting from) Indebtedness permitted under Section 7.2, Liens permitted under Section 7.3, Restricted Payments permitted under Section 7.6 (other than Section 7.6(h)), Restricted Debt Payments permitted by Section 7.13 and Dispositions permitted by Section 7.5 (other than Section 7.5(c));</w:t>
      </w:r>
    </w:p>
    <w:p>
      <w:pPr>
        <w:pStyle w:val="TextBody"/>
        <w:bidi w:val="0"/>
        <w:spacing w:lineRule="auto" w:line="288" w:before="0" w:after="240"/>
        <w:ind w:left="0" w:right="0" w:firstLine="720"/>
        <w:jc w:val="both"/>
        <w:rPr/>
      </w:pPr>
      <w:r>
        <w:rPr>
          <w:rFonts w:ascii="Times New Roman;serif" w:hAnsi="Times New Roman;serif"/>
          <w:b w:val="false"/>
          <w:color w:val="000000"/>
          <w:sz w:val="22"/>
        </w:rPr>
        <w:t>(ad)</w:t>
      </w:r>
      <w:r>
        <w:rPr>
          <w:rFonts w:ascii="Times New Roman;serif" w:hAnsi="Times New Roman;serif"/>
          <w:b w:val="false"/>
          <w:color w:val="000000"/>
          <w:sz w:val="22"/>
        </w:rPr>
        <w:t>Investments in the ordinary course of business consisting of endorsements for collection or deposit and customary trade arrangements with customers, vendors, suppliers, licensors, sublicensors, licensees and sublicensees;</w:t>
      </w:r>
    </w:p>
    <w:p>
      <w:pPr>
        <w:pStyle w:val="TextBody"/>
        <w:bidi w:val="0"/>
        <w:spacing w:lineRule="auto" w:line="288" w:before="0" w:after="240"/>
        <w:ind w:left="0" w:right="0" w:firstLine="720"/>
        <w:jc w:val="both"/>
        <w:rPr/>
      </w:pPr>
      <w:r>
        <w:rPr>
          <w:rFonts w:ascii="Times New Roman;serif" w:hAnsi="Times New Roman;serif"/>
          <w:b w:val="false"/>
          <w:color w:val="000000"/>
          <w:sz w:val="22"/>
        </w:rPr>
        <w:t>(ae)</w:t>
      </w:r>
      <w:r>
        <w:rPr>
          <w:rFonts w:ascii="Times New Roman;serif" w:hAnsi="Times New Roman;serif"/>
          <w:b w:val="false"/>
          <w:color w:val="000000"/>
          <w:sz w:val="22"/>
        </w:rPr>
        <w:t>(i) Guarantees of leases or subleases (in each case other than Finance Leases) or of other obligations not constituting Indebtedness, (ii) Guarantees of the lease obligations of suppliers, customers, franchisees and licensees of the Company and/or its Subsidiaries, in each case, in the ordinary course of business or consistent with past practice and (iii) Investments consisting of guarantees of any supplier’s obligations in respect of commodity contracts solely to the extent such commodities related to the materials or products to be purchased by the Company or any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(af)</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(ag)</w:t>
      </w:r>
      <w:r>
        <w:rPr>
          <w:rFonts w:ascii="Times New Roman;serif" w:hAnsi="Times New Roman;serif"/>
          <w:b w:val="false"/>
          <w:color w:val="000000"/>
          <w:sz w:val="22"/>
        </w:rPr>
        <w:t>unfunded pension fund and other employee benefit plan obligations and liabilities to the extent that they are permitted to remain unfunded under applicable Requirements of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(ah)</w:t>
      </w:r>
      <w:r>
        <w:rPr>
          <w:rFonts w:ascii="Times New Roman;serif" w:hAnsi="Times New Roman;serif"/>
          <w:b w:val="false"/>
          <w:color w:val="000000"/>
          <w:sz w:val="22"/>
        </w:rPr>
        <w:t>Investments consisting of the licensing, sublicensing or contribution of any Intellectual Property or other Intellectual Property rights pursuant to joint marketing, collaboration or other similar arrangements with other Persons;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(ai)</w:t>
      </w:r>
      <w:r>
        <w:rPr>
          <w:rFonts w:ascii="Times New Roman;serif" w:hAnsi="Times New Roman;serif"/>
          <w:b w:val="false"/>
          <w:color w:val="000000"/>
          <w:sz w:val="22"/>
        </w:rPr>
        <w:t>contributions in connection with compensation arrangements to a “rabbi” trust for the benefit of employees, directors, partners, members, consultants, independent contractors or other service providers or other grantor trust subject to claims of creditors in the case of a bankruptcy of the Company or any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60655"/>
                <wp:effectExtent l="0" t="0" r="0" b="0"/>
                <wp:wrapNone/>
                <wp:docPr id="179" name="Frame1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(aj)</w:t>
      </w:r>
      <w:r>
        <w:rPr>
          <w:rFonts w:ascii="Times New Roman;serif" w:hAnsi="Times New Roman;serif"/>
          <w:b w:val="false"/>
          <w:color w:val="000000"/>
          <w:sz w:val="22"/>
        </w:rPr>
        <w:t>Investments consisting of earnest money deposits required in connection with purchase agreements or other acquisitions or Investments otherwise permitted under this Section 7.7 and any other pledges or deposits permitted by Section 7.3;</w:t>
      </w:r>
    </w:p>
    <w:p>
      <w:pPr>
        <w:pStyle w:val="TextBody"/>
        <w:bidi w:val="0"/>
        <w:spacing w:lineRule="auto" w:line="288" w:before="0" w:after="240"/>
        <w:ind w:left="0" w:right="0" w:firstLine="720"/>
        <w:jc w:val="both"/>
        <w:rPr/>
      </w:pPr>
      <w:r>
        <w:rPr>
          <w:rFonts w:ascii="Times New Roman;serif" w:hAnsi="Times New Roman;serif"/>
          <w:b w:val="false"/>
          <w:color w:val="000000"/>
          <w:sz w:val="22"/>
        </w:rPr>
        <w:t>(ak)</w:t>
      </w:r>
      <w:r>
        <w:rPr>
          <w:rFonts w:ascii="Times New Roman;serif" w:hAnsi="Times New Roman;serif"/>
          <w:b w:val="false"/>
          <w:color w:val="000000"/>
          <w:sz w:val="22"/>
        </w:rPr>
        <w:t>Term Loans repurchased by the Company or a Subsidiary pursuant to and subject to immediate cancellation in accordance with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(al)</w:t>
      </w:r>
      <w:r>
        <w:rPr>
          <w:rFonts w:ascii="Times New Roman;serif" w:hAnsi="Times New Roman;serif"/>
          <w:b w:val="false"/>
          <w:color w:val="000000"/>
          <w:sz w:val="22"/>
        </w:rPr>
        <w:t>Guarantee Obligations of the Company or any Subsidiary in respect of letters of support, guarantees or similar obligations issued, made or incurred for the benefit of any Subsidiary of the Company to the extent required by law or in connection with any statutory filing or the delivery of audit opinions performed in jurisdictions other than within the United States;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(am)</w:t>
      </w:r>
      <w:r>
        <w:rPr>
          <w:rFonts w:ascii="Times New Roman;serif" w:hAnsi="Times New Roman;serif"/>
          <w:b w:val="false"/>
          <w:color w:val="000000"/>
          <w:sz w:val="22"/>
        </w:rPr>
        <w:t>Investments in the form of Customer Advances and/or Customer Guarantees; provided that (i) if the last day of the most recently ended Test Period is a Testing Date, then the increase in Aggregate Customer Outstandings between the most recent day that was not a Testing Date and such Testing Date shall not exceed the greater of (x) $354,000,000 and (y) 200% of Consolidated EBITDA for the most recently ended Test Period and (ii) notwithstanding anything in this Agreement to the contrary, Investments in the form of Customer Guarantees or Customer Advances may only be incurred pursuant to Section 7.7(k) and this Section 7.7(mm).</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Investment that when made complies with the requirements of the definition of the term “Cash Equivalents” may continue to be held notwithstanding that such Investment if made thereafter would not comply with such requirements.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except with respect to the Company’s or any Subsidiary’s ability to non-exclusively license Intellectual Property to Unrestricted Subsidiaries in the ordinary course of business, no Investment constituting of or resulting from any transfer or other Disposition of any Material IP by the Company or any Subsidiary may be made to an Unrestricted Subsidiary, except pursuant to Section 7.7(bb). </w:t>
      </w:r>
    </w:p>
    <w:p>
      <w:pPr>
        <w:pStyle w:val="TextBody"/>
        <w:bidi w:val="0"/>
        <w:spacing w:lineRule="auto" w:line="288" w:before="0" w:after="240"/>
        <w:ind w:left="0" w:right="0" w:firstLine="720"/>
        <w:jc w:val="both"/>
        <w:rPr/>
      </w:pPr>
      <w:r>
        <w:rPr>
          <w:rFonts w:ascii="Times New Roman;serif" w:hAnsi="Times New Roman;serif"/>
          <w:b w:val="false"/>
          <w:color w:val="000000"/>
          <w:sz w:val="22"/>
        </w:rPr>
        <w:t>7.8.</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Enter into or suffer to exist any transaction, including any purchase, sale, lease or exchange of property, the rendering of any service or the payment of any management, advisory or similar fees with any Affiliate involving aggregate payments or consideration in excess of $10,000,000; provided that the foregoing restriction shall not apply to:</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[reserved]; </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transactions or agreements between the Company and/or its Subsidiaries;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transactions in effect on the Closing Date listed, to the extent in excess of $5,000,000, on Schedule 7.8 and any amendment, modification or extension to the agreements governing such transactions to the extent such amendment, modification or extension, taken as a whole, is not materially (i) adverse to the Lenders or (ii) more disadvantageous to the Lenders than the relevant transaction in existence on the Closing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transactions that (a) are upon fair and reasonable terms not materially less favorable to the Company or such Subsidiary, as the case may be, than it would obtain in a comparable arm’s length transaction with a Person that is not an Affiliate or (b) if in the good faith judgment of the board of directors of the Company no comparable transaction is available with which to compare such transaction, such transaction is fair to the Company or such Subsidiary from a financial point of view;</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80" name="Frame1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any issuance, sale or grant of securities or other payments, awards or grants in cash, securities or otherwise pursuant to, or the funding of, employment arrangements, stock options and stock ownership plans approved by the board of directors (or equivalent governing body) of the Company or any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(i) any collective bargaining, employment, indemnification, expense reimbursement or severance agreement or compensatory (including profit sharing) arrangement entered into by the Company or any of its Subsidiaries with any Permitted Payee, (ii) any subscription agreement or similar agreement pertaining to the repurchase of Capital Stock pursuant to put/call rights or similar rights with any Permitted Payee and (iii) payments or other transactions pursuant to any management equity plan, employee compensation, benefit plan, stock option plan or arrangement, equity holder arrangement, supplemental executive retirement benefit plan, any health, disability or similar insurance plan, or any employment contract or arrangement which covers any Permitted Payee and payments pursuant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Guarantees permitted by Section 7.2, Restricted Payments permitted under Section 7.6 (other than Section 7.6(h)), Investments permitted under Section 7.7 (other than Section 7.7(y) and Section 7.7(cc)) and Restricted Debt Payments permitted by Section 7.13);</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(i) the formation of a joint venture or similar entity (and Investments permitted in connection therewith), which would constitute a transaction with an Affiliate solely as a result of the Company or any Subsidiary owning Capital Stock of, or otherwise controlling, such joint venture or similar entity and (ii) transactions with any Person that is an Affiliate solely because a director or officer of such Person is a director or officer of the Company or any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the payment of customary fees and reasonable out-of-pocket costs to, and indemnities provided on behalf of, members of the board of directors (or similar governing body), officers, employees, members of management, managers, consultants and independent contractors of the Company and/or any of its Subsidiaries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any transaction in respect of which the Company delivers to the Administrative Agent a letter addressed to the board of directors (or equivalent governing body) of the Company from an accounting, appraisal or investment banking firm of nationally recognized standing stating that such transaction is fair to the Company or such Subsidiary from a financial point of view or stating that the terms, when taken as a whole, are not substantially less favorable to the Company or the applicable Subsidiary than might be obtained at the time in a comparable arm’s length transaction from a Person who is not an Affiliate;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(i) Investments by Affiliates in securities or other Indebtedness of the Company or any Subsidiary (and payment of reasonable out-of-pocket expenses incurred by such Affiliates in connection therewith) so long as the Investment is being offered by the Company or such Subsidiary generally to other investors on the same or more favorable terms and (ii) payments to Affiliates in respect of securities or other Indebtedness of the Company or any Subsidiary contemplated in the foregoing subclause (i) or that were acquired from Persons other than the Company and the Subsidiaries, in each case, in accordance with the terms of such securities or other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licenses or sublicenses by the Company or any of its Subsidiaries of Intellectual Property in the ordinary course of business;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transactions undertaken in the ordinary course of business or consistent with past practice pursuant to membership in a purchasing consortium.</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60655"/>
                <wp:effectExtent l="0" t="0" r="0" b="0"/>
                <wp:wrapNone/>
                <wp:docPr id="181" name="Frame1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7.9.</w:t>
      </w:r>
      <w:r>
        <w:rPr>
          <w:rFonts w:ascii="Times New Roman;serif" w:hAnsi="Times New Roman;serif"/>
          <w:b w:val="false"/>
          <w:color w:val="000000"/>
          <w:sz w:val="22"/>
          <w:u w:val="single"/>
        </w:rPr>
        <w:t>Sales and Leasebacks</w:t>
      </w:r>
      <w:r>
        <w:rPr>
          <w:rFonts w:ascii="Times New Roman;serif" w:hAnsi="Times New Roman;serif"/>
          <w:b w:val="false"/>
          <w:color w:val="000000"/>
          <w:sz w:val="22"/>
        </w:rPr>
        <w:t>. Enter into or suffer to exist any arrangement with any Person providing for the leasing by the Company or any Subsidiary of real or personal property that has been or is to be sold or transferred in a related transaction by the Company or such Subsidiary to such Person or to any other Person to whom funds have been or are to be advanced by such Person on the security of such property or rental obligations of the Company or such Subsidiary; provided that any such transaction shall be permitted so long as (i) such transaction is on an arm’s length basis and (ii) the resulting Indebtedness is permitted by Section 7.2; provided that no Event of Default shall have occurred and be continuing or would result therefrom and such sale/leaseback shall be for no less than the fair market value of such property at the time of such sale/leaseback as determined by the Company in good faith (collectively, the “</w:t>
      </w:r>
      <w:r>
        <w:rPr>
          <w:rFonts w:ascii="Times New Roman;serif" w:hAnsi="Times New Roman;serif"/>
          <w:b/>
          <w:color w:val="000000"/>
          <w:sz w:val="22"/>
        </w:rPr>
        <w:t>Permitted Sale/Leasebacks</w:t>
      </w:r>
      <w:r>
        <w:rPr>
          <w:color w:val="000000"/>
        </w:rPr>
        <w:t>”</w:t>
      </w:r>
      <w:r>
        <w:rPr>
          <w:rFonts w:ascii="Times New Roman;serif" w:hAnsi="Times New Roman;serif"/>
          <w:b w:val="false"/>
          <w:color w:val="000000"/>
          <w:sz w:val="22"/>
        </w:rPr>
        <w:t>) (the Company agreeing that all Permitted Sale/Leasebacks shall be Dispositions and any Lien on or security interests in any such property created by the Loan Documents shall be automatically released upon consummation of such Permitted Sale/Leasebacks and the Collateral Agent shall take any action reasonably requested by the Company to evidence such release).</w:t>
      </w:r>
    </w:p>
    <w:p>
      <w:pPr>
        <w:pStyle w:val="TextBody"/>
        <w:bidi w:val="0"/>
        <w:spacing w:lineRule="auto" w:line="288" w:before="0" w:after="240"/>
        <w:ind w:left="0" w:right="0" w:firstLine="720"/>
        <w:jc w:val="both"/>
        <w:rPr/>
      </w:pPr>
      <w:r>
        <w:rPr>
          <w:rFonts w:ascii="Times New Roman;serif" w:hAnsi="Times New Roman;serif"/>
          <w:b w:val="false"/>
          <w:color w:val="000000"/>
          <w:sz w:val="22"/>
        </w:rPr>
        <w:t>7.10.</w:t>
      </w:r>
      <w:r>
        <w:rPr>
          <w:rFonts w:ascii="Times New Roman;serif" w:hAnsi="Times New Roman;serif"/>
          <w:b w:val="false"/>
          <w:color w:val="000000"/>
          <w:sz w:val="22"/>
          <w:u w:val="single"/>
        </w:rPr>
        <w:t>Changes in Fiscal Periods</w:t>
      </w:r>
      <w:r>
        <w:rPr>
          <w:rFonts w:ascii="Times New Roman;serif" w:hAnsi="Times New Roman;serif"/>
          <w:b w:val="false"/>
          <w:color w:val="000000"/>
          <w:sz w:val="22"/>
        </w:rPr>
        <w:t xml:space="preserve">. Permit the fiscal year of the Company to end on a day other than December 31 of each year;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Company may, upon written notice to the Administrative Agent, change the financial reporting convention above to (</w:t>
      </w:r>
      <w:r>
        <w:rPr>
          <w:rFonts w:ascii="Times New Roman;serif" w:hAnsi="Times New Roman;serif"/>
          <w:b w:val="false"/>
          <w:color w:val="000000"/>
          <w:sz w:val="22"/>
          <w:u w:val="single"/>
        </w:rPr>
        <w:t>x</w:t>
      </w:r>
      <w:r>
        <w:rPr>
          <w:rFonts w:ascii="Times New Roman;serif" w:hAnsi="Times New Roman;serif"/>
          <w:b w:val="false"/>
          <w:color w:val="000000"/>
          <w:sz w:val="22"/>
        </w:rPr>
        <w:t>) a calendar year-end convention or (</w:t>
      </w:r>
      <w:r>
        <w:rPr>
          <w:rFonts w:ascii="Times New Roman;serif" w:hAnsi="Times New Roman;serif"/>
          <w:b w:val="false"/>
          <w:color w:val="000000"/>
          <w:sz w:val="22"/>
          <w:u w:val="single"/>
        </w:rPr>
        <w:t>y</w:t>
      </w:r>
      <w:r>
        <w:rPr>
          <w:rFonts w:ascii="Times New Roman;serif" w:hAnsi="Times New Roman;serif"/>
          <w:b w:val="false"/>
          <w:color w:val="000000"/>
          <w:sz w:val="22"/>
        </w:rPr>
        <w:t>) any other financial reporting convention reasonably acceptable to the Administrative Agent, in which case, the Company and the Administrative Agent will, and are hereby authorized by the Lenders to, make any amendments to this Agreement that are necessary, in the reasonable judgment of the Administrative Agent and the Company, to reflect such change in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2"/>
        </w:rPr>
        <w:t>7.11.</w:t>
      </w:r>
      <w:r>
        <w:rPr>
          <w:rFonts w:ascii="Times New Roman;serif" w:hAnsi="Times New Roman;serif"/>
          <w:b w:val="false"/>
          <w:color w:val="000000"/>
          <w:sz w:val="22"/>
          <w:u w:val="single"/>
        </w:rPr>
        <w:t>Negative Pledge Clauses</w:t>
      </w:r>
      <w:r>
        <w:rPr>
          <w:rFonts w:ascii="Times New Roman;serif" w:hAnsi="Times New Roman;serif"/>
          <w:b w:val="false"/>
          <w:color w:val="000000"/>
          <w:sz w:val="22"/>
        </w:rPr>
        <w:t xml:space="preserve">. Enter into or suffer to exist or become effective any agreement that prohibits or limits the ability of the Company or any of its Subsidiaries (other than Excluded Subsidiaries (except to the extent any Subsidiary is an Excluded Subsidiary solely pursuant to clause (iii) of the definition thereof)) to create, incur, assume or suffer to exist any Lien upon any of its property (other than Company Stock and other Excluded Assets) or revenues, whether now owned or hereafter acquired, to secure its obligations under the Loan Documents to which it is a party other than: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this Agreement and the other Loan Documents; </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any agreements governing secured Indebtedness permitted hereby (in which case, any prohibition or limitation shall only be effective against the assets securing such Indebtedness) or Permitted Receivables Financings (in which case, any prohibition or limitation shall only be effective against the assets included in such Permitted Receivables Financing); </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restrictions by reason of customary provisions restricting assignments, subletting, licensing, sublicensing or other transfers (including the granting of any Lien) contained in leases, subleases, licenses, sublicenses, joint venture agreements, asset sale agreements, trading, netting, operating, construction, service, supply, purchase, sale or other agreements entered into in the ordinary course of business or consistent with past practice (each of the foregoing, a “</w:t>
      </w:r>
      <w:r>
        <w:rPr>
          <w:rFonts w:ascii="Times New Roman;serif" w:hAnsi="Times New Roman;serif"/>
          <w:b/>
          <w:color w:val="000000"/>
          <w:sz w:val="22"/>
        </w:rPr>
        <w:t>Covered Agreement</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restrictions are limited to the relevant Covered Agreement and/or the property or assets secured by such Liens or the property or assets subject to such Covered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customary restrictions on the creation of Liens on any property or assets arising under a security agreement governing a Lien permitted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82" name="Frame1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customary restrictions and conditions contained in agreements relating to the sale of a Subsidiary or any assets pending such sale; provided such restrictions and conditions apply only to the Subsidiary or assets that are to be sold and such sale is permitted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customary restrictions in Intellectual Property license agreements;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any encumbrance or restriction assumed in connection with an acquisition of the property or Capital Stock of any Person, so long as such encumbrance or restriction relates solely to the Person and its subsidiaries (including the Capital Stock of the relevant Person or Persons) and/or property so acquired (or to the Person or Persons (and its or their subsidiaries) bound thereby) and was not created in contemplation of such acquisition;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restrictions imposed by customary provisions in partnership agreements, limited liability company organizational governance documents, joint venture agreements and other similar agreements (i) relating to the transfer of the assets of, or ownership interests in, the relevant partnership, limited liability company, joint venture or any similar Person (or any “shell company” Company with respect thereto), (ii) relating to such joint venture or its members and/or (iii) otherwise entered into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restrictions on cash or other deposits permitted under Section 7.3 and/or 7.7 and any net worth or similar requirements, including such restrictions or requirements imposed by Persons under contracts entered into in the ordinary course of business or for whose benefit such cash or other deposits or net worth requirements exist;</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restrictions (i) set forth in documents which exist on the Closing Date or (ii) which are contemplated as of the Closing Date and, in the case of this clause (ii), to the extent the assets or property subject to such restriction are in excess of $5,000,000, set forth on Schedule 7.11;</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restrictions arising under or as a result of applicable Requirements of Law or the terms of any license, authorization, concession or permit issued or granted by a Governmental Authority;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restrictions with respect to any Subsidiary that was previously an Unrestricted Subsidiary, pursuant to or by reason of an agreement that such Subsidiary is a party to or entered into before the date on which such Subsidiary became a Subsidiary; provided that such agreement was not entered into in anticipation of such Subsidiary or such Unrestricted Subsidiary becoming a Subsidiary and any such restriction does not extend to any assets or property of the Company or any other Subsidiary other than the assets and property of such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other restrictions or encumbrances imposed by any amendment, modification, restatement, renewal, increase, supplement, refunding, replacement or refinancing of the contracts, instruments or obligations referred to in the preceding clauses of this Section 7.11;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amendment, modification, restatement, renewal, increase, supplement, refunding, replacement or refinancing is, in the good faith judgment of the Company, materially more restrictive with respect to such encumbrances and other restrictions, taken as a whole, than those in effect prior to the relevant amendment, modification, restatement, renewal, increase, supplement, refunding, replacement or refinancing.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7.12.</w:t>
      </w:r>
      <w:r>
        <w:rPr>
          <w:rFonts w:ascii="Times New Roman;serif" w:hAnsi="Times New Roman;serif"/>
          <w:b w:val="false"/>
          <w:color w:val="000000"/>
          <w:sz w:val="22"/>
          <w:u w:val="single"/>
        </w:rPr>
        <w:t>Lines of Business</w:t>
      </w:r>
      <w:r>
        <w:rPr>
          <w:rFonts w:ascii="Times New Roman;serif" w:hAnsi="Times New Roman;serif"/>
          <w:b w:val="false"/>
          <w:color w:val="000000"/>
          <w:sz w:val="22"/>
        </w:rPr>
        <w:t xml:space="preserve">. Enter into any material business, either directly or through any Subsidiary, except for those businesses substantially similar to the businesses in which the Company and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83" name="Frame1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its Subsidiaries are engaged on the Closing Date or that are reasonably related, complementary, synergistic or ancillary thereto or reasonable extensions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7.13.</w:t>
      </w:r>
      <w:r>
        <w:rPr>
          <w:rFonts w:ascii="Times New Roman;serif" w:hAnsi="Times New Roman;serif"/>
          <w:b w:val="false"/>
          <w:color w:val="000000"/>
          <w:sz w:val="22"/>
          <w:u w:val="single"/>
        </w:rPr>
        <w:t>Optional Payments and Modifications of Subordinated Indebtedness</w:t>
      </w:r>
      <w:r>
        <w:rPr>
          <w:rFonts w:ascii="Times New Roman;serif" w:hAnsi="Times New Roman;serif"/>
          <w:b w:val="false"/>
          <w:color w:val="000000"/>
          <w:sz w:val="22"/>
        </w:rPr>
        <w:t>. (i) Make or agree to pay or make, directly or indirectly, any payment or other distribution (whether in cash, securities or other property) of or in respect of principal of or interest on any Subordinated Indebtedness, or any payment or other distribution (whether in cash, securities or other property), including any sinking fund or similar deposit, on account of the purchase, redemption, retirement, acquisition, defeasance, cancelation or termination of such Subordinated Indebtedness (collectively, “</w:t>
      </w:r>
      <w:r>
        <w:rPr>
          <w:rFonts w:ascii="Times New Roman;serif" w:hAnsi="Times New Roman;serif"/>
          <w:b/>
          <w:color w:val="000000"/>
          <w:sz w:val="22"/>
        </w:rPr>
        <w:t>Restricted Debt Payments</w:t>
      </w:r>
      <w:r>
        <w:rPr>
          <w:color w:val="000000"/>
        </w:rPr>
        <w:t>”</w:t>
      </w:r>
      <w:r>
        <w:rPr>
          <w:rFonts w:ascii="Times New Roman;serif" w:hAnsi="Times New Roman;serif"/>
          <w:b w:val="false"/>
          <w:color w:val="000000"/>
          <w:sz w:val="22"/>
        </w:rPr>
        <w:t>), or (ii) amend, modify, waive or otherwise change, or consent or agree to any amendment, modification, waiver or other change to, any of the terms of any agreement, instrument or other document evidencing Subordinated Indebtedness (other than any such amendment, modification, waiver or other change that is not in the reasonable judgment of the Company materially adverse to the Lenders); provided that so long as no Event of Default has occurred and is continuing, the Company may:</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make regularly scheduled interest and principal payments as and when due in respect of any Subordinated Indebtedness, other than payments prohibited by the subordination provisions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refinance Subordinated Indebtedness with the Net Cash Proceeds of a Permitted Refinancing;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make payments of or in respect of Subordinated Indebtedness made solely with the Net Cash Proceeds of Qualified Capital Stock issued by the Company after the Closing Date; </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 convert any Subordinated Indebtedness into Qualified Capital Stock and (B) to the extent constituting a Restricted Debt Payment, pay payment-in-kind interest with respect to any Indebtedness that is permitted under Section 7.2; </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make Restricted Debt Payments in an aggregate amount not to exceed the portion, if any, of the Available Amount on such date that the Company elects to apply to this clause (e); provided that no Specified Event of Default shall have occurred and be continuing or would result therefrom;</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make additional payments of or in respect of Subordinated Indebtedness; provided that the aggregate principal amount of such payments pursuant to this clause (f), together with the amount of Restricted Payments made pursuant to Section 7.6(f), may not exceed the greater of $62,000,000 and 35% of Consolidated EBITDA for the most recently ended Test Period; </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make unlimited Restricted Debt Payments at any time the Total Net Leverage Ratio is equal to or less than 3.25 to 1.00 calculated on the date of incurrence thereof on a Pro Forma Basis after giving effect to such payment (it being understood and agreed that any fee, premium or expense paid or payable in connection with such payment shall not be subject to or included within the calculation of such amount);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make payments as part of, or to enable another Person to make, an “applicable high yield discount obligation” catch-up payment.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7.14.</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Request any Loan or Letter of Credit, or use, and the Company shall use commercially reasonable efforts to procure that its Subsidiaries and its or their respective directors, officers, employees and agents shall not use, the proceeds of any Loan or Letter of Credit (a) in furtherance of an offer, payment, promise to pay, or authorization of the payment or giving of money, or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60655"/>
                <wp:effectExtent l="0" t="0" r="0" b="0"/>
                <wp:wrapNone/>
                <wp:docPr id="184" name="Frame1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anything else of value, to any Person in violation of any Anti-Corruption Laws, (b) for the purpose of directly or, to the Company’s Knowledge, indirectly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pStyle w:val="TextBody"/>
        <w:bidi w:val="0"/>
        <w:spacing w:lineRule="auto" w:line="288" w:before="0" w:after="240"/>
        <w:jc w:val="both"/>
        <w:rPr/>
      </w:pPr>
      <w:r>
        <w:rPr>
          <w:rFonts w:ascii="Times New Roman;serif" w:hAnsi="Times New Roman;serif"/>
          <w:b w:val="false"/>
          <w:color w:val="010000"/>
          <w:sz w:val="22"/>
        </w:rPr>
        <w:t>Section 8.</w:t>
      </w:r>
      <w:r>
        <w:rPr>
          <w:rFonts w:ascii="Times New Roman;serif" w:hAnsi="Times New Roman;serif"/>
          <w:b w:val="false"/>
          <w:color w:val="000000"/>
          <w:sz w:val="22"/>
        </w:rPr>
        <w:t>EVENTS OF DEFAULT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of the following events shall occur and be continuing: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any Borrower shall fail to pay any principal of any Loan or Reimbursement Obligation when due in accordance with the terms hereof; or any Borrower shall fail to pay any interest on any Loan or Reimbursement Obligation, or any other amount payable hereunder or under any other Loan Document, within three Business Days (or in the case of any technical or administrative error, five Business Days) after any such interest or other amount becomes due in accordance with the terms hereof;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any representation or warranty made or deemed made by any Loan Party herein or in any other Loan Document or any certificate, statement, report or other document required to be delivered pursuant to this Agreement or any other Loan Document shall prove to have been inaccurate in any material respect on or as of the date made or deemed made and, to the extent capable of being corrected, such inaccuracy is not corrected on or prior to 30 days from the earlier of (x) the first date a Responsible Officer of the Company has Knowledge of such inaccuracy and (y) the date on which the Company received notice thereof from the Administrative Agent or the Required Lenders of such misrepresentation;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any Loan Party shall default in the observance or performance of any agreement contained in clause (i) or (ii) of Section 6.4(a) (in each case with respect to legal existence of any Borrower and the Company only), Section 6.7(a), Section 6.12 or Section 7 of this Agreement; provided that notwithstanding this clause (c), (x) no breach or default by any Loan Party under Section 7.1 will constitute an Event of Default with respect to any Term Loans unless and until the Required Revolving Lenders have declared all outstanding obligations under the Revolving Facility to be immediately due and payable and terminated the commitments under the Revolving Facility and have not rescinded such declaration and termination;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any Loan Party shall default in the observance or performance of any other agreement contained in this Agreement or any other Loan Document (other than as provided in paragraphs (a) through (c) of this Section), and such default shall continue unremedied for a period of 30 days after receipt of notice thereof by the Company from the Administrative Agent or the Required Lenders;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Company or any of its Subsidiaries shall (i) default in making any payment of any principal of any Indebtedness (including any Guarantee Obligation, but excluding the Loans and Reimbursement Obligations) on the scheduled or original due date with respect thereto or any interest on any such Indebtedness, in each case, beyond the period of grace, if any, provided in the instrument or agreement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in each case of clauses (i) or (ii) the effect of which default or other event or condition is to cause, or to permit the holder or beneficiary of such Indebtedness (or a trustee or agent on behalf of such holder or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60655"/>
                <wp:effectExtent l="0" t="0" r="0" b="0"/>
                <wp:wrapNone/>
                <wp:docPr id="185" name="Frame1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beneficiary) to cause, with the giving of notice if required, such Indebtedness to become due prior to its stated maturity or (in the case of any such Indebtedness constituting a Guarantee Obligation) to become payable;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 default, event or condition described in clause (i) or (ii) of this paragraph (e) shall not at any time constitute an Event of Default unless, at such time, one or more defaults, events or conditions of the type described in clauses (i) or (ii) of this paragraph (e) shall have occurred and be continuing with respect to Indebtedness the aggregate outstanding principal amount of which exceeds in the aggregate of $25,000,000 for the Company and its Subsidiaries; or</w:t>
      </w:r>
    </w:p>
    <w:p>
      <w:pPr>
        <w:pStyle w:val="TextBody"/>
        <w:bidi w:val="0"/>
        <w:spacing w:lineRule="auto" w:line="288" w:before="24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(i) the Company or any of its Significant Subsidiaries shall commence any case, proceeding or other action under (A)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freeze order or other relief with respect to it or its debts, except for any such case, proceeding or action in connection with any liquidation or dissolution otherwise permitted pursuant to Section 7.4 of this Agreement or (B) the Company or any of its Significant Subsidiaries shall make a general assignment for the benefit of creditors; or (ii) there shall be commenced against the Company or any of its Significant Subsidiaries any case, proceeding or other action of a nature referred to in clause (i) above that (A) results in the entry of an order for relief or any such adjudication or appointment or (B) remains undismissed, undischarged or unbonded for a period of 60 days; or (iii) there shall be commenced against the Company or any of its Significant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Company or any of its Significant Subsidiaries shall take any corporate action in furtherance of, or indicating its consent to, approval of, or acquiescence in, any of the acts set forth in clause (i), (ii), or (iii) above; or (v) the Company or any of its Significant Subsidiaries shall generally not, or shall be unable to, or shall admit in writing its inability to, pay its debts as they become due;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(i) any Person shall engage in any “prohibited transaction” (as defined in Section 406 of ERISA or Section 4975 of the Code) involving any Plan, (ii) any “accumulated funding deficiency” or “failure to meet the minimum funding standards” (each as defined in Section 412 of the Code or 302 of ERISA), whether or not waived, shall exist with respect to any Single Employer Plan or any Lien in favor of the PBGC or a Plan shall arise on the assets of the Company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would reasonably be expected to result in the termination of such Plan for purposes of Title IV of ERISA, (iv) any Single Employer Plan shall terminate for purposes of Title IV of ERISA or (v) the Company or any Commonly Controlled Entity shall, or would reasonably be expected to, incur any liability in connection with a withdrawal from, or the Insolvency of, a Multiemployer Plan; and in each case in clauses (i) through (v) above, such event or condition, together with all other such events or conditions, if any, could be expected to have a Material Adverse Effect;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one or more judgments or decrees shall be entered against the Company or any of its Subsidiaries involving in the aggregate for the Company and its Subsidiaries a liability (not covered by insurance as to which the relevant insurance company has not denied coverage) of $25,000,000 or more, and all such judgments or decrees shall not have been vacated, discharged, stayed or bonded pending appeal within 60 days from the entry thereof (it being understood that, notwithstanding the definition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60655"/>
                <wp:effectExtent l="0" t="0" r="0" b="0"/>
                <wp:wrapNone/>
                <wp:docPr id="186" name="Frame1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Default,” no “Default” shall be triggered solely by the rendering of a judgment or judgments prior to the lapse of such 60-day period so long as such judgments are capable of satisfaction by payment at any time);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any of the Security Documents shall cease, for any reason, to be in full force and effect, or any Loan Party shall so assert in writing, or any Lien created by any of the Security Documents shall cease to be enforceable and of the same effect and priority purported to be created thereby on a material portion of the Collateral, except to the except (A) as a result of the release of a Loan Party or the sale, transfer or other disposition to a Person that is not a Loan Party or a Subsidiary of the applicable Collateral in each case, in a transaction permitted under the Loan Documents, (B) as a result of the Administrative Agent’s or any other Secured Party no longer having possession of any stock certificates, promissory notes or other instruments actually delivered to it under the Collateral Documents or (C) UCC continuation statements not being timely filed;</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any material portion of the guarantees contained in the Guarantee Agreement, taken as a whole, shall cease, for any reason, to be in full force and effect (other than as permitted in a Loan Document or in accordance with its terms) or any Loan Party shall so assert;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a Change of Control shall occur,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then, and in any such event, (A) if such event is an Event of Default specified in clause (i) or (ii) of paragraph (f) above with respect to the any Borrower, automatically the Revolving Commitments shall immediately terminate and the Loans hereunder (with accrued interest thereon), all other amounts owing under this Agreement and the other Loan Documents (including all amounts of LC Exposure, whether or not the beneficiaries of the then outstanding Letters of Credit shall have presented the documents required thereunder) shall immediately become due and payable, and (B) if such event is any other Event of Default, with the consent of the Required Lenders, the Administrative Agent may, or upon the request of the Required Lenders, the Administrative Agent shall, by notice to the Borrowers, declare the Revolving Commitments to be terminated forthwith, declare the Loans hereunder (with accrued interest thereon) and all other amounts owing under this Agreement and the other Loan Documents (including all amounts of LC Exposure, whether or not the beneficiaries of the then outstanding Letters of Credit shall have presented the documents required thereunder) to be due and payable forthwith, whereupon the same shall immediately become due and payable; provided that solely in connection with an Event of Default under Section 8 (with respect to a breach or default of Section 7.1) that is uncured or unwaived, the Required Revolving Lenders may take the actions specified in clause (B) above in respect of the Revolving Commitments and the Revolving Loans. With respect to all Letters of Credit with respect to which presentment for honor shall not have occurred at the time of an acceleration pursuant to this paragraph, each applicable Borrower shall at such time deposit in a Collateral Account an amount equal to 103% of the aggregate then undrawn and unexpired amount of such Letters of Credit in accordance with Section 2.13(j).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each such Borrowers hereunder and under the other Loan Documents. After all such Letters of Credit shall have expired or been fully drawn upon, all Reimbursement Obligations shall have been satisfied and all other obligations of the Borrowers hereunder and under the other Loan Documents shall have been paid in full, the balance, if any, in such cash collateral account shall be returned to the applicable Borrower(s) (or such other Person as may be lawfully entitled thereto). Except as expressly provided above in this Section, presentment, demand, protest and all other notices of any kind are hereby expressly waived by each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60655"/>
                <wp:effectExtent l="0" t="0" r="0" b="0"/>
                <wp:wrapNone/>
                <wp:docPr id="187" name="Frame1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10000"/>
          <w:sz w:val="22"/>
        </w:rPr>
        <w:t>Section 9.</w:t>
      </w:r>
      <w:r>
        <w:rPr>
          <w:rFonts w:ascii="Times New Roman;serif" w:hAnsi="Times New Roman;serif"/>
          <w:b w:val="false"/>
          <w:color w:val="000000"/>
          <w:sz w:val="22"/>
        </w:rPr>
        <w:t>THE AGENTS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9.1.</w:t>
      </w:r>
      <w:r>
        <w:rPr>
          <w:rFonts w:ascii="Times New Roman;serif" w:hAnsi="Times New Roman;serif"/>
          <w:b w:val="false"/>
          <w:color w:val="000000"/>
          <w:sz w:val="22"/>
          <w:u w:val="single"/>
        </w:rPr>
        <w:t>Appointment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Lender, the Swingline Lender and each Issuing Bank hereby irrevocably designates and appoints the Administrative Agent as the agent of such Lender, Swingline Lender and Issuing Bank under this Agreement and the other Loan Documents, and each such Lender, Swingline Lender and Issuing Bank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Swingline Lender or Issuing Bank, and no implied covenants, functions, responsibilities, duties, obligations or liabilities shall be read into this Agreement or any other Loan Document or otherwise exist against the Administrative Agent.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Administrative Agent shall also act as the “collateral agent” under the Loan Documents, and each of the Lenders, the Swingline Lender and each Issuing Bank hereby irrevocably appoints and authorizes the Administrative Agent to act as the agent of such Lender, Swingline Lender and Issuing Bank for purposes of acquiring, holding and enforcing any and all Liens on Collateral granted by any of the Loan Parties to secure any of the Obligations, together with such powers and discretion as are reasonably incidental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motivations of the Administrative Agent are commercial in nature and not to invest in the general performance or operations of any Borrower.</w:t>
      </w:r>
    </w:p>
    <w:p>
      <w:pPr>
        <w:pStyle w:val="TextBody"/>
        <w:bidi w:val="0"/>
        <w:spacing w:lineRule="auto" w:line="288" w:before="0" w:after="240"/>
        <w:ind w:left="0" w:right="0" w:firstLine="720"/>
        <w:jc w:val="both"/>
        <w:rPr/>
      </w:pPr>
      <w:r>
        <w:rPr>
          <w:rFonts w:ascii="Times New Roman;serif" w:hAnsi="Times New Roman;serif"/>
          <w:b w:val="false"/>
          <w:color w:val="000000"/>
          <w:sz w:val="22"/>
        </w:rPr>
        <w:t>9.2.</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TextBody"/>
        <w:bidi w:val="0"/>
        <w:spacing w:lineRule="auto" w:line="288" w:before="0" w:after="240"/>
        <w:ind w:left="0" w:right="0" w:firstLine="720"/>
        <w:jc w:val="both"/>
        <w:rPr/>
      </w:pPr>
      <w:r>
        <w:rPr>
          <w:rFonts w:ascii="Times New Roman;serif" w:hAnsi="Times New Roman;serif"/>
          <w:b w:val="false"/>
          <w:color w:val="000000"/>
          <w:sz w:val="22"/>
        </w:rPr>
        <w:t>9.3.</w:t>
      </w:r>
      <w:r>
        <w:rPr>
          <w:rFonts w:ascii="Times New Roman;serif" w:hAnsi="Times New Roman;serif"/>
          <w:b w:val="false"/>
          <w:color w:val="000000"/>
          <w:sz w:val="22"/>
          <w:u w:val="single"/>
        </w:rPr>
        <w:t>Exculpatory Provisions</w:t>
      </w:r>
      <w:r>
        <w:rPr>
          <w:rFonts w:ascii="Times New Roman;serif" w:hAnsi="Times New Roman;serif"/>
          <w:b w:val="false"/>
          <w:color w:val="000000"/>
          <w:sz w:val="22"/>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bad faith,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r>
        <w:rPr>
          <w:color w:val="0000FF"/>
          <w:u w:val="single"/>
        </w:rPr>
        <w:t xml:space="preserve"> </w:t>
      </w:r>
      <w:r>
        <w:rPr>
          <w:rFonts w:ascii="Times New Roman;serif" w:hAnsi="Times New Roman;serif"/>
          <w:b w:val="false"/>
          <w:color w:val="0000FF"/>
          <w:sz w:val="22"/>
          <w:u w:val="single"/>
        </w:rPr>
        <w:t xml:space="preserve">Notwithstanding anything herein to the contrary, the Administrative Agent shall not be liable for, or be responsible for any Liabilities, costs or expenses suffered by any Borrower, any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60655"/>
                <wp:effectExtent l="0" t="0" r="0" b="0"/>
                <wp:wrapNone/>
                <wp:docPr id="188" name="Frame1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FF"/>
          <w:sz w:val="22"/>
          <w:u w:val="single"/>
        </w:rPr>
      </w:pPr>
      <w:r>
        <w:rPr>
          <w:rFonts w:ascii="Times New Roman;serif" w:hAnsi="Times New Roman;serif"/>
          <w:b w:val="false"/>
          <w:color w:val="0000FF"/>
          <w:sz w:val="22"/>
          <w:u w:val="single"/>
        </w:rPr>
        <w:t>Subsidiary, any Lender or any Issuing Bank as a result of, any determination of the Aggregate Exposure, any of the component amounts thereof or any portion thereof attributable to each Lender or Issuing Bank, or any Dollar Equivalent.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9.4.</w:t>
      </w:r>
      <w:r>
        <w:rPr>
          <w:rFonts w:ascii="Times New Roman;serif" w:hAnsi="Times New Roman;serif"/>
          <w:b w:val="false"/>
          <w:color w:val="000000"/>
          <w:sz w:val="22"/>
          <w:u w:val="single"/>
        </w:rPr>
        <w:t>Reliance by Administrative Agent</w:t>
      </w:r>
      <w:r>
        <w:rPr>
          <w:rFonts w:ascii="Times New Roman;serif" w:hAnsi="Times New Roman;serif"/>
          <w:b w:val="false"/>
          <w:color w:val="000000"/>
          <w:sz w:val="22"/>
        </w:rPr>
        <w:t>. The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the Borrowers),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if the Administrative Agent believes in good faith that such action shall expose it to liability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9.5.</w:t>
      </w:r>
      <w:r>
        <w:rPr>
          <w:rFonts w:ascii="Times New Roman;serif" w:hAnsi="Times New Roman;serif"/>
          <w:b w:val="false"/>
          <w:color w:val="000000"/>
          <w:sz w:val="22"/>
          <w:u w:val="single"/>
        </w:rPr>
        <w:t>Notice of Default</w:t>
      </w:r>
      <w:r>
        <w:rPr>
          <w:rFonts w:ascii="Times New Roman;serif" w:hAnsi="Times New Roman;serif"/>
          <w:b w:val="false"/>
          <w:color w:val="000000"/>
          <w:sz w:val="22"/>
        </w:rPr>
        <w:t>. The Administrative Agent shall not be deemed to have knowledge or notice of the occurrence of any Default or Event of Default hereunder unless the Administrative Agent has received notice from a Lender or any Borrower referring to this Agreement, describing such Default or Event of Default, as applicable, and stating that such notice is a “notice of default” or a “notice of event of default”, as applicable.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as set forth in this Agreement (or, if so specified by this Agreement, all Lenders); provided that unless and until the Administrative Agent shall have received such directions, the Administrative Agent may (but shall not be obligated to) take such action, or refrain from taking such action, with respect to such Default or Event of Default, as applicable, as it shall deem advisable in the best interests of the Lenders and permitted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9.6.</w:t>
      </w:r>
      <w:r>
        <w:rPr>
          <w:rFonts w:ascii="Times New Roman;serif" w:hAnsi="Times New Roman;serif"/>
          <w:b w:val="false"/>
          <w:color w:val="000000"/>
          <w:sz w:val="22"/>
          <w:u w:val="single"/>
        </w:rPr>
        <w:t>Non-Reliance on Agents and Other Lenders</w:t>
      </w:r>
      <w:r>
        <w:rPr>
          <w:rFonts w:ascii="Times New Roman;serif" w:hAnsi="Times New Roman;serif"/>
          <w:b w:val="false"/>
          <w:color w:val="000000"/>
          <w:sz w:val="22"/>
        </w:rPr>
        <w:t xml:space="preserve">. Each Lender expressly acknowledges that neither the Agents nor any of their respective officers, directors, employees, agents, attorneys-in-fact or affiliates have made any representations or warranties to it and that no act by any Agent hereinafter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60655"/>
                <wp:effectExtent l="0" t="0" r="0" b="0"/>
                <wp:wrapNone/>
                <wp:docPr id="189" name="Frame1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 it deems necessary to inform itself as to the business, operations, property, financial and other condition and creditworthiness of the Loan Parties and their affiliates.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Lenders and Issuing Banks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or in any other Loan Document,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officers, directors, employees, agents, attorneys-in-fact or Affiliates in any capacity, including any information obtained by the Administrative Agent in the course of communications among the Administrative Agent and any Loan Party, any Affiliate thereof or any other Person. Notwithstanding the foregoing, but subject to compliance with any confidentiality obligations set forth in any Loan Document, any such information may (but shall not be required to) be shared by the Administrative Agent with one or more Lenders, or any formal or informal committee or ad hoc group of such Lenders, including at the direction of a Loan Party.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9.7.</w:t>
      </w:r>
      <w:r>
        <w:rPr>
          <w:rFonts w:ascii="Times New Roman;serif" w:hAnsi="Times New Roman;serif"/>
          <w:b w:val="false"/>
          <w:color w:val="000000"/>
          <w:sz w:val="22"/>
          <w:u w:val="single"/>
        </w:rPr>
        <w:t>Indemnification</w:t>
      </w:r>
      <w:r>
        <w:rPr>
          <w:rFonts w:ascii="Times New Roman;serif" w:hAnsi="Times New Roman;serif"/>
          <w:b w:val="false"/>
          <w:color w:val="000000"/>
          <w:sz w:val="22"/>
        </w:rPr>
        <w:t>. The Lenders agree to severally indemnify each Agent in its capacity as such (to the extent not reimbursed by the Borrowers and without limiting the obligation of the Borrowers to do so), ratably according to their respective Aggregate Exposure Percentages in effect on the date on which indemnification is sought under this Section (or, if indemnification is sought after the date upon which the Commitments shall have terminated and the Loans shall have been paid in full and no Letters of Credit shall be outstanding (other than Letters of Credit that are cash collateralized or backstopped on terms reasonably satisfactory to the applicable Issuing Bank),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bad faith, gross negligence or willful misconduct. The agreements in this Section 9.7 shall survive the payment of the Loans and all other amounts payable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9.8.</w:t>
      </w:r>
      <w:r>
        <w:rPr>
          <w:rFonts w:ascii="Times New Roman;serif" w:hAnsi="Times New Roman;serif"/>
          <w:b w:val="false"/>
          <w:color w:val="000000"/>
          <w:sz w:val="22"/>
          <w:u w:val="single"/>
        </w:rPr>
        <w:t>Agent in Its Individual Capacity</w:t>
      </w:r>
      <w:r>
        <w:rPr>
          <w:rFonts w:ascii="Times New Roman;serif" w:hAnsi="Times New Roman;serif"/>
          <w:b w:val="false"/>
          <w:color w:val="000000"/>
          <w:sz w:val="22"/>
        </w:rPr>
        <w:t xml:space="preserve">. Each Agent and its affiliates may make loans to, accept deposits from and generally engage in any kind of business with any Loan Party as though such Agent was not an Agent. With respect to its Loans made or renewed by it and with respect to any Letter of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90" name="Frame1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9.9.</w:t>
      </w:r>
      <w:r>
        <w:rPr>
          <w:rFonts w:ascii="Times New Roman;serif" w:hAnsi="Times New Roman;serif"/>
          <w:b w:val="false"/>
          <w:color w:val="000000"/>
          <w:sz w:val="22"/>
          <w:u w:val="single"/>
        </w:rPr>
        <w:t>Successor Administrative Agent</w:t>
      </w:r>
      <w:r>
        <w:rPr>
          <w:rFonts w:ascii="Times New Roman;serif" w:hAnsi="Times New Roman;serif"/>
          <w:b w:val="false"/>
          <w:color w:val="000000"/>
          <w:sz w:val="22"/>
        </w:rPr>
        <w:t xml:space="preserve">. The Administrative Agent may resign as Administrative Agent upon 20 days’ notice to the Lenders and the Borrowers.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any Borrower shall have occurred and be continuing) be subject to approval by the Borrowers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20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(with the consent of the Borrowers (to the extent required by the immediately preceding sentence))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 </w:t>
      </w:r>
    </w:p>
    <w:p>
      <w:pPr>
        <w:pStyle w:val="TextBody"/>
        <w:bidi w:val="0"/>
        <w:spacing w:lineRule="auto" w:line="288" w:before="0" w:after="240"/>
        <w:ind w:left="0" w:right="0" w:firstLine="720"/>
        <w:jc w:val="both"/>
        <w:rPr/>
      </w:pPr>
      <w:r>
        <w:rPr>
          <w:rFonts w:ascii="Times New Roman;serif" w:hAnsi="Times New Roman;serif"/>
          <w:b w:val="false"/>
          <w:color w:val="000000"/>
          <w:sz w:val="22"/>
        </w:rPr>
        <w:t>9.10.</w:t>
      </w:r>
      <w:r>
        <w:rPr>
          <w:rFonts w:ascii="Times New Roman;serif" w:hAnsi="Times New Roman;serif"/>
          <w:b w:val="false"/>
          <w:color w:val="000000"/>
          <w:sz w:val="22"/>
          <w:u w:val="single"/>
        </w:rPr>
        <w:t>Certain ERISA Matters</w:t>
      </w:r>
      <w:r>
        <w:rPr>
          <w:rFonts w:ascii="Times New Roman;serif" w:hAnsi="Times New Roman;serif"/>
          <w:b w:val="false"/>
          <w:color w:val="000000"/>
          <w:sz w:val="22"/>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at least one of the following is and will be true: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(iii)(iii)    (A) such Lender is an investment fund managed by a “Qualified Professional Asset Manager” (within the meaning of Part VI of PTE 84-14), (B) such Qualified Professional Asset Manager made the investment decision on behalf of such Lender to enter i</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91" name="Frame1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(iv)(iv)    such other representation, warranty and covenant as may be agreed in writing between the Administrative Agent, in its sole discretion, and such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(b)    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9.11.</w:t>
      </w:r>
      <w:r>
        <w:rPr>
          <w:rFonts w:ascii="Times New Roman;serif" w:hAnsi="Times New Roman;serif"/>
          <w:b w:val="false"/>
          <w:color w:val="000000"/>
          <w:sz w:val="22"/>
          <w:u w:val="single"/>
        </w:rPr>
        <w:t>Agents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None of the Arrangers or Agents (other than the Administrative Agent) identified in this Agreement shall have any rights, powers, obligations, liabilities, responsibilities or duties under this Agreement or any other Loan Document, except in its capacity, as applicable, as a Lender, the Swingline Lender or an Issuing Bank hereunder. Without limiting any other provision of this Section 9, no such Arranger or Agent in its capacity as such shall have or be deemed to have any fiduciary relationship with any Lender (including the Swingline Lender or any Issuing Bank) or any other Person by reason of this Agreement or any other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furtherance of the foregoing and not in limitation thereof, no arrangements in respect of Lender Cash Management Obligations and no Lender Hedge Agreements,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Lender Cash Management Obligations or Lender Hedge Agreements,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spacing w:lineRule="auto" w:line="288" w:before="0" w:after="240"/>
        <w:ind w:left="0" w:right="0" w:firstLine="720"/>
        <w:jc w:val="both"/>
        <w:rPr/>
      </w:pPr>
      <w:r>
        <w:rPr>
          <w:rFonts w:ascii="Times New Roman;serif" w:hAnsi="Times New Roman;serif"/>
          <w:b w:val="false"/>
          <w:color w:val="000000"/>
          <w:sz w:val="22"/>
        </w:rPr>
        <w:t>9.12.</w:t>
      </w:r>
      <w:r>
        <w:rPr>
          <w:rFonts w:ascii="Times New Roman;serif" w:hAnsi="Times New Roman;serif"/>
          <w:b w:val="false"/>
          <w:color w:val="000000"/>
          <w:sz w:val="22"/>
          <w:u w:val="single"/>
        </w:rPr>
        <w:t>Credit Bidding</w:t>
      </w:r>
      <w:r>
        <w:rPr>
          <w:rFonts w:ascii="Times New Roman;serif" w:hAnsi="Times New Roman;serif"/>
          <w:b w:val="false"/>
          <w:color w:val="000000"/>
          <w:sz w:val="22"/>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60655"/>
                <wp:effectExtent l="0" t="0" r="0" b="0"/>
                <wp:wrapNone/>
                <wp:docPr id="192" name="Frame1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10.1),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88" w:before="0" w:after="240"/>
        <w:ind w:left="0" w:right="0" w:firstLine="720"/>
        <w:jc w:val="both"/>
        <w:rPr/>
      </w:pPr>
      <w:r>
        <w:rPr>
          <w:rFonts w:ascii="Times New Roman;serif" w:hAnsi="Times New Roman;serif"/>
          <w:b w:val="false"/>
          <w:color w:val="000000"/>
          <w:sz w:val="22"/>
        </w:rPr>
        <w:t>9.13.</w:t>
      </w:r>
      <w:r>
        <w:rPr>
          <w:rFonts w:ascii="Times New Roman;serif" w:hAnsi="Times New Roman;serif"/>
          <w:b w:val="false"/>
          <w:color w:val="000000"/>
          <w:sz w:val="22"/>
          <w:u w:val="single"/>
        </w:rPr>
        <w:t>Erroneous Payments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erif" w:hAnsi="Times New Roman;serif"/>
          <w:b/>
          <w:color w:val="000000"/>
          <w:sz w:val="22"/>
        </w:rPr>
        <w:t>Payment</w:t>
      </w:r>
      <w:r>
        <w:rPr>
          <w:color w:val="000000"/>
        </w:rPr>
        <w:t>”</w:t>
      </w:r>
      <w:r>
        <w:rPr>
          <w:rFonts w:ascii="Times New Roman;serif" w:hAnsi="Times New Roman;serif"/>
          <w:b w:val="false"/>
          <w:color w:val="000000"/>
          <w:sz w:val="22"/>
        </w:rPr>
        <w:t xml:space="preserve">) were erroneously transmitted to such Lender (whether or not known to such Lender), and demands the return of such Payment (or a portion thereof), such Lender shall promptly, but in no event later than one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93" name="Frame1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 shall be conclusive,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Borrowers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to the maximum extent permitted by law and (y) an erroneous Payment shall not pay, prepay, repay, discharge or otherwise satisfy any Obligations owed by the Borrowers or any other Loan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clause (c) shall not be interpreted to increase (or accelerate the due date for), or have the effect of increasing (or accelerating the due date for), any Obligations of the Loan Parties in respect of principal and interest hereunder relative to the amount (and/or timing for payment) of the Obligations of the Loan Parties in respect of principal and interest hereunder that would have been payable had such erroneous Payment not been made by the Administrative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for the avoidance of doubt, this clause (c) shall not apply to the extent any such Payment is, and solely with respect to the amount of such Payment that is, comprised of funds received by the Administrative Agent from the Borrowers or any other Loan Party for the purpose of making such Payment, satisfying Obligations or from the proceeds of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Each party’s obligations under this Section 9.13 shall survive the resignation or replacement of the Administrative Agent or any transfer of rights or obligations by, or the replacement of, a Lender, the repayment, satisfaction or discharge of all Obligations under any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60655"/>
                <wp:effectExtent l="0" t="0" r="0" b="0"/>
                <wp:wrapNone/>
                <wp:docPr id="194" name="Frame1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9.14.</w:t>
      </w:r>
      <w:r>
        <w:rPr>
          <w:rFonts w:ascii="Times New Roman;serif" w:hAnsi="Times New Roman;serif"/>
          <w:b w:val="false"/>
          <w:color w:val="000000"/>
          <w:sz w:val="22"/>
          <w:u w:val="single"/>
        </w:rPr>
        <w:t>Posting of Communications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Borrowers agree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serif" w:hAnsi="Times New Roman;serif"/>
          <w:b/>
          <w:color w:val="000000"/>
          <w:sz w:val="22"/>
        </w:rPr>
        <w:t>Approved Electronic Platform</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each of the Issuing Banks and each of the Borrowers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each of the Borrowers hereby approves distribution of the Communications through the Approved Electronic Platform and understands and assumes the risks of such distribution.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Times New Roman;serif" w:hAnsi="Times New Roman;serif"/>
          <w:b/>
          <w:color w:val="000000"/>
          <w:sz w:val="22"/>
        </w:rPr>
        <w:t>APPLICABLE PARTIES</w:t>
      </w:r>
      <w:r>
        <w:rPr>
          <w:color w:val="000000"/>
        </w:rPr>
        <w:t>”</w:t>
      </w:r>
      <w:r>
        <w:rPr>
          <w:rFonts w:ascii="Times New Roman;serif" w:hAnsi="Times New Roman;serif"/>
          <w:b w:val="false"/>
          <w:color w:val="000000"/>
          <w:sz w:val="22"/>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color w:val="000000"/>
        </w:rPr>
        <w:t>“</w:t>
      </w:r>
      <w:r>
        <w:rPr>
          <w:rFonts w:ascii="Times New Roman;serif" w:hAnsi="Times New Roman;serif"/>
          <w:b/>
          <w:color w:val="000000"/>
          <w:sz w:val="22"/>
        </w:rPr>
        <w:t>Communications</w:t>
      </w:r>
      <w:r>
        <w:rPr>
          <w:color w:val="000000"/>
        </w:rPr>
        <w:t xml:space="preserve">” </w:t>
      </w:r>
      <w:r>
        <w:rPr>
          <w:rFonts w:ascii="Times New Roman;serif" w:hAnsi="Times New Roman;serif"/>
          <w:b w:val="false"/>
          <w:color w:val="000000"/>
          <w:sz w:val="22"/>
        </w:rPr>
        <w:t>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Each Lender and each Issuing Bank agrees that notice to it (as provided in the next sentence) specifying that Communications have been posted to the Approved Electronic Platform shall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60655"/>
                <wp:effectExtent l="0" t="0" r="0" b="0"/>
                <wp:wrapNone/>
                <wp:docPr id="195" name="Frame1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constitute effective delivery of the Communications to such Lender for purposes of the Loan Documents. Each Lender and Issuing Bank agrees (1) to notify the Administrative Agent in writing (which could be in the form of electronic communication) from time to time of such Lender’s or Issuing Bank’s (as applicable) email address to which the foregoing notice may be sent by electronic transmission and (2) that the foregoing notice may be sent to such email address.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Each of the Lenders, each of the Issuing Banks and each of the Borrowers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Nothing herein shall prejudice the right of the Administrative Agent, any Lender or any Issuing Bank to give any notice or other communication pursuant to any Loan Document in any other manner specified in such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9.15.</w:t>
      </w:r>
      <w:r>
        <w:rPr>
          <w:rFonts w:ascii="Times New Roman;serif" w:hAnsi="Times New Roman;serif"/>
          <w:b w:val="false"/>
          <w:color w:val="000000"/>
          <w:sz w:val="22"/>
          <w:u w:val="single"/>
        </w:rPr>
        <w:t>Borrower Communications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Administrative Agent, the Lenders and the Issuing Banks agree that the Borrowers may, but shall not be obligated to, make any Borrower Communications to the Administrative Agent through an electronic platform chosen by the Administrative Agent to be its electronic transmission system (the “</w:t>
      </w:r>
      <w:r>
        <w:rPr>
          <w:rFonts w:ascii="Times New Roman;serif" w:hAnsi="Times New Roman;serif"/>
          <w:b/>
          <w:color w:val="000000"/>
          <w:sz w:val="22"/>
        </w:rPr>
        <w:t>Approved Borrower Portal</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each of the Issuing Banks and each of the Borrowers acknowledges and agrees that the distribution of material through an electronic medium is not necessarily secure, that the Administrative Agent is not responsible for approving or vetting the representatives or contacts of any Borrower that are added to the Approved Borrower Portal, and that there may be confidentiality and other risks associated with such distribution. Each of the Lenders, each of the Issuing Banks and each of the Borrowers hereby approves distribution of Borrower Communications through the Approved Borrower Portal and understands and assumes the risks of such distribution.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APPROVED BORROWER PORTAL IS PROVIDED “AS IS” AND “AS AVAILABLE”. THE APPLICABLE PARTIES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ANY APPLICABLE PARTY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60655"/>
                <wp:effectExtent l="0" t="0" r="0" b="0"/>
                <wp:wrapNone/>
                <wp:docPr id="196" name="Frame1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color w:val="000000"/>
        </w:rPr>
        <w:t>“</w:t>
      </w:r>
      <w:r>
        <w:rPr>
          <w:rFonts w:ascii="Times New Roman;serif" w:hAnsi="Times New Roman;serif"/>
          <w:b/>
          <w:color w:val="000000"/>
          <w:sz w:val="22"/>
        </w:rPr>
        <w:t>Borrower Communications</w:t>
      </w:r>
      <w:r>
        <w:rPr>
          <w:color w:val="000000"/>
        </w:rPr>
        <w:t xml:space="preserve">” </w:t>
      </w:r>
      <w:r>
        <w:rPr>
          <w:rFonts w:ascii="Times New Roman;serif" w:hAnsi="Times New Roman;serif"/>
          <w:b w:val="false"/>
          <w:color w:val="000000"/>
          <w:sz w:val="22"/>
        </w:rPr>
        <w:t>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Nothing herein shall prejudice the right of any Borrower to give any notice or other communication pursuant to any Loan Document in any other manner specified in such Loan Document.</w:t>
      </w:r>
    </w:p>
    <w:p>
      <w:pPr>
        <w:pStyle w:val="TextBody"/>
        <w:bidi w:val="0"/>
        <w:spacing w:lineRule="auto" w:line="288" w:before="0" w:after="240"/>
        <w:jc w:val="both"/>
        <w:rPr/>
      </w:pPr>
      <w:r>
        <w:rPr>
          <w:rFonts w:ascii="Times New Roman;serif" w:hAnsi="Times New Roman;serif"/>
          <w:b w:val="false"/>
          <w:color w:val="010000"/>
          <w:sz w:val="22"/>
        </w:rPr>
        <w:t>Section 10.</w:t>
      </w:r>
      <w:r>
        <w:rPr>
          <w:rFonts w:ascii="Times New Roman;serif" w:hAnsi="Times New Roman;serif"/>
          <w:b w:val="false"/>
          <w:color w:val="000000"/>
          <w:sz w:val="22"/>
        </w:rP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w:t>
      </w:r>
      <w:r>
        <w:rPr>
          <w:rFonts w:ascii="Times New Roman;serif" w:hAnsi="Times New Roman;serif"/>
          <w:b w:val="false"/>
          <w:color w:val="000000"/>
          <w:sz w:val="22"/>
          <w:u w:val="single"/>
        </w:rPr>
        <w:t>Amendments and Waivers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Neither this Agreement, any other Loan Document, nor any terms hereof or thereof may be amended, supplemented or modified except in accordance with the provisions of this Section 10.1. The Required Lenders and each Loan Party that is a party to the relevant Loan Document may, or, with the written consent of the Required Lenders, the Administrative Agent and each Loan Party that is a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provided, however, that no such waiver and no such amendment, supplement or modification shall: (i) forgive or reduce the principal amount or extend the final scheduled date of maturity of any Loan or LC Disbursement or extend any Lender’s participation interest in any Issuing Banks’s obligations and rights under any Letter of Credit beyond the Revolving Termination Date, extend the scheduled date of any amortization payment in respect of any Term Loan, reduce the stated rate of any interest or fee payable hereunder (except (x) in connection with the waiver of applicability of any post-default increase in interest rates, (y) that any amendment or modification in the financial definitions in this Agreement shall not constitute a reduction in the rate of interest or commitment fee for purposes of this clause (i) and (z) in each case of this clause (i), waivers of, or consents or departures from, mandatory prepayments or mandatory reductions of commitments) or extend or postpone the scheduled date of any payment thereof or increase the amount or extend the expiration date of any Lender’s Commitment, in each case without the consent of each Lender directly affected thereby; (ii) reduce any percentage specified in the definition of Required Lenders or Required Revolving Lenders or change any other provision of any Loan Document specifying the number or percentage of Lenders required to waive, amend or modify any term thereof, release all or substantially all of the Collateral (other than as otherwise permitted hereunder or in the other Loan Documents) under the Security Documents or release all or substantially all of the value of the guarantees (other than as otherwise permitted hereunder or in the other Loan Documents) under the Guarantee Agreement, in each case without the consent of all Lenders or reduce the percentage specified in the definition of Majority Facility Lenders with respect to any Facility without the consent of all Lenders under such Facility; (iii) amend or modify any provision of Section 5.03 of the Collateral Agreement without the consent of each Lender directly and adversely affected thereby; (iv) amend,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60655"/>
                <wp:effectExtent l="0" t="0" r="0" b="0"/>
                <wp:wrapNone/>
                <wp:docPr id="197" name="Frame1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modify or waive any provision of Section 2.17 in a manner that would alter the pro rata reduction of the Revolving Commitments or the pro rata sharing of payments or Section 10.7(a) without the consent of all Lenders, or amend, modify or waive any other provision of Section 2.17 without the consent of the Majority Facility Lenders in respect of each Facility adversely affected thereby; (v) amend, modify or waive any provision of Section 9 without the consent of the Administrative Agent; (vi) amend, modify or waive any provision of Section 2.9 without the consent of the Swingline Lender; (vii) amend, modify or waive any provision of Section 2.13 without the consent of each Issuing Bank; (viii) consent to the assignment or transfer by any Borrower of any of its rights and obligations under this Agreement and the other Loan Documents without the consent of each Lender directly affected thereby (other than as permitted by Section 10.6); or (ix) eliminate or reduce any voting rights under this Section 10.1 without the consent of each Lender directly affected thereby; (x) subordinate the Lien on a material portion of the Collateral, taken as a whole, securing the Obligations to the Lien securing any other Indebtedness, without the written consent of each Lender directly affected thereby (provided that no such Lender’s consent shall be required pursuant to this clause (x) if such Lender is offered a reasonable, bona fide opportunity to participate on a pro rata basis in any priming indebtedness (including any fees payable in connection therewith) permitted to be issued as a result of such waiver, amendment or modification (but, for the avoidance of doubt, the consent of Required Lenders shall still be required)) or (xi) subordinate the Obligations (or any Class thereof) in right of payment to any other Indebtedness, without the written consent of each Lender directly affected thereby (provided that no such Lender’s consent shall be required pursuant to this clause (xi) if such Lender is offered a reasonable, bona fide opportunity to participate on a pro rata basis in any priming indebtedness (including any fees payable in connection therewith) permitted to be issued as a result of such waiver, amendment or modification (but, for the avoidance of doubt, the consent of Required Lenders shall still be required)); provided that, notwithstanding the foregoing, any waiver or amendment of any condition precedent set forth in Section 5.2 as it pertains to any loans under the Revolving Facility shall require the written consent of only the Company and the Required Revolving Lenders (and not the Required Lenders).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waived shall be deemed to be cured and not continuing; but no such waiver shall extend to any subsequent or other Default, or impair any right consequent thereon.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(i)Notwithstanding the foregoing, the Company and the Administrative Agent may enter into any Incremental Facility Amendment in accordance with Section 2.25, any Extension Amendment in accordance with Section 2.24 and any Refinancing Term Amendment in accordance with Section 2.28 and such Extension Amendments, Incremental Facility Amendments and Refinancing Term Amendments shall be effective to amend the terms of this Agreement and the other applicable Loan Documents, in each case, without any further action or consent of any other party to any Loan Document;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(ii)this Agreement and the other Loan Documents may be amended with the written consent of only the Administrative Agent and the Borrowers to the extent necessary in order to evidence and implement the designation or removal of an additional borrower with respect to any Incremental Revolving Facility that is a separate Class in accordance with Section 2.24.</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the foregoing, the Administrative Agent, with the consent of the Borrowers, may amend, modify or supplement any Loan Document without the consent of any Lender or the Required Lenders in order to correct, amend or cure any ambiguity, inconsistency or defect or correct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60655"/>
                <wp:effectExtent l="0" t="0" r="0" b="0"/>
                <wp:wrapNone/>
                <wp:docPr id="198" name="Frame1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typographical error or other manifest error in any Loan Document and such amendment shall become effective without any further action or consent of any other party to any Loan Document if the same is not objected to in writing by the Required Lenders within ten Business Days following receipt of notice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Notwithstanding the foregoing, only the consent of the Required Revolving Lenders shall be necessary to (i) amend, waive or modify the terms and provisions of Section 7.1 and the proviso to clause (B) of Section 8 (and related definitions as used in such Sections, but not as used in other Sections of this Agreement) and no such amendment, waiver or modification of any such terms or provisions (and related definitions as used in such Sections, but not as used in other Sections of this Agreement) shall be permitted without the consent of the Required Revolving Lenders, (ii) amend, modify or waive any condition precedent set forth in Section 5.3 with respect to the making of Revolving Loans or (iii) except for any amendment, waiver or modification that would require the consent of each Revolving Lender adversely affected thereby pursuant to the other provisions of this Section 10.1, amend, modify or waive any provision of this Agreement that solely affects the Revolving Lenders in respect of any Revolving Facility, including the final scheduled maturity, interest, fees, prepayment penalties and voting.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10.2.</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All notices, requests and demands to or upon the respective parties hereto to be effective shall be in writing (including by telecopy or email), and, unless otherwise expressly provided herein (and subject to paragraph (b) below), shall be deemed to have been duly given or made when delivered, or three Business Days after being deposited in the mail, postage prepaid, or, in the case of telecopy notice, when received, addressed as follows in the case of the Company, any Borrower, the Administrative Agent, the Issuing Banks and the Swingline Lender, and as set forth in an Administrative Questionnaire delivered to the Administrative Agent in the case of the Lenders, or to such other address as may be hereafter notified by the respective parties hereto:</w:t>
      </w:r>
    </w:p>
    <w:tbl>
      <w:tblPr>
        <w:tblW w:w="10205" w:type="dxa"/>
        <w:jc w:val="left"/>
        <w:tblInd w:w="0" w:type="dxa"/>
        <w:tblLayout w:type="fixed"/>
        <w:tblCellMar>
          <w:top w:w="28" w:type="dxa"/>
          <w:left w:w="28" w:type="dxa"/>
          <w:bottom w:w="28" w:type="dxa"/>
          <w:right w:w="28" w:type="dxa"/>
        </w:tblCellMar>
      </w:tblPr>
      <w:tblGrid>
        <w:gridCol w:w="1275"/>
        <w:gridCol w:w="942"/>
        <w:gridCol w:w="945"/>
        <w:gridCol w:w="2062"/>
        <w:gridCol w:w="2062"/>
        <w:gridCol w:w="2919"/>
      </w:tblGrid>
      <w:tr>
        <w:trPr/>
        <w:tc>
          <w:tcPr>
            <w:tcW w:w="1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r>
      <w:tr>
        <w:trPr/>
        <w:tc>
          <w:tcPr>
            <w:tcW w:w="316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or any Borrower: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704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Remitly, Inc.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401 Union Street, Suite 1000 Seattle, WA 98101, Attention: General Counsel (email:legal@remitly.com)</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 a copy to (which copy shall not constitute notice):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401 Union Street, Suite 1000 Seattle, WA 98101, Attention: Chief Financial Officer (email:treasury@remitly.com)</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 a copy to (which copy shall not constitute notice):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Davis, Polk and Wardwell LLP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450 Lexington Avenue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NY 10017</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Robert Smith</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212-450-3150</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robert.smith@davispolk.com</w:t>
            </w:r>
          </w:p>
        </w:tc>
      </w:tr>
      <w:tr>
        <w:trPr/>
        <w:tc>
          <w:tcPr>
            <w:tcW w:w="31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The Administrative Agent from any Borrower:</w:t>
            </w:r>
          </w:p>
        </w:tc>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To the address or addresses separately provided to the Borrowers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60655"/>
                <wp:effectExtent l="0" t="0" r="0" b="0"/>
                <wp:wrapNone/>
                <wp:docPr id="199" name="Frame1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14"/>
        <w:gridCol w:w="1331"/>
        <w:gridCol w:w="1333"/>
        <w:gridCol w:w="1765"/>
        <w:gridCol w:w="1764"/>
        <w:gridCol w:w="2498"/>
      </w:tblGrid>
      <w:tr>
        <w:trPr/>
        <w:tc>
          <w:tcPr>
            <w:tcW w:w="1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Administrative Agent from any Lender: </w:t>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To the address or addresses separately provided to the Lenders</w:t>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Any Issuing Bank:</w:t>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To the address or addresses separately provided to the Borrowers</w:t>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Swingline Lender: </w:t>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To the address or addresses separately provided to the Borrowers</w:t>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The Collateral Agent:</w:t>
            </w:r>
          </w:p>
        </w:tc>
        <w:tc>
          <w:tcPr>
            <w:tcW w:w="60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CIB DMO WLO</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Mail code NY1-C413</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 CMC, Brooklyn, NY, 11245-0001</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United States</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Email: ib.collateral.services@jpmchase.com</w:t>
            </w:r>
          </w:p>
        </w:tc>
      </w:tr>
    </w:tbl>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provided that any notice, request or demand to or upon the Administrative Agent or the Lenders shall not be effective until received. Notices delivered through Approved Electronic Platforms or Approved Borrower Portals, to the extent provided in paragraph (b) below, shall be effective as provided in said paragraph (b).</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Notices and other communications to any Borrower, any Loan Party, the Lenders, the Administrative Agent and the Issuing Banks hereunder may be delivered or furnished by using Approved Electronic Platforms or Approved Borrower Portals (as applicable), in each case, pursuant to procedures approved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pursuant to Section 2 unless otherwise agreed by the Administrative Agent and the applicable Lender. The Administrative Agent or the applicable Borrower may, in its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Any party hereto may change its address or telecopy number for notices and other communications hereunder by notice to the other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10.3.</w:t>
      </w:r>
      <w:r>
        <w:rPr>
          <w:rFonts w:ascii="Times New Roman;serif" w:hAnsi="Times New Roman;serif"/>
          <w:b w:val="false"/>
          <w:color w:val="000000"/>
          <w:sz w:val="22"/>
          <w:u w:val="single"/>
        </w:rPr>
        <w:t>No Waiver; Cumulative Remedies</w:t>
      </w:r>
      <w:r>
        <w:rPr>
          <w:rFonts w:ascii="Times New Roman;serif" w:hAnsi="Times New Roman;serif"/>
          <w:b w:val="false"/>
          <w:color w:val="000000"/>
          <w:sz w:val="22"/>
        </w:rPr>
        <w:t xml:space="preserve">.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60655"/>
                <wp:effectExtent l="0" t="0" r="0" b="0"/>
                <wp:wrapNone/>
                <wp:docPr id="200" name="Frame2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herein provided are cumulative and not exclusive of any rights, remedies, powers and privileges provided by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10.4.</w:t>
      </w:r>
      <w:r>
        <w:rPr>
          <w:rFonts w:ascii="Times New Roman;serif" w:hAnsi="Times New Roman;serif"/>
          <w:b w:val="false"/>
          <w:color w:val="000000"/>
          <w:sz w:val="22"/>
          <w:u w:val="single"/>
        </w:rPr>
        <w:t>Survival of Representations and Warranties</w:t>
      </w:r>
      <w:r>
        <w:rPr>
          <w:rFonts w:ascii="Times New Roman;serif" w:hAnsi="Times New Roman;serif"/>
          <w:b w:val="false"/>
          <w:color w:val="000000"/>
          <w:sz w:val="22"/>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until the respective maturity dates of the Facilities.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10.5.</w:t>
      </w:r>
      <w:r>
        <w:rPr>
          <w:rFonts w:ascii="Times New Roman;serif" w:hAnsi="Times New Roman;serif"/>
          <w:b w:val="false"/>
          <w:color w:val="000000"/>
          <w:sz w:val="22"/>
          <w:u w:val="single"/>
        </w:rPr>
        <w:t>Expenses; Limitation of Liability; Indemnity, Etc.</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i/>
          <w:color w:val="000000"/>
          <w:sz w:val="22"/>
        </w:rPr>
        <w:t>Expenses</w:t>
      </w:r>
      <w:r>
        <w:rPr>
          <w:rFonts w:ascii="Times New Roman;serif" w:hAnsi="Times New Roman;serif"/>
          <w:b w:val="false"/>
          <w:color w:val="000000"/>
          <w:sz w:val="22"/>
        </w:rPr>
        <w:t xml:space="preserve">. Each Borrower agrees (a) within 30 days following presentation of a summary statement, to reimburse the Administrative Agent for its reasonable and invoiced out-of-pocket expenses that have been incurred in connection with the development, preparation, execution, delivery and administration of, and any amendment, supplement, waiver or modification to, this Agreement and the other Loan Documents and the consummation of the transactions contemplated hereby and thereby (limited, in the case of legal fees, to the reasonable fees, charges and disbursements of one firm of counsel to the Administrative Agent and Lenders, as a whole, and of a single local counsel in each appropriate jurisdiction (which may include, a single special counsel acting in multiple jurisdictions) for the Administrative Agent and Lenders, as a whole (and, in the case of an actual or perceived conflict of interest, of another firm of counsel (and, if applicable, another local counsel in each appropriate jurisdiction) for all similarly affected persons)), (b) within 30 days following presentation of a summary statement, to pay or reimburse each Lender and the Administrative Agent for all its reasonable and invoiced out-of-pocket costs and expenses incurred in connection with the enforcement or preservation of any rights under this Agreement, the other Loan Documents and any such other documents, including all such reasonable out-of-pocket expenses incurred during any workout, restructuring or negotiations in respect of such Loans (limited, in the case of legal fees, to the reasonable fees, charges and disbursements of one firm of counsel to the Administrative Agent and Lenders, as a whole, and of a single local counsel in each appropriate jurisdiction (which may include, a single special counsel acting in multiple jurisdictions) for the Administrative Agent and Lenders, as a whole (and, in the case of an actual or perceived conflict of interest, of another firm of counsel (and, if applicable, another local counsel in each appropriate jurisdiction) for all similarly affected persons)), </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i/>
          <w:color w:val="000000"/>
          <w:sz w:val="22"/>
        </w:rPr>
        <w:t>Limitation of Liability</w:t>
      </w:r>
      <w:r>
        <w:rPr>
          <w:rFonts w:ascii="Times New Roman;serif" w:hAnsi="Times New Roman;serif"/>
          <w:b w:val="false"/>
          <w:color w:val="000000"/>
          <w:sz w:val="22"/>
        </w:rPr>
        <w:t>. None of the Administrative Agent, any Arranger or any Lender, or any Related Party of any of the foregoing Persons (each such Person being called a “</w:t>
      </w:r>
      <w:r>
        <w:rPr>
          <w:rFonts w:ascii="Times New Roman;serif" w:hAnsi="Times New Roman;serif"/>
          <w:b/>
          <w:color w:val="000000"/>
          <w:sz w:val="22"/>
        </w:rPr>
        <w:t>Lender-Related Person</w:t>
      </w:r>
      <w:r>
        <w:rPr>
          <w:color w:val="000000"/>
        </w:rPr>
        <w:t>”</w:t>
      </w:r>
      <w:r>
        <w:rPr>
          <w:rFonts w:ascii="Times New Roman;serif" w:hAnsi="Times New Roman;serif"/>
          <w:b w:val="false"/>
          <w:color w:val="000000"/>
          <w:sz w:val="22"/>
        </w:rPr>
        <w:t>) shall be liable for any damages arising from the use by others of information or other materials obtained through electronic, telecommunications or other information transmission systems (including the Internet, any Approved Electronic Platform and any Approved Borrower Portal), except to the extent any such damages are found by a final and nonappealable decision of a court of competent jurisdiction to have resulted from the gross negligence, bad faith or willful misconduct of such Lender-Related Person. To the fullest extent permitted by applicable law, (i) each party hereto agrees that it shall not assert, and hereby waives, any claim against any other party hereto, the Company, any Lender-Related Person or any of their respective Related Parties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provided that the foregoing shall not limit the obligations of each Borrower under this Section 10.5 in respect of any such damages claimed against the Indemnitees by Persons other than Indemnitees.</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60655"/>
                <wp:effectExtent l="0" t="0" r="0" b="0"/>
                <wp:wrapNone/>
                <wp:docPr id="201" name="Frame2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i/>
          <w:color w:val="000000"/>
          <w:sz w:val="22"/>
        </w:rPr>
        <w:t>Indemnity</w:t>
      </w:r>
      <w:r>
        <w:rPr>
          <w:rFonts w:ascii="Times New Roman;serif" w:hAnsi="Times New Roman;serif"/>
          <w:b w:val="false"/>
          <w:color w:val="000000"/>
          <w:sz w:val="22"/>
        </w:rPr>
        <w:t>. Each Borrower shall indemnify and hold harmless each Lender, each Agent and the Administrative Agent and their respective Related Parties (each, an “</w:t>
      </w:r>
      <w:r>
        <w:rPr>
          <w:rFonts w:ascii="Times New Roman;serif" w:hAnsi="Times New Roman;serif"/>
          <w:b/>
          <w:color w:val="000000"/>
          <w:sz w:val="22"/>
        </w:rPr>
        <w:t>Indemnitee</w:t>
      </w:r>
      <w:r>
        <w:rPr>
          <w:color w:val="000000"/>
        </w:rPr>
        <w:t>”</w:t>
      </w:r>
      <w:r>
        <w:rPr>
          <w:rFonts w:ascii="Times New Roman;serif" w:hAnsi="Times New Roman;serif"/>
          <w:b w:val="false"/>
          <w:color w:val="000000"/>
          <w:sz w:val="22"/>
        </w:rPr>
        <w:t>) from and against, and hold each Indemnitee harmless from, any and all losses, claims (including intraparty claims), demands, damages and liabilities (“</w:t>
      </w:r>
      <w:r>
        <w:rPr>
          <w:rFonts w:ascii="Times New Roman;serif" w:hAnsi="Times New Roman;serif"/>
          <w:b/>
          <w:color w:val="000000"/>
          <w:sz w:val="22"/>
        </w:rPr>
        <w:t>Liabilities</w:t>
      </w:r>
      <w:r>
        <w:rPr>
          <w:color w:val="000000"/>
        </w:rPr>
        <w:t>”</w:t>
      </w:r>
      <w:r>
        <w:rPr>
          <w:rFonts w:ascii="Times New Roman;serif" w:hAnsi="Times New Roman;serif"/>
          <w:b w:val="false"/>
          <w:color w:val="000000"/>
          <w:sz w:val="22"/>
        </w:rPr>
        <w:t>) to which any such Indemnitee may become subject arising out of or in connection with this Agreement,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any Loan Documents, the transactions contemplated hereby or thereby, or any actual or prospective claim, litigation, investigation, arbitration or proceeding relating to any of the foregoing (including in relation to enforcing the terms of this paragraph) (each, a “</w:t>
      </w:r>
      <w:r>
        <w:rPr>
          <w:rFonts w:ascii="Times New Roman;serif" w:hAnsi="Times New Roman;serif"/>
          <w:b/>
          <w:color w:val="000000"/>
          <w:sz w:val="22"/>
        </w:rPr>
        <w:t>Proceeding</w:t>
      </w:r>
      <w:r>
        <w:rPr>
          <w:color w:val="000000"/>
        </w:rPr>
        <w:t>”</w:t>
      </w:r>
      <w:r>
        <w:rPr>
          <w:rFonts w:ascii="Times New Roman;serif" w:hAnsi="Times New Roman;serif"/>
          <w:b w:val="false"/>
          <w:color w:val="000000"/>
          <w:sz w:val="22"/>
        </w:rPr>
        <w:t xml:space="preserve">), regardless of whether any Indemnitee is a party thereto, whether or not such Proceedings are brought by the Company, its equity holders, Related Parties, Affiliates, creditors or any other person, and to reimburse each Indemnitee from time to time, within 30 days following the presentation of a summary statement, for any reasonable and invoiced out-of-pocket legal expenses of one firm of counsel for all such Indemnitees, taken as a whole, and of a single local counsel in each appropriate jurisdiction (which may include a single special counsel acting in multiple jurisdictions) for all such Indemnitees, taken as a whole (and, in the case of an actual or perceived conflict of interest, of another firm of counsel (and, if applicable, another firm of local counsel in each appropriate jurisdiction) for all similarly affected Indemnitees), in connection with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indemnity will not, as to any Indemnitee, apply to Liabilities or related expenses to the extent they (i) are found by a final, non-appealable judgment of a court of competent jurisdiction to arise from the willful misconduct, bad faith or gross negligence of such Indemnitee or its Related Parties, (ii) are found by a final, non-appealable judgment of a court of competent jurisdiction to result from a material breach of the obligations of such Indemnitee or any such Indemnitee’s Related Parties under this Agreement or (iii) result from any Proceeding that does not involve an act or omission by the Company or its Affiliates and that is brought by an Indemnitee or Related Party against any other Indemnitee or Related Party (other than any claims against any Indemnitee in its capacity or in fulfilling its role as an agent or arranger or any similar role in connection with this Agreement). The agreements in this Section 10.5 shall survive repayment of the Loans and all other amounts payable hereunder and termination of this Agreement. This Section 10.5(c) shall not apply with respect to Taxes other than any Taxes that represent losses, claims or damages arising from any non-Tax claim. </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i/>
          <w:color w:val="000000"/>
          <w:sz w:val="22"/>
        </w:rPr>
        <w:t>Lender Reimbursement</w:t>
      </w:r>
      <w:r>
        <w:rPr>
          <w:rFonts w:ascii="Times New Roman;serif" w:hAnsi="Times New Roman;serif"/>
          <w:b w:val="false"/>
          <w:color w:val="000000"/>
          <w:sz w:val="22"/>
        </w:rPr>
        <w:t>. Each Lender severally agrees to pay any amount required to be paid by each Borrower under paragraphs (a), (b) or (c) of this Section 10.5 to the Administrative Agent, the Collateral Agent, the Swingline Lender, each Issuing Bank and each Related Party of any of the foregoing Persons (each, an “</w:t>
      </w:r>
      <w:r>
        <w:rPr>
          <w:rFonts w:ascii="Times New Roman;serif" w:hAnsi="Times New Roman;serif"/>
          <w:b/>
          <w:color w:val="000000"/>
          <w:sz w:val="22"/>
        </w:rPr>
        <w:t>Agent-Related Person</w:t>
      </w:r>
      <w:r>
        <w:rPr>
          <w:color w:val="000000"/>
        </w:rPr>
        <w:t>”</w:t>
      </w:r>
      <w:r>
        <w:rPr>
          <w:rFonts w:ascii="Times New Roman;serif" w:hAnsi="Times New Roman;serif"/>
          <w:b w:val="false"/>
          <w:color w:val="000000"/>
          <w:sz w:val="22"/>
        </w:rPr>
        <w:t xml:space="preserve">) (to the extent not reimbursed by such Borrower and without limiting the obligation of such Borrower to do so), ratably according to their respective Aggregate Exposure Percentages on the date on which such payment is sought under this Section (or, if such payment is sought after the date upon which the Commitments shall have terminated and the Loans shall have been paid in full, ratably in accordance with their respective Aggregate Exposure Percentages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the Loans,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unreimbursed expense or Liability or related expense, as the case may be, was incurred by or asserted against such Agent-Related Person in its capacity as such; </w:t>
      </w:r>
      <w:r>
        <w:rPr>
          <w:rFonts w:ascii="Times New Roman;serif" w:hAnsi="Times New Roman;serif"/>
          <w:b w:val="false"/>
          <w:i/>
          <w:color w:val="000000"/>
          <w:sz w:val="22"/>
        </w:rPr>
        <w:t>provided further</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60655"/>
                <wp:effectExtent l="0" t="0" r="0" b="0"/>
                <wp:wrapNone/>
                <wp:docPr id="202" name="Frame2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pStyle w:val="TextBody"/>
        <w:bidi w:val="0"/>
        <w:spacing w:lineRule="auto" w:line="288" w:before="0" w:after="240"/>
        <w:ind w:left="0" w:right="0" w:firstLine="936"/>
        <w:jc w:val="both"/>
        <w:rPr/>
      </w:pPr>
      <w:r>
        <w:rPr>
          <w:rFonts w:ascii="Times New Roman;serif" w:hAnsi="Times New Roman;serif"/>
          <w:b w:val="false"/>
          <w:color w:val="000000"/>
          <w:sz w:val="22"/>
        </w:rPr>
        <w:t>(e)</w:t>
      </w:r>
      <w:r>
        <w:rPr>
          <w:rFonts w:ascii="Times New Roman;serif" w:hAnsi="Times New Roman;serif"/>
          <w:b w:val="false"/>
          <w:i/>
          <w:color w:val="000000"/>
          <w:sz w:val="22"/>
        </w:rPr>
        <w:t>Payments</w:t>
      </w:r>
      <w:r>
        <w:rPr>
          <w:rFonts w:ascii="Times New Roman;serif" w:hAnsi="Times New Roman;serif"/>
          <w:b w:val="false"/>
          <w:color w:val="000000"/>
          <w:sz w:val="22"/>
        </w:rPr>
        <w:t>. All amounts due under this Section 10.5 shall be payable not later than 30 days after written demand therefor.</w:t>
      </w:r>
    </w:p>
    <w:p>
      <w:pPr>
        <w:pStyle w:val="TextBody"/>
        <w:bidi w:val="0"/>
        <w:spacing w:lineRule="auto" w:line="288" w:before="0" w:after="240"/>
        <w:ind w:left="0" w:right="0" w:firstLine="720"/>
        <w:jc w:val="both"/>
        <w:rPr/>
      </w:pPr>
      <w:r>
        <w:rPr>
          <w:rFonts w:ascii="Times New Roman;serif" w:hAnsi="Times New Roman;serif"/>
          <w:b w:val="false"/>
          <w:color w:val="000000"/>
          <w:sz w:val="22"/>
        </w:rPr>
        <w:t>10.6.</w:t>
      </w:r>
      <w:r>
        <w:rPr>
          <w:rFonts w:ascii="Times New Roman;serif" w:hAnsi="Times New Roman;serif"/>
          <w:b w:val="false"/>
          <w:color w:val="000000"/>
          <w:sz w:val="22"/>
          <w:u w:val="single"/>
        </w:rPr>
        <w:t>Successors and Assigns; Participations and Assignments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shall be binding upon and inure to the benefit of the Borrowers, the Lenders, the Administrative Agent, all future holders of the Loans and their respective successors and assigns (including any Affiliate of an Issuing Bank that issues any Letter of Credit), except that no Borrower may assign or transfer any of its rights or obligations under this Agreement without the prior written consent of each Lender (except in a transaction permitted by Section 7.4).</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Any Lender may, without the consent of any Borrower or the Administrative Agent, in accordance with applicable law, at any time sell to one or more banks, financial institutions or other entities other than an Ineligible Institution (each, a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 xml:space="preserve">) participating interests in any Loan owing to such Lender, any Commitment of such Lender or any other interest or obligation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or other obligation for all purposes under this Agreement and the other Loan Documents, the Participant will have no proprietary interest in the benefit of this Agreement or in any monies received by the Lender under or in relation to this Agreement (including in the bankruptcy or similar event of the Lender) and the Borrowers, the other Lenders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reduce the principal of or interest on, the Loans, the LC Disbursements or any fees payable hereunder, postpone the date of any scheduled amortization payment or the final maturity of the Loans or LC Disbursements, in each case to the extent subject to such participation. Any agreement or instrument pursuant to which a Lender sells such a participation shall provide that such Lender shall retain the sole right to enforce this Agreement and the other Loan Documents and, other than as set forth in the preceding sentence, to approve any amendment, modification or waiver of any provision of this Agreement or any other Loan Document. Each Borrower also agrees that each Participant shall be entitled to the benefits of Sections 2.18, 2.19 and 2.20 (subject to the requirements and limitations in Section 2.19) with respect to its participation in the Commitments and the Loans outstanding from time to time as if it was a Lender; provided that such Participant (i) agrees to be subject to the provisions of Sections 2.21 and 2.22 as if it were an assignee under paragraph (c) of this Section and (ii) shall not be entitled to receive any greater amount pursuant to Section 2.18 or 2.19 than the transferor Lender would have been entitled to receive in respect of the amount of the participation transferred by such transferor Lender to such Participant had no such transfer occurred, except to the extent such entitlement to receive a greater amount results from a change in law that occurs after the Participant acquired the applicable participation. Each Lender that sells a participation, acting solely for this purpose as a non-fiduciary agent of the Borrowers, shall maintain a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60655"/>
                <wp:effectExtent l="0" t="0" r="0" b="0"/>
                <wp:wrapNone/>
                <wp:docPr id="203" name="Frame2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register on which it enters the name and address of each Participant and the principal amounts (and stated interest) of each Participant’s interest in the Loans, Letters of Credit or other obligations under this Agreement (the “</w:t>
      </w:r>
      <w:r>
        <w:rPr>
          <w:rFonts w:ascii="Times New Roman;serif" w:hAnsi="Times New Roman;serif"/>
          <w:b/>
          <w:color w:val="000000"/>
          <w:sz w:val="22"/>
        </w:rPr>
        <w:t>Participant Register</w:t>
      </w:r>
      <w:r>
        <w:rPr>
          <w:color w:val="000000"/>
        </w:rPr>
        <w:t>”</w:t>
      </w:r>
      <w:r>
        <w:rPr>
          <w:rFonts w:ascii="Times New Roman;serif" w:hAnsi="Times New Roman;serif"/>
          <w:b w:val="false"/>
          <w:color w:val="000000"/>
          <w:sz w:val="22"/>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and the proposed United States Treasury Regulations Section 1.163-5(b). The entries in the Participant Register shall be conclusive absent manifest error, and such Lender shall treat each person whose name is recorded in the Participant Register pursuant to the terms hereof as the owner of such participation for all purposes of this Agreement, notwithstanding notice to the contrary. For the avoidance of doubt, the Administrative Agent (in its capacity as Administrative Agent) shall have no responsibility for maintaining a Participant Register.</w:t>
      </w:r>
    </w:p>
    <w:p>
      <w:pPr>
        <w:pStyle w:val="TextBody"/>
        <w:bidi w:val="0"/>
        <w:spacing w:lineRule="auto" w:line="288" w:before="0" w:after="240"/>
        <w:ind w:left="0" w:right="0" w:firstLine="720"/>
        <w:jc w:val="both"/>
        <w:rPr/>
      </w:pPr>
      <w:r>
        <w:rPr>
          <w:rFonts w:ascii="Times New Roman;serif" w:hAnsi="Times New Roman;serif"/>
          <w:b w:val="false"/>
          <w:color w:val="000000"/>
          <w:sz w:val="22"/>
        </w:rPr>
        <w:t>As used herein, “</w:t>
      </w:r>
      <w:r>
        <w:rPr>
          <w:rFonts w:ascii="Times New Roman;serif" w:hAnsi="Times New Roman;serif"/>
          <w:b/>
          <w:color w:val="000000"/>
          <w:sz w:val="22"/>
        </w:rPr>
        <w:t>Ineligible Institution</w:t>
      </w:r>
      <w:r>
        <w:rPr>
          <w:color w:val="000000"/>
        </w:rPr>
        <w:t xml:space="preserve">” </w:t>
      </w:r>
      <w:r>
        <w:rPr>
          <w:rFonts w:ascii="Times New Roman;serif" w:hAnsi="Times New Roman;serif"/>
          <w:b w:val="false"/>
          <w:color w:val="000000"/>
          <w:sz w:val="22"/>
        </w:rPr>
        <w:t>means (a) a natural person, (b) a Disqualified Lender, (c) a holding company, investment vehicle or trust for, or owned and operated for the primary benefit of, a natural person or relative(s) thereof, (d) a Defaulting Lender or (e) any of the Company and its Subsidiaries and Affiliates.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Any Lender (an “</w:t>
      </w:r>
      <w:r>
        <w:rPr>
          <w:rFonts w:ascii="Times New Roman;serif" w:hAnsi="Times New Roman;serif"/>
          <w:b/>
          <w:color w:val="000000"/>
          <w:sz w:val="22"/>
        </w:rPr>
        <w:t>Assignor</w:t>
      </w:r>
      <w:r>
        <w:rPr>
          <w:color w:val="000000"/>
        </w:rPr>
        <w:t>”</w:t>
      </w:r>
      <w:r>
        <w:rPr>
          <w:rFonts w:ascii="Times New Roman;serif" w:hAnsi="Times New Roman;serif"/>
          <w:b w:val="false"/>
          <w:color w:val="000000"/>
          <w:sz w:val="22"/>
        </w:rPr>
        <w:t>) may, in accordance with applicable law, at any time and from time to time assign (subject to clause (iii) of the proviso below) to any other Lender, any Affiliate of any Lender or any Lender Affiliate (other than any Ineligible Institution) or, with the consent of the Borrowers and the Administrative Agent (which, in each case, shall not be unreasonably withheld or delayed), to an additional bank, financial institution or other entity other than an Ineligible Institution (an “</w:t>
      </w:r>
      <w:r>
        <w:rPr>
          <w:rFonts w:ascii="Times New Roman;serif" w:hAnsi="Times New Roman;serif"/>
          <w:b/>
          <w:color w:val="000000"/>
          <w:sz w:val="22"/>
        </w:rPr>
        <w:t>Assignee</w:t>
      </w:r>
      <w:r>
        <w:rPr>
          <w:color w:val="000000"/>
        </w:rPr>
        <w:t>”</w:t>
      </w:r>
      <w:r>
        <w:rPr>
          <w:rFonts w:ascii="Times New Roman;serif" w:hAnsi="Times New Roman;serif"/>
          <w:b w:val="false"/>
          <w:color w:val="000000"/>
          <w:sz w:val="22"/>
        </w:rPr>
        <w:t xml:space="preserve">) all or any part of its rights and obligations under this Agreement pursuant to an Assignment and Assumption, executed by such Assignee, such Assignor and any other Person whose consent is required pursuant to this paragraph, and delivered to the Administrative Agent for its acceptance and recording in the Register; provided that (i) no such assignment to an Assignee (other than any Lender, any Affiliate of any Lender or any Lender Affiliate), unless otherwise agreed to by the Borrowers and Administrative Agent, shall be in an aggregate principal amount of less than $10,000,000 in the case of Revolving Commitments or $500,000 in the case of Term Loans (provided that assignments made by any Lender on the same day to an Assignee and its Affiliates (including any Lender Affiliates) and contemporaneous assignments by Lender Affiliates to a single Assignee may be treated as a single assignment for purposes of satisfying any such minimum assignment amount requirement (other than in the case of an assignment of all of a Lender’s interests under the applicable Facility)), (ii) [reserved], (iii) no Lender may assign any interest in the Revolving Facility (other than, with the consent of the Administrative Agent, not to be unreasonably withheld or delayed, to an Affiliate of such Lender or, to another Lender then holding Revolving Commitments) without the consent of the Administrative Agent, each Issuing Bank, the Swingline Lender and the Borrowers (not to be unreasonably withheld or delayed) and (iv) each Borrower shall be deemed to have consented to an assignment if it has not objected thereto by written notice to the Administrative Agent within ten Business Days of its receipt of notice thereof. For purposes of the proviso contained in the preceding sentence, the amount described therein shall be aggregated in respect of each Lender and its related Lender Affiliates, if any (other than in the case of an assignment of all of a Lender’s interests under this Agreement). Any such assignment need not be ratable as among the Facilities. Upon such execution, delivery, acceptance and recording, from and after the effective date determined pursuant to such Assignment and Assumption, (x) the Assignee thereunder shall be deemed a party hereto and, to the extent provided in such Assignment and Assumption, have the rights and obligations of a Lender hereunder with a Commitment and/or Loans as set forth therein, and (y) the Assignor thereunder shall, to the extent provided in such Assignment and Assumption, be released from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60655"/>
                <wp:effectExtent l="0" t="0" r="0" b="0"/>
                <wp:wrapNone/>
                <wp:docPr id="204" name="Frame2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its obligations under this Agreement (and, in the case of an Assignment and Assumption covering all of an Assignor’s rights and obligations under this Agreement, such Assignor shall cease to be a party hereto). Notwithstanding any provision of this Section 10.6, the consent of the Borrowers shall not be required for any assignment that occurs (I) when an Event of Default shall have occurred and be continuing or (II) in connection with the primary syndication of any Facility.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the Borrowers may, in their sole discretion, withhold consent to any assignment to any Person that is not expressly a Disqualified Lender but is known by such Borrower to be an Affiliate of a Disqualified Lender without regard as to whether such Person is identifiable as an Affiliate of a Disqualified Lender on the basis of such Affiliate’s name.</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Administrative Agent shall, on behalf of the Borrowers, maintain at its address referred to in Section 10.2, a copy of each Assignment and Assumption delivered to it and a register (the “</w:t>
      </w:r>
      <w:r>
        <w:rPr>
          <w:rFonts w:ascii="Times New Roman;serif" w:hAnsi="Times New Roman;serif"/>
          <w:b/>
          <w:color w:val="000000"/>
          <w:sz w:val="22"/>
        </w:rPr>
        <w:t>Register</w:t>
      </w:r>
      <w:r>
        <w:rPr>
          <w:color w:val="000000"/>
        </w:rPr>
        <w:t>”</w:t>
      </w:r>
      <w:r>
        <w:rPr>
          <w:rFonts w:ascii="Times New Roman;serif" w:hAnsi="Times New Roman;serif"/>
          <w:b w:val="false"/>
          <w:color w:val="000000"/>
          <w:sz w:val="22"/>
        </w:rPr>
        <w:t>) for the recordation of the names and addresses of the Lenders and the Commitment of, and the principal amount (and stated interest) of the Loans and LC Disbursements owing to, each Lender, the Issuing Banks from time to time. The entries in the Register shall be conclusive absent manifest error, and each Borrower, each other Loan Party, the Administrative Agent and the Lenders shall treat each Person whose name is recorded in the Register as the owner of the Loans and any Notes evidencing the Loans recorded therein for all purposes of this Agreement, notwithstanding notice to the contrary. Any assignment of any Loan, whether or not evidenced by a Note, shall be effective only upon appropriate entries with respect thereto being made in the Register (and each Note shall expressly so provide). The Register shall be available for inspection by any Lender at any reasonable time and from time to time upon reasonable prior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Upon its receipt of an Assignment and Assumption executed by an Assignor, an Assignee and any other Person whose consent is required by Section 10.6(c), together with payment to the Administrative Agent of a registration and processing fee of $3,500 (which shall not be an obligation of the Borrowers), the Administrative Agent shall (i) promptly accept such Assignment and Assumption and (ii) record the information contained therein in the Register on the effective date determined pursuant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 </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For avoidance of doubt, the parties to this Agreement acknowledge that the provisions of this Section 10.6 concerning assignments of Loans and Notes relate only to absolute assignments and that such provisions do not prohibit assignments creating security interests, including any pledge or assignment by a Lender of any Loan or Note to any Federal Reserve Bank or other central banking authority having jurisdiction over such Lender in accordance with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Each Borrower, upon receipt of written notice from the relevant Lender, agrees to issue Notes to any Lender requiring Notes to facilitate transactions of the type described in paragraph (g) above.</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60655"/>
                <wp:effectExtent l="0" t="0" r="0" b="0"/>
                <wp:wrapNone/>
                <wp:docPr id="205" name="Frame2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Any assignment or transfer by a Lender of rights or obligations under this Agreement that does not comply with this Section 10.6, whether or not such assignment or transfer is reflected in the Register, shall be treated for purposes of this Agreement as a sale by such Lender of a participation in such rights and obligations in accordance with paragraph (b) of this Section 10.6.</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The Company shall have the right (i) at the sole expense of any Lender that is a Disqualified Lender and/or the Person that assigned its Commitments and/or Loans to such Disqualified Lender or to any Lender to the extent any Borrower’s consent to an assignment to such Lender was requested pursuant to Section 10.6 and not obtained, to seek to replace or terminate such Disqualified Lender or other Lender as a Lender by causing such Lender to (and such Lender shall be obligated to) assign (without recourse) any or all of its Commitments and/or Loans and its rights and obligations under this Agreement to one or more assignees (which may, at the Company’s sole option, be or include the Company or any Subsidiary to the extent such assignment would be otherwise permitted pursuant to Section 10.6(k)); provided that (1) the Administrative Agent shall not have any obligation to the Company to find such a replacement Lender, (2) the Company shall not have any obligation to such Disqualified Lender or other Lender or any other Person to find such a replacement Lender or accept or consent to any such assignment to itself or any other Person and (3) the assignee (or, at its option, the Company) shall pay to such Disqualified Lender or other Lender concurrently with such assignment an amount (which payment shall be deemed payment in full) equal to the lesser of (x) the face principal amount of the Commitments and/or Loans so assigned and (y) solely with respect to any Disqualified Lender, the amount that such Disqualified Lender paid to acquire such Commitments and/or Loans, in each case without interest thereon (it being understood that if the effective date of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Company)), or (ii) to prepay any Loans held by such Disqualified Lender or other Lender, in whole or in part, by paying an amount (which payment shall be deemed payment in full) equal to the lesser of (x) the face principal amount of the Commitments and/or Loans so prepaid and (y) solely with respect to any Disqualified Lender, the amount that such Disqualified Lender paid to acquire such Loans (in each case without interest thereon) (it being understood that if the effective date of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Company)), and if applicable, terminate the Commitments of such Disqualified Lender, in whole or in part.  In connection with any such replacement, (1) if the Disqualified Lender does not execute and deliver to the Administrative Agent a duly completed Assignment and Assumption and/or any other documentation necessary or appropriate (in the good faith determination of the Administrative Agent or the Company, which determination shall be conclusive) to reflect such replacement by the later of (a) the date on which the replacement Lender executes and delivers such Assignment and Assumption and/or such other documentation and (b) the date as of which the Disqualified Lender shall be paid by the assignee Lender (or, at its option, the Company) the amount required pursuant to this Section 10.6(j), then such Disqualified Lender or other Lender shall be deemed to have executed and delivered such Assignment and Assumption and/or such other documentation as of such date and the Company shall be entitled (but not obligated) to execute and deliver such Assignment and Assumption and/or such other documentation on behalf of such Disqualified Lender or other Lender, and the Administrative Agent shall record such assignment in the Register, (2) each Lender (whether or not then a party hereto) agrees to disclose to the Company the amount that the applicable Disqualified Lender paid to acquire Commitments and/or Loans from such Lender and (3) each Lender that is a Disqualified Lender or other Lender agrees to disclose to the Company the amount it paid to acquire the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60655"/>
                <wp:effectExtent l="0" t="0" r="0" b="0"/>
                <wp:wrapNone/>
                <wp:docPr id="206" name="Frame2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Commitments and/or Loans held by it. The Disqualified Lenders List may be (i) posted to the Lenders on both the “Public Side Information” and the “Private Side Information” portions of the Approved Electronic Platform and (ii) made available to the Lenders upon written request to the Administrative Agent. The Borrowers hereby acknowledge and consent to the posting and/or distribution of the Disqualified Lenders List pursuant to the terms set forth in this Agreement.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 </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Notwithstanding anything to the contrary contained herein, any Lender may, at any time, assign all or a portion of its rights and obligations under this Agreement in respect of its Term Loans to the Company, or any Subsidiary (each, an “</w:t>
      </w:r>
      <w:r>
        <w:rPr>
          <w:rFonts w:ascii="Times New Roman;serif" w:hAnsi="Times New Roman;serif"/>
          <w:b/>
          <w:color w:val="000000"/>
          <w:sz w:val="22"/>
        </w:rPr>
        <w:t>Affiliated Lender</w:t>
      </w:r>
      <w:r>
        <w:rPr>
          <w:color w:val="000000"/>
        </w:rPr>
        <w:t>”</w:t>
      </w:r>
      <w:r>
        <w:rPr>
          <w:rFonts w:ascii="Times New Roman;serif" w:hAnsi="Times New Roman;serif"/>
          <w:b w:val="false"/>
          <w:color w:val="000000"/>
          <w:sz w:val="22"/>
        </w:rPr>
        <w:t>) through (x) Dutch auctions or other offers to purchase open to all Lenders on a pro rata basis in accordance with procedures to be established by the “auction agent” consistent with this Section 10.6(k) or (y) open market purchases on a non-pro rata basis (which purchases may be effected at any price as agreed between such Lender and such Affiliated Lender in their respective sole discretion); provided that: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(i)any Term Loans acquired by any Affiliated Lender shall, to the extent permitted by applicable Requirements of Law, be retired and cancelled immediately upon the acquisition thereof; provided that upon any such retirement and cancellation, the aggregate outstanding principal amount of the Term Loans shall be deemed reduced by the full par value of the aggregate principal amount of the Term Loans so retired and cancelled;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(ii)no Event of Default exists at the time of acceptance of bids for the Dutch Auction or the confirmation of such open market purchase, as applicable, and purchases of Term Loans pursuant to this Section 10.6(k) may not be funded with the proceeds of Revolving Loans;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(iii)no Affiliated Lender shall be required to represent or warrant that it is not in possession of material non-public information with respect to the Borrowers and/or any subsidiary thereof and/or their respective securities in connection with any assignment permitted by this Section 10.6(k).</w:t>
      </w:r>
    </w:p>
    <w:p>
      <w:pPr>
        <w:pStyle w:val="TextBody"/>
        <w:bidi w:val="0"/>
        <w:spacing w:lineRule="auto" w:line="288" w:before="0" w:after="240"/>
        <w:ind w:left="0" w:right="0" w:firstLine="720"/>
        <w:jc w:val="both"/>
        <w:rPr/>
      </w:pPr>
      <w:r>
        <w:rPr>
          <w:rFonts w:ascii="Times New Roman;serif" w:hAnsi="Times New Roman;serif"/>
          <w:b w:val="false"/>
          <w:color w:val="000000"/>
          <w:sz w:val="22"/>
        </w:rPr>
        <w:t>10.7.</w:t>
      </w:r>
      <w:r>
        <w:rPr>
          <w:rFonts w:ascii="Times New Roman;serif" w:hAnsi="Times New Roman;serif"/>
          <w:b w:val="false"/>
          <w:color w:val="000000"/>
          <w:sz w:val="22"/>
          <w:u w:val="single"/>
        </w:rPr>
        <w:t>Adjustments; Set-off</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Except to the extent that (i) this Agreement expressly provides for payments to be allocated to a particular Lender or to the Lenders under a particular Facility (including any payment obtained by a Lender as consideration for any permitted assignment of or permitted sale of a participation in any of its Loans or Commitments hereunder) or (ii) a payment is made in respect of obligations under Lender Hedge Agreements or Lender Cash Management Obligations, if any Lender (a “</w:t>
      </w:r>
      <w:r>
        <w:rPr>
          <w:rFonts w:ascii="Times New Roman;serif" w:hAnsi="Times New Roman;serif"/>
          <w:b/>
          <w:color w:val="000000"/>
          <w:sz w:val="22"/>
        </w:rPr>
        <w:t>Benefitted Lender</w:t>
      </w:r>
      <w:r>
        <w:rPr>
          <w:color w:val="000000"/>
        </w:rPr>
        <w:t>”</w:t>
      </w:r>
      <w:r>
        <w:rPr>
          <w:rFonts w:ascii="Times New Roman;serif" w:hAnsi="Times New Roman;serif"/>
          <w:b w:val="false"/>
          <w:color w:val="000000"/>
          <w:sz w:val="22"/>
        </w:rPr>
        <w:t xml:space="preserve">) shall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Secured Parties, if any, in respect of the Obligations owing to such other Secured Parties, such Benefitted Lender shall purchase for cash from the other Secured Parties a participating interest in such portion of the Obligations owing to each such other Secured Parties, or shall provide such other Secured Parties with the benefits of any such collateral, as shall be necessary to cause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60655"/>
                <wp:effectExtent l="0" t="0" r="0" b="0"/>
                <wp:wrapNone/>
                <wp:docPr id="207" name="Frame2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such Benefitted Lender to share the excess payment or benefits of such collateral ratably with each of the Secured Parties; provided, however, that if all or any portion of such excess payment or benefits is thereafter recovered from such Benefitted Lender, such purchase shall be rescinded, and the purchase price and benefits returned, to the extent of such recovery, but without interest; provided further, that to the extent prohibited by applicable law as described in the definition of “</w:t>
      </w:r>
      <w:r>
        <w:rPr>
          <w:rFonts w:ascii="Times New Roman;serif" w:hAnsi="Times New Roman;serif"/>
          <w:b/>
          <w:color w:val="000000"/>
          <w:sz w:val="22"/>
        </w:rPr>
        <w:t>Excluded Swap Obligation</w:t>
      </w:r>
      <w:r>
        <w:rPr>
          <w:color w:val="000000"/>
        </w:rPr>
        <w:t>”</w:t>
      </w:r>
      <w:r>
        <w:rPr>
          <w:rFonts w:ascii="Times New Roman;serif" w:hAnsi="Times New Roman;serif"/>
          <w:b w:val="false"/>
          <w:color w:val="000000"/>
          <w:sz w:val="22"/>
        </w:rPr>
        <w:t>, no amounts received from, or set off with respect to, any Guarantor shall be applied to any Excluded Swap Obligations of such Guarantor.</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addition to any rights and remedies of the Lenders provided by law, each Lender shall have the right, without prior notice to any Borrower, any such notice being expressly waived by each Borrower to the extent permitted by applicable law, upon the occurrence and during the continuance of an Event of Default,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Affiliate, branch or agency thereof to or for the credit or the account of the Borrower, as the case may be. Each Lender agrees promptly to notify each Borrower and the Administrative Agent after any such setoff and application made by such Lender provided that the failure to give such notice shall not affect the validity of such setoff and application.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10.8.</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by one or more of the parties to this Agreement on any number of separate counterparts, and all of said counterparts taken together shall be deemed to constitute one and the same instrument.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w:t>
      </w:r>
      <w:r>
        <w:rPr>
          <w:rFonts w:ascii="Times New Roman;serif" w:hAnsi="Times New Roman;serif"/>
          <w:b/>
          <w:color w:val="000000"/>
          <w:sz w:val="22"/>
        </w:rPr>
        <w:t>Ancillary Document</w:t>
      </w:r>
      <w:r>
        <w:rPr>
          <w:color w:val="000000"/>
        </w:rPr>
        <w:t>”</w:t>
      </w:r>
      <w:r>
        <w:rPr>
          <w:rFonts w:ascii="Times New Roman;serif" w:hAnsi="Times New Roman;serif"/>
          <w:b w:val="false"/>
          <w:color w:val="000000"/>
          <w:sz w:val="22"/>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nothing herein shall require the Administrative Agent to accept Electronic Signatures in any form or format without its prior written consent and pursuant to procedures approved by it;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without limiting the foregoing, (i) to the extent the Administrative Agent has agreed to accept any Electronic Signature, the Administrative Agent and each of the Lenders shall be entitled to rely on such Electronic Signature purportedly given by or on behalf of the Borrowers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Borrowers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 and/or any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60655"/>
                <wp:effectExtent l="0" t="0" r="0" b="0"/>
                <wp:wrapNone/>
                <wp:docPr id="208" name="Frame2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Borrowers and/or any Loan Party to use any available security measures in connection with the execution, delivery or transmission of any Electronic Signature.</w:t>
      </w:r>
    </w:p>
    <w:p>
      <w:pPr>
        <w:pStyle w:val="TextBody"/>
        <w:bidi w:val="0"/>
        <w:spacing w:lineRule="auto" w:line="288" w:before="0" w:after="240"/>
        <w:ind w:left="0" w:right="0" w:firstLine="720"/>
        <w:jc w:val="both"/>
        <w:rPr/>
      </w:pPr>
      <w:r>
        <w:rPr>
          <w:rFonts w:ascii="Times New Roman;serif" w:hAnsi="Times New Roman;serif"/>
          <w:b w:val="false"/>
          <w:color w:val="000000"/>
          <w:sz w:val="22"/>
        </w:rPr>
        <w:t>10.9.</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10.10.</w:t>
      </w:r>
      <w:r>
        <w:rPr>
          <w:rFonts w:ascii="Times New Roman;serif" w:hAnsi="Times New Roman;serif"/>
          <w:b w:val="false"/>
          <w:color w:val="000000"/>
          <w:sz w:val="22"/>
          <w:u w:val="single"/>
        </w:rPr>
        <w:t>Integration</w:t>
      </w:r>
      <w:r>
        <w:rPr>
          <w:rFonts w:ascii="Times New Roman;serif" w:hAnsi="Times New Roman;serif"/>
          <w:b w:val="false"/>
          <w:color w:val="000000"/>
          <w:sz w:val="22"/>
        </w:rPr>
        <w:t>. This Agreement and the other Loan Documents represent the agreement of the Borrowers, the Administrative Agent and the Lenders with respect to the subject matter hereof, and there are no promises, undertakings, representations or warranties by the Administrative Agent or any Lender relative to subject matter hereof not expressly set forth or referred to herein or in the other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10.11.</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UNDER THIS AGREEMENT AND THE OTHER LOAN DOCUMENTS AND ANY CLAIM, CONTROVERSY OR DISPUTE ARISING UNDER OR RELATED TO THIS AGREEMENT AND THE OTHER LOAN DOCUMENTS WHETHER IN TORT, CONTRACT (AT LAW OR IN EQUITY) OR OTHERWISE, SHALL BE GOVERNED BY, AND CONSTRUED AND INTERPRETED IN ACCORDANCE WITH, THE LAWS OF THE STATE OF NEW YORK.</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10.12.</w:t>
      </w:r>
      <w:r>
        <w:rPr>
          <w:rFonts w:ascii="Times New Roman;serif" w:hAnsi="Times New Roman;serif"/>
          <w:b w:val="false"/>
          <w:color w:val="000000"/>
          <w:sz w:val="22"/>
          <w:u w:val="single"/>
        </w:rPr>
        <w:t>Submission To Jurisdiction; Waivers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Each party hereto hereby irrevocably and unconditionally: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in New York County, the courts of the United States for the Southern District of New York in New York County, and appellate courts from any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60655"/>
                <wp:effectExtent l="0" t="0" r="0" b="0"/>
                <wp:wrapNone/>
                <wp:docPr id="209" name="Frame2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(iii)agrees that service of process in any such action or proceeding may be effected by mailing a copy thereof by registered or certified mail (or any substantially similar form of mail), postage prepaid, to such party, as the case may be at its address set forth in Section 10.2 or at such other address of which the other parties shall have been notified pursuant thereto;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(iv)agrees that nothing herein shall affect the right to effect service of process in any other manner permitted by law or shall limit the right to sue in any other jurisdiction;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(v)waives, to the maximum extent not prohibited by law, any right it may have to claim or recover in any legal action or proceeding referred to in this Section 10.12 any special, exemplary, punitive or consequential damages.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in this Agreement or in any other Loan Document shall (i) affect any right each party hereto may otherwise have to enforce any judgment in any action or proceeding relating to this Agreement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10.13.</w:t>
      </w:r>
      <w:r>
        <w:rPr>
          <w:rFonts w:ascii="Times New Roman;serif" w:hAnsi="Times New Roman;serif"/>
          <w:b w:val="false"/>
          <w:color w:val="000000"/>
          <w:sz w:val="22"/>
          <w:u w:val="single"/>
        </w:rPr>
        <w:t>Releases of Guarantees and Liens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Administrative Agent and the Lenders irrevocably agree that the Lien on any property and any related guarantee obligations will be automatically released (i) (1) to the extent necessary to permit consummation of any transaction not prohibited by any Loan Document, (2) upon any sale or transfer of Collateral or any other transaction permitted or not prohibited hereunder or under the Loan Documents to any Person that is not a Loan Party, (3) to the extent property constituting Collateral is owned by any Guarantors, upon the release of such Guarantor from its obligations under the Guarantee Agreement or in accordance with the succeeding sentence, (4) so long as no Event of Default has occurred and is continuing, to the extent the Collateral becomes Excluded Assets or a Guarantor becomes an Excluded Subsidiary in a transaction permitted hereunder, the primary purpose of which transaction is not to effect the release of such Guarantor or any other Guarantor from its obligations under the Loan Documents, or a Guarantor (other than any Borrower) ceases to be a Subsidiary in a transaction permitted hereunder or (5) that has been consented to in accordance with Section 10.1 and (ii) under the circumstances described in paragraph (b) below, in accordance with the provisions of Section 7.12(g) and (h) of the Collateral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Administrative Agent and the Lenders irrevocably agree that at such time as the Loans, the Reimbursement Obligations and the other obligations under the Loan Documents (other than obligations under or in respect of Lender Hedge Agreements, Lender Cash Management Obligations and contingent indemnity obligations not due and payable) shall have been paid in full, the Commitments have been terminated and no Letters of Credit shall be outstanding (other than Letters of Credit that are cash collateralized or backstopped on terms reasonably satisfactory to the applicable Issuing Bank), the Collateral shall be automatically released from the Liens created by the Security Documents, and the Security Documents and all guarantees and other obligations (other than those expressly stated to survive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60655"/>
                <wp:effectExtent l="0" t="0" r="0" b="0"/>
                <wp:wrapNone/>
                <wp:docPr id="210" name="Frame2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termination) of the Company and each Loan Party under the Security Documents shall automatically terminate, all without delivery of any instrument or performance of any act by any Person.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Administrative Agent and the Lenders irrevocably agree that Liens on assets of the Loan Parties created by the Loan Documents will be automatically terminated and released upon the transfer of such assets to a Foreign Subsidiary that is not a Loan Party pursuant to Section 7.5(q). The Administrative Agent and the Collateral Agent are hereby irrevocably authorized by each Lender (without requirement of notice to or consent of any Lender) to take any action (without consent rights) (including to execute and deliver any instruments, documents, consents, acknowledgements, and agreements necessary or desirable to evidence or confirm the release pursuant to the foregoing provisions of this paragraph) requested by the Company to effect any termination or release described in this paragraph (c).</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Notwithstanding anything to the contrary contained herein or in any other Loan Document, the Administrative Agent and the Collateral Agent are hereby irrevocably authorized by each Lender (without requirement of notice to or consent of any Lender except as expressly required by Section 10.1) to take any action (without consent rights) requested by the Company (including to execute and deliver any instruments, documents, consents, acknowledgements, and agreements necessary or desirable to evidence or confirm the release of any Guarantor or Collateral pursuant to the foregoing provisions of this paragraph) having the effect of releasing any Collateral or Loan Party (other than any Borrower) from its guarantee obligations. Any execution and delivery of documents pursuant to this Section shall be without recourse to or warranty by the Administrative Agent and/or the Collateral Agent. Upon the request of the Collateral Agent or the Administrative Agent at any time, the Required Lenders of the applicable Classes will confirm in writing the Collateral Agent’s and/or the Administrative Agent’s authority to release its interest in particular types or items of property, or to release any Loan Party from its obligations under the Guarantee or its Lien on any Collateral pursuant to this </w:t>
      </w:r>
      <w:r>
        <w:rPr>
          <w:rFonts w:ascii="Times New Roman;serif" w:hAnsi="Times New Roman;serif"/>
          <w:b w:val="false"/>
          <w:color w:val="000000"/>
          <w:sz w:val="22"/>
          <w:u w:val="single"/>
        </w:rPr>
        <w:t>Section 10.13</w:t>
      </w:r>
      <w:r>
        <w:rPr>
          <w:rFonts w:ascii="Times New Roman;serif" w:hAnsi="Times New Roman;serif"/>
          <w:b w:val="false"/>
          <w:color w:val="000000"/>
          <w:sz w:val="22"/>
        </w:rPr>
        <w:t xml:space="preserve">. The parties hereto acknowledge and agree that each of the Administrative Agent and the Collateral Agent may rely conclusively as to any of the matters described in this </w:t>
      </w:r>
      <w:r>
        <w:rPr>
          <w:rFonts w:ascii="Times New Roman;serif" w:hAnsi="Times New Roman;serif"/>
          <w:b w:val="false"/>
          <w:color w:val="000000"/>
          <w:sz w:val="22"/>
          <w:u w:val="single"/>
        </w:rPr>
        <w:t>Section 10.13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10.22</w:t>
      </w:r>
      <w:r>
        <w:rPr>
          <w:color w:val="000000"/>
        </w:rPr>
        <w:t xml:space="preserve"> </w:t>
      </w:r>
      <w:r>
        <w:rPr>
          <w:rFonts w:ascii="Times New Roman;serif" w:hAnsi="Times New Roman;serif"/>
          <w:b w:val="false"/>
          <w:color w:val="000000"/>
          <w:sz w:val="22"/>
        </w:rPr>
        <w:t>(including as to its authority hereunder and thereunder) on a certificate or similar instrument provided to it by any Loan Party without further inquiry or investigation, which certificate shall be delivered to the Administrative Agent and/or the Collateral Agent by the Loan Parties upon request.</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10.14.</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xml:space="preserve">. Each of the Administrative Agent and each Lender and each of their respective Affiliates agrees to keep confidential all information received by them from the Company in connection with the transactions contemplated herein and information received from the Company relating to the Company or its business; provided that nothing herein shall prevent the Administrative Agent or any Lender from disclosing any such Information (a) to the Administrative Agent, any other Lender, any Affiliate of any Lender or any Lender Affiliate (provided that any such Lender Affiliate or Affiliate is advised of its obligation to retain such information as confidential, and such Administrative Agent or Lender shall be responsible for its Affiliates’ and Lender Affiliates’ compliance with this paragraph); provided that the disclosure of any such information to any such party shall be made subject to the acknowledgment and acceptance by such party that such information is being disseminated on a confidential basis or customary market standards for dissemination of such type of information, (b) to any pledgee referred to in Section 10.6(g), any Transferee or prospective Transferee or any insurance or risk protection providers (provided that in no event shall any disclosure of such information be made to any person that is a Disqualified Lender as of the relevant time); provided that the disclosure of any such information to any such party (other than a Federal Reserve Bank or other central banking authority) shall be made subject to the acknowledgment and acceptance by such party that such information is being disseminated on a confidential basis or customary market standards for dissemination of such type of information, (c) to its employees, legal counsel, independent auditors, professionals, insurance brokers,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60655"/>
                <wp:effectExtent l="0" t="0" r="0" b="0"/>
                <wp:wrapNone/>
                <wp:docPr id="211" name="Frame2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insurance providers and other experts or agents who are informed of the confidential nature thereof (provided that the Administrative Agent or Lender shall be responsible for compliance of such persons with this paragraph), (d) upon the request or demand of any Governmental Authority, including audits and examinations conducted by bank accountants, any governmental bank regulatory authority exercising examination or regulatory authority or self-regulatory authorities, in which case (except with respect to any audit or examination conducted by bank accountants or any governmental bank regulatory authority exercising examination or regulatory authority), such party will promptly notify the Company, in advance, to the extent permitted by law, (e) in response to any order of any court or other Governmental Authority or as may otherwise be required pursuant to any Requirement of Law in which case, such party will promptly notify the Company, in advance, to the extent permitted by law, (f) if requested or required to do so in connection with any litigation or similar proceeding in which case, such party will promptly notify the Company, in advance, to the extent permitted by law, (g) to the extent any such information becomes publicly available other than by reason of disclosure by such Administrative Agent or Lender or its Affiliates or representatives in breach of this Agreement; (h) to any nationally recognized rating agency that requires access to information about a Lender’s investment portfolio in connection with ratings issued with respect to such Lender, (i) in connection with the exercise of any remedy hereunder or under any other Loan Document, (j) to any direct, indirect, actual or prospective counterparty (and its advisor) to any swap, derivative or securitization transaction related to any obligations or any insurance or risk protection providers in respect thereof (so long as such party agrees to be bound by the provisions of this Section 10.14); provided that the disclosure of any such information to any such party shall be made subject to the acknowledgment and acceptance by such party that such information is being disseminated on a confidential basis or customary market standards for dissemination of such type of information, (k) to the CUSIP Service Bureau or any similar agency in connection with the issuance and monitoring of CUSIP numbers with respect to the Loans or (l) if agreed by the Company in its sole discretion, to any other Person; provided that no information shall be disclosed to a Disqualified Lender. The Administrative Agent, Arrangers and the Lenders may disclose the existence of this Agreement and information about this Agreement that is routinely provided by arrangers to such service providers to market data service providers (including league table providers) that serve the lending industry.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Lender acknowledges that information furnished to it pursuant to this Agreement or the other Loan Documents may include material non-public information concerning the Company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information, including requests for waivers and amendments, furnished by the Company or the Administrative Agent pursuant to, or in the course of administering, this Agreement or the other Loan Documents will be syndicate-level information, which may contain material non-public information about the Company and its Affiliates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the avoidance of doubt, nothing in this Section 10.14 shall prohibit any Person from voluntarily disclosing or providing any Information within the scope of this confidentiality provision to any governmental, regulatory or self-regulatory organization (any such entity, a “</w:t>
      </w:r>
      <w:r>
        <w:rPr>
          <w:rFonts w:ascii="Times New Roman;serif" w:hAnsi="Times New Roman;serif"/>
          <w:b/>
          <w:color w:val="000000"/>
          <w:sz w:val="22"/>
        </w:rPr>
        <w:t xml:space="preserve">Regulatory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60655"/>
                <wp:effectExtent l="0" t="0" r="0" b="0"/>
                <wp:wrapNone/>
                <wp:docPr id="212" name="Frame2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Authority</w:t>
      </w:r>
      <w:r>
        <w:rPr>
          <w:color w:val="000000"/>
        </w:rPr>
        <w:t>”</w:t>
      </w:r>
      <w:r>
        <w:rPr>
          <w:rFonts w:ascii="Times New Roman;serif" w:hAnsi="Times New Roman;serif"/>
          <w:b w:val="false"/>
          <w:color w:val="000000"/>
          <w:sz w:val="22"/>
        </w:rPr>
        <w:t>) to the extent that any such prohibition on disclosure set forth in this Section 10.14 shall be prohibited by the laws or regulations applicable to such Regulatory Authority.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10.15.</w:t>
      </w:r>
      <w:r>
        <w:rPr>
          <w:rFonts w:ascii="Times New Roman;serif" w:hAnsi="Times New Roman;serif"/>
          <w:b w:val="false"/>
          <w:color w:val="000000"/>
          <w:sz w:val="22"/>
          <w:u w:val="single"/>
        </w:rPr>
        <w:t>WAIVERS OF JURY TRIAL</w:t>
      </w:r>
      <w:r>
        <w:rPr>
          <w:rFonts w:ascii="Times New Roman;serif" w:hAnsi="Times New Roman;serif"/>
          <w:b w:val="false"/>
          <w:color w:val="000000"/>
          <w:sz w:val="22"/>
        </w:rPr>
        <w:t>. THE BORROWERS, THE ADMINISTRATIVE AGENT AND THE LENDERS HEREBY IRREVOCABLY AND UNCONDITIONALLY WAIVE TRIAL BY JURY IN ANY LEGAL ACTION OR PROCEEDING RELATING TO THIS AGREEMENT OR ANY OTHER LOAN DOCUMENT AND FOR ANY COUNTERCLAIM THEREIN.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10.16.</w:t>
      </w:r>
      <w:r>
        <w:rPr>
          <w:rFonts w:ascii="Times New Roman;serif" w:hAnsi="Times New Roman;serif"/>
          <w:b w:val="false"/>
          <w:color w:val="000000"/>
          <w:sz w:val="22"/>
          <w:u w:val="single"/>
        </w:rPr>
        <w:t>Patriot Act; Beneficial Ownership</w:t>
      </w:r>
      <w:r>
        <w:rPr>
          <w:rFonts w:ascii="Times New Roman;serif" w:hAnsi="Times New Roman;serif"/>
          <w:b w:val="false"/>
          <w:color w:val="000000"/>
          <w:sz w:val="22"/>
        </w:rPr>
        <w:t>. Each Lender that is subject to the requirements of the Patriot Act of 2001 (the “</w:t>
      </w:r>
      <w:r>
        <w:rPr>
          <w:rFonts w:ascii="Times New Roman;serif" w:hAnsi="Times New Roman;serif"/>
          <w:b/>
          <w:color w:val="000000"/>
          <w:sz w:val="22"/>
        </w:rPr>
        <w:t>Patriot Act</w:t>
      </w:r>
      <w:r>
        <w:rPr>
          <w:color w:val="000000"/>
        </w:rPr>
        <w:t>”</w:t>
      </w:r>
      <w:r>
        <w:rPr>
          <w:rFonts w:ascii="Times New Roman;serif" w:hAnsi="Times New Roman;serif"/>
          <w:b w:val="false"/>
          <w:color w:val="000000"/>
          <w:sz w:val="22"/>
        </w:rPr>
        <w:t>) and the Beneficial Ownership Regulation hereby notifies each Borrower and each Guarantor that pursuant to the requirements of the Patriot Act and the Beneficial Ownership Regulation, it is required to obtain, verify and record information that identifies each Borrower, which information includes the name and address of each Borrower and each Guarantor and other information that will allow such Lender to identify each Borrower and each Guarantor in accordance with the Patriot Act and the Beneficial Ownership Regulation.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10.17.</w:t>
      </w:r>
      <w:r>
        <w:rPr>
          <w:rFonts w:ascii="Times New Roman;serif" w:hAnsi="Times New Roman;serif"/>
          <w:b w:val="false"/>
          <w:color w:val="000000"/>
          <w:sz w:val="22"/>
          <w:u w:val="single"/>
        </w:rPr>
        <w:t>No Fiduciary Duty, Etc</w:t>
      </w:r>
      <w:r>
        <w:rPr>
          <w:rFonts w:ascii="Times New Roman;serif" w:hAnsi="Times New Roman;serif"/>
          <w:b w:val="false"/>
          <w:color w:val="000000"/>
          <w:sz w:val="22"/>
        </w:rPr>
        <w:t>. Each Borrower hereby acknowledges and agrees that (a) no fiduciary, advisory or agency relationship between the Loan Parties and the Credit Parties is intended to be or has been created in respect of any of the transactions contemplated by this Agreement or the other Loan Documents, irrespective of whether the Credit Parties have advised or are advising the Loan Parties on other matters, (b) the Credit Parties, on the one hand, and the Loan Parties, on the other hand, have an arm’s length business relationship that does not directly or indirectly give rise to, nor do any of the Loan Parties rely on, any fiduciary duty to any of the Loan Parties or their affiliates on the part of the Credit Parties, (c) the Loan Parties are capable of evaluating and understanding, and the Loan Parties understand and accept, the terms, risks and conditions of the transactions contemplated by this Agreement and the other Loan Documents, (d) the Loan Parties have been advised that the Credit Parties are engaged in a broad range of transactions that may involve interests that differ from the Loan Parties’ interests and that the Credit Parties have no obligation to disclose such interests and transactions to the Loan Parties, (e) the Loan Parties have consulted their own legal, accounting, regulatory and tax advisors to the extent the Loan Parties have deemed appropriate, (f) each Credit Party has been, is, and will be acting solely as a principal and, except as otherwise expressly agreed in writing by it and the relevant parties, has not been, is not, and will not be acting as an advisor, agent or fiduciary for the Loan Parties, any of their affiliates or any other Person and (g) none of the Credit Parties has any obligation to the Loan Parties or their affiliates with respect to the transactions contemplated by this Agreement or the other Loan Documents except those obligations expressly set forth herein or therein or in any other express writing executed and delivered by such Credit Party and the Loan Parties or any such affiliate.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any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10.18.</w:t>
      </w:r>
      <w:r>
        <w:rPr>
          <w:rFonts w:ascii="Times New Roman;serif" w:hAnsi="Times New Roman;serif"/>
          <w:b w:val="false"/>
          <w:color w:val="000000"/>
          <w:sz w:val="22"/>
          <w:u w:val="single"/>
        </w:rPr>
        <w:t>Usury</w:t>
      </w:r>
      <w:r>
        <w:rPr>
          <w:rFonts w:ascii="Times New Roman;serif" w:hAnsi="Times New Roman;serif"/>
          <w:b w:val="false"/>
          <w:color w:val="000000"/>
          <w:sz w:val="22"/>
        </w:rPr>
        <w:t>. Notwithstanding anything to the contrary contained in any Loan Document, the interest paid or agreed to be paid under the Loan Documents shall not exceed the maximum rate of non-</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60655"/>
                <wp:effectExtent l="0" t="0" r="0" b="0"/>
                <wp:wrapNone/>
                <wp:docPr id="213" name="Frame2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usurious interest permitted by applicable law (the “</w:t>
      </w:r>
      <w:r>
        <w:rPr>
          <w:rFonts w:ascii="Times New Roman;serif" w:hAnsi="Times New Roman;serif"/>
          <w:b/>
          <w:color w:val="000000"/>
          <w:sz w:val="22"/>
        </w:rPr>
        <w:t>Maximum Rate</w:t>
      </w:r>
      <w:r>
        <w:rPr>
          <w:color w:val="000000"/>
        </w:rPr>
        <w:t>”</w:t>
      </w:r>
      <w:r>
        <w:rPr>
          <w:rFonts w:ascii="Times New Roman;serif" w:hAnsi="Times New Roman;serif"/>
          <w:b w:val="false"/>
          <w:color w:val="000000"/>
          <w:sz w:val="22"/>
        </w:rPr>
        <w:t>). If Administrative Agent or any Lender shall receive interest in an amount that exceeds the Maximum Rate, the excessive interest shall be applied to the principal of the Obligations or, if it exceeds the unpaid principal, refunded to the applicable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10.19.</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effects of any Bail-In Action on any such liability, including, if applicable: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 reduction in full or in part or cancellation of any such liability;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variation of the terms of such liability in connection with the exercise of the Write-Down and Conversion Powers of the applicable Resolution Authority.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10.20.</w:t>
      </w:r>
      <w:r>
        <w:rPr>
          <w:rFonts w:ascii="Times New Roman;serif" w:hAnsi="Times New Roman;serif"/>
          <w:b w:val="false"/>
          <w:color w:val="000000"/>
          <w:sz w:val="22"/>
          <w:u w:val="single"/>
        </w:rPr>
        <w:t>Conversion of Currencies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obligations of the Borrowers in respect of any sum due to any party hereto or any holder of the obligations owing hereunder (the “</w:t>
      </w:r>
      <w:r>
        <w:rPr>
          <w:rFonts w:ascii="Times New Roman;serif" w:hAnsi="Times New Roman;serif"/>
          <w:b/>
          <w:color w:val="000000"/>
          <w:sz w:val="22"/>
        </w:rPr>
        <w:t>Applicable Creditor</w:t>
      </w:r>
      <w:r>
        <w:rPr>
          <w:color w:val="000000"/>
        </w:rPr>
        <w:t>”</w:t>
      </w:r>
      <w:r>
        <w:rPr>
          <w:rFonts w:ascii="Times New Roman;serif" w:hAnsi="Times New Roman;serif"/>
          <w:b w:val="false"/>
          <w:color w:val="000000"/>
          <w:sz w:val="22"/>
        </w:rPr>
        <w:t>) shall, notwithstanding any judgment in a currency (the “</w:t>
      </w:r>
      <w:r>
        <w:rPr>
          <w:rFonts w:ascii="Times New Roman;serif" w:hAnsi="Times New Roman;serif"/>
          <w:b/>
          <w:color w:val="000000"/>
          <w:sz w:val="22"/>
        </w:rPr>
        <w:t>Judgment Currency</w:t>
      </w:r>
      <w:r>
        <w:rPr>
          <w:color w:val="000000"/>
        </w:rPr>
        <w:t>”</w:t>
      </w:r>
      <w:r>
        <w:rPr>
          <w:rFonts w:ascii="Times New Roman;serif" w:hAnsi="Times New Roman;serif"/>
          <w:b w:val="false"/>
          <w:color w:val="000000"/>
          <w:sz w:val="22"/>
        </w:rPr>
        <w:t>) other than the currency in which such sum is stated to be due hereunder (the “</w:t>
      </w:r>
      <w:r>
        <w:rPr>
          <w:rFonts w:ascii="Times New Roman;serif" w:hAnsi="Times New Roman;serif"/>
          <w:b/>
          <w:color w:val="000000"/>
          <w:sz w:val="22"/>
        </w:rPr>
        <w:t>Agreement Currency</w:t>
      </w:r>
      <w:r>
        <w:rPr>
          <w:color w:val="000000"/>
        </w:rPr>
        <w:t>”</w:t>
      </w:r>
      <w:r>
        <w:rPr>
          <w:rFonts w:ascii="Times New Roman;serif" w:hAnsi="Times New Roman;serif"/>
          <w:b w:val="false"/>
          <w:color w:val="000000"/>
          <w:sz w:val="22"/>
        </w:rPr>
        <w:t xml:space="preserve">),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60655"/>
                <wp:effectExtent l="0" t="0" r="0" b="0"/>
                <wp:wrapNone/>
                <wp:docPr id="214" name="Frame2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Currency, the Borrowers agree, as a separate obligation and notwithstanding any such judgment, to indemnify the Applicable Creditor against such loss. The obligations of the Borrowers contained in this Section 10.20 shall survive the termination of this Agreement and the payment of all other amounts owing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10.21.</w:t>
      </w:r>
      <w:r>
        <w:rPr>
          <w:rFonts w:ascii="Times New Roman;serif" w:hAnsi="Times New Roman;serif"/>
          <w:b w:val="false"/>
          <w:color w:val="000000"/>
          <w:sz w:val="22"/>
          <w:u w:val="single"/>
        </w:rPr>
        <w:t>Several Obligations</w:t>
      </w:r>
      <w:r>
        <w:rPr>
          <w:rFonts w:ascii="Times New Roman;serif" w:hAnsi="Times New Roman;serif"/>
          <w:b w:val="false"/>
          <w:color w:val="000000"/>
          <w:sz w:val="22"/>
        </w:rPr>
        <w:t xml:space="preserve">. The respective obligations of the Lenders under this Agreement are several and not joint and no Lender shall be responsible for the failure of any other Lender to satisfy its obligations hereunder. </w:t>
      </w:r>
    </w:p>
    <w:p>
      <w:pPr>
        <w:pStyle w:val="TextBody"/>
        <w:bidi w:val="0"/>
        <w:spacing w:lineRule="auto" w:line="288" w:before="0" w:after="240"/>
        <w:ind w:left="0" w:right="0" w:firstLine="720"/>
        <w:jc w:val="both"/>
        <w:rPr/>
      </w:pPr>
      <w:r>
        <w:rPr>
          <w:rFonts w:ascii="Times New Roman;serif" w:hAnsi="Times New Roman;serif"/>
          <w:b w:val="false"/>
          <w:color w:val="000000"/>
          <w:sz w:val="22"/>
        </w:rPr>
        <w:t>10.22.</w:t>
      </w:r>
      <w:r>
        <w:rPr>
          <w:rFonts w:ascii="Times New Roman;serif" w:hAnsi="Times New Roman;serif"/>
          <w:b w:val="false"/>
          <w:color w:val="000000"/>
          <w:sz w:val="22"/>
          <w:u w:val="single"/>
        </w:rPr>
        <w:t>MIRE Events</w:t>
      </w:r>
      <w:r>
        <w:rPr>
          <w:rFonts w:ascii="Times New Roman;serif" w:hAnsi="Times New Roman;serif"/>
          <w:b w:val="false"/>
          <w:color w:val="000000"/>
          <w:sz w:val="22"/>
        </w:rPr>
        <w:t xml:space="preserve">. In connection with any amendment to this Agreement pursuant to which any increase, extension or renewal of Loans is contemplated, the Borrowers shall cause to be delivered to the Administrative Agent and each Revolving Credit Lender for any Mortgaged Property, a completed “life of the loan” Federal Emergency Management Agency Standard Flood Hazard Determination and for any Mortgaged Property with a building in a special flood hazard area, an acknowledgment by the applicable Loan Party, and evidence of flood insurance, as may be required pursuant to the Flood Laws. </w:t>
      </w:r>
    </w:p>
    <w:p>
      <w:pPr>
        <w:pStyle w:val="TextBody"/>
        <w:bidi w:val="0"/>
        <w:spacing w:lineRule="auto" w:line="288" w:before="0" w:after="240"/>
        <w:ind w:left="0" w:right="0" w:firstLine="720"/>
        <w:jc w:val="both"/>
        <w:rPr/>
      </w:pPr>
      <w:r>
        <w:rPr>
          <w:rFonts w:ascii="Times New Roman;serif" w:hAnsi="Times New Roman;serif"/>
          <w:b w:val="false"/>
          <w:color w:val="000000"/>
          <w:sz w:val="22"/>
        </w:rPr>
        <w:t>10.23.</w:t>
      </w:r>
      <w:r>
        <w:rPr>
          <w:rFonts w:ascii="Times New Roman;serif" w:hAnsi="Times New Roman;serif"/>
          <w:b w:val="false"/>
          <w:color w:val="000000"/>
          <w:sz w:val="22"/>
          <w:u w:val="single"/>
        </w:rPr>
        <w:t>Acknowledgment Regarding Any Supported QFCs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To the extent that the Loan Documents provide support, through a guarantee or otherwise, for Hedge Agreements or any other agreement or instrument that is a QFC (such support, “</w:t>
      </w:r>
      <w:r>
        <w:rPr>
          <w:rFonts w:ascii="Times New Roman;serif" w:hAnsi="Times New Roman;serif"/>
          <w:b/>
          <w:color w:val="000000"/>
          <w:sz w:val="22"/>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color w:val="000000"/>
          <w:sz w:val="22"/>
        </w:rPr>
        <w:t>Supported QFC</w:t>
      </w:r>
      <w:r>
        <w:rPr>
          <w:color w:val="000000"/>
        </w:rPr>
        <w:t>”</w:t>
      </w:r>
      <w:r>
        <w:rPr>
          <w:rFonts w:ascii="Times New Roman;serif" w:hAnsi="Times New Roman;serif"/>
          <w:b w:val="false"/>
          <w:color w:val="000000"/>
          <w:sz w:val="22"/>
        </w:rPr>
        <w:t>), the parties hereto acknowledge and agree as set forth in clause (b) below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color w:val="000000"/>
          <w:sz w:val="22"/>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the event a Covered Entity that is party to a Supported QFC (each, a “</w:t>
      </w:r>
      <w:r>
        <w:rPr>
          <w:rFonts w:ascii="Times New Roman;serif" w:hAnsi="Times New Roman;serif"/>
          <w:b/>
          <w:color w:val="000000"/>
          <w:sz w:val="22"/>
        </w:rPr>
        <w:t>Covered Party</w:t>
      </w:r>
      <w:r>
        <w:rPr>
          <w:color w:val="000000"/>
        </w:rPr>
        <w:t>”</w:t>
      </w:r>
      <w:r>
        <w:rPr>
          <w:rFonts w:ascii="Times New Roman;serif" w:hAnsi="Times New Roman;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left blank</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60655"/>
                <wp:effectExtent l="0" t="0" r="0" b="0"/>
                <wp:wrapNone/>
                <wp:docPr id="215" name="Frame2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156</w:t>
                      </w:r>
                    </w:p>
                  </w:txbxContent>
                </v:textbox>
                <w10:wrap type="none"/>
              </v:rect>
            </w:pict>
          </mc:Fallback>
        </mc:AlternateContent>
      </w:r>
    </w:p>
    <w:p>
      <w:pPr>
        <w:pStyle w:val="TextBody"/>
        <w:bidi w:val="0"/>
        <w:spacing w:lineRule="auto" w:line="288" w:before="0" w:after="12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and delivered by their respective authorized officers as of the day and year first above written.</w:t>
      </w:r>
    </w:p>
    <w:tbl>
      <w:tblPr>
        <w:tblW w:w="2696" w:type="dxa"/>
        <w:jc w:val="left"/>
        <w:tblInd w:w="0" w:type="dxa"/>
        <w:tblLayout w:type="fixed"/>
        <w:tblCellMar>
          <w:top w:w="28" w:type="dxa"/>
          <w:left w:w="28" w:type="dxa"/>
          <w:bottom w:w="28" w:type="dxa"/>
          <w:right w:w="28" w:type="dxa"/>
        </w:tblCellMar>
      </w:tblPr>
      <w:tblGrid>
        <w:gridCol w:w="468"/>
        <w:gridCol w:w="410"/>
        <w:gridCol w:w="410"/>
        <w:gridCol w:w="410"/>
        <w:gridCol w:w="410"/>
        <w:gridCol w:w="588"/>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2696" w:type="dxa"/>
            <w:gridSpan w:val="6"/>
            <w:tcBorders/>
            <w:tcMar>
              <w:top w:w="0" w:type="dxa"/>
              <w:left w:w="0" w:type="dxa"/>
              <w:bottom w:w="0" w:type="dxa"/>
              <w:right w:w="0" w:type="dxa"/>
            </w:tcMar>
            <w:vAlign w:val="center"/>
          </w:tcPr>
          <w:p>
            <w:pPr>
              <w:pStyle w:val="TableContents"/>
              <w:bidi w:val="0"/>
              <w:spacing w:before="0" w:after="480"/>
              <w:jc w:val="left"/>
              <w:rPr/>
            </w:pPr>
            <w:r>
              <w:rPr/>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REMITLY GLOBAL, INC.</w:t>
              <w:br/>
              <w:t>REMITLY, INC.</w:t>
            </w:r>
          </w:p>
        </w:tc>
      </w:tr>
      <w:tr>
        <w:trPr/>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51155"/>
                <wp:effectExtent l="0" t="0" r="0" b="0"/>
                <wp:wrapNone/>
                <wp:docPr id="216" name="Frame2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Remitly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Remitly Credit Agreement]</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69"/>
        <w:gridCol w:w="1557"/>
        <w:gridCol w:w="1557"/>
        <w:gridCol w:w="1557"/>
        <w:gridCol w:w="1557"/>
        <w:gridCol w:w="2208"/>
      </w:tblGrid>
      <w:tr>
        <w:trPr/>
        <w:tc>
          <w:tcPr>
            <w:tcW w:w="176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JPMORGAN CHASE BANK, N.A., as Administrative Agent, Collateral Agent, Swingline Lender, Issuing Bank and as a Lender</w:t>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51155"/>
                <wp:effectExtent l="0" t="0" r="0" b="0"/>
                <wp:wrapNone/>
                <wp:docPr id="217" name="Frame2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Remitly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Remitly Credit Agreement]</w:t>
                      </w:r>
                    </w:p>
                    <w:p>
                      <w:pPr>
                        <w:pStyle w:val="TextBody"/>
                        <w:bidi w:val="0"/>
                        <w:spacing w:before="0" w:after="0"/>
                        <w:jc w:val="left"/>
                        <w:rPr/>
                      </w:pPr>
                      <w:r>
                        <w:rPr/>
                      </w:r>
                    </w:p>
                  </w:txbxContent>
                </v:textbox>
                <w10:wrap type="none"/>
              </v:rect>
            </w:pict>
          </mc:Fallback>
        </mc:AlternateContent>
      </w:r>
    </w:p>
    <w:tbl>
      <w:tblPr>
        <w:tblW w:w="6851" w:type="dxa"/>
        <w:jc w:val="left"/>
        <w:tblInd w:w="0" w:type="dxa"/>
        <w:tblLayout w:type="fixed"/>
        <w:tblCellMar>
          <w:top w:w="28" w:type="dxa"/>
          <w:left w:w="28" w:type="dxa"/>
          <w:bottom w:w="28" w:type="dxa"/>
          <w:right w:w="28" w:type="dxa"/>
        </w:tblCellMar>
      </w:tblPr>
      <w:tblGrid>
        <w:gridCol w:w="1190"/>
        <w:gridCol w:w="1045"/>
        <w:gridCol w:w="1045"/>
        <w:gridCol w:w="1045"/>
        <w:gridCol w:w="1045"/>
        <w:gridCol w:w="1481"/>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6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 as a Lender [and an Issuing Bank]</w:t>
            </w:r>
          </w:p>
        </w:tc>
      </w:tr>
      <w:tr>
        <w:trPr/>
        <w:tc>
          <w:tcPr>
            <w:tcW w:w="3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w:t>
            </w:r>
          </w:p>
        </w:tc>
      </w:tr>
      <w:tr>
        <w:trPr/>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w:t>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TRANSITION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Transition Agreement (the “</w:t>
      </w:r>
      <w:r>
        <w:rPr>
          <w:rFonts w:ascii="Times New Roman;serif" w:hAnsi="Times New Roman;serif"/>
          <w:b w:val="false"/>
          <w:i/>
          <w:color w:val="000000"/>
          <w:sz w:val="24"/>
        </w:rPr>
        <w:t>Agreement</w:t>
      </w:r>
      <w:r>
        <w:rPr>
          <w:color w:val="000000"/>
        </w:rPr>
        <w:t>”</w:t>
      </w:r>
      <w:r>
        <w:rPr>
          <w:rFonts w:ascii="Times New Roman;serif" w:hAnsi="Times New Roman;serif"/>
          <w:b w:val="false"/>
          <w:color w:val="000000"/>
          <w:sz w:val="24"/>
        </w:rPr>
        <w:t>) is entered into by and between Saema Somalya (the “</w:t>
      </w:r>
      <w:r>
        <w:rPr>
          <w:rFonts w:ascii="Times New Roman;serif" w:hAnsi="Times New Roman;serif"/>
          <w:b w:val="false"/>
          <w:i/>
          <w:color w:val="000000"/>
          <w:sz w:val="24"/>
        </w:rPr>
        <w:t>Executive</w:t>
      </w:r>
      <w:r>
        <w:rPr>
          <w:color w:val="000000"/>
        </w:rPr>
        <w:t>”</w:t>
      </w:r>
      <w:r>
        <w:rPr>
          <w:rFonts w:ascii="Times New Roman;serif" w:hAnsi="Times New Roman;serif"/>
          <w:b w:val="false"/>
          <w:color w:val="000000"/>
          <w:sz w:val="24"/>
        </w:rPr>
        <w:t>) and Remitly Global, Inc., a Delaware corporation (the “</w:t>
      </w:r>
      <w:r>
        <w:rPr>
          <w:rFonts w:ascii="Times New Roman;serif" w:hAnsi="Times New Roman;serif"/>
          <w:b w:val="false"/>
          <w:i/>
          <w:color w:val="000000"/>
          <w:sz w:val="24"/>
        </w:rPr>
        <w:t>Company</w:t>
      </w:r>
      <w:r>
        <w:rPr>
          <w:rFonts w:ascii="Times New Roman;serif" w:hAnsi="Times New Roman;serif"/>
          <w:b w:val="false"/>
          <w:color w:val="000000"/>
          <w:sz w:val="24"/>
        </w:rPr>
        <w:t>,” and together with the Executive, the “</w:t>
      </w:r>
      <w:r>
        <w:rPr>
          <w:rFonts w:ascii="Times New Roman;serif" w:hAnsi="Times New Roman;serif"/>
          <w:b w:val="false"/>
          <w:i/>
          <w:color w:val="000000"/>
          <w:sz w:val="24"/>
        </w:rPr>
        <w:t>Parties</w:t>
      </w:r>
      <w:r>
        <w:rPr>
          <w:color w:val="000000"/>
        </w:rPr>
        <w:t>”</w:t>
      </w:r>
      <w:r>
        <w:rPr>
          <w:rFonts w:ascii="Times New Roman;serif" w:hAnsi="Times New Roman;serif"/>
          <w:b w:val="false"/>
          <w:color w:val="000000"/>
          <w:sz w:val="24"/>
        </w:rPr>
        <w:t>), as of April 2, 2026.</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in connection with the Executive’s transition from the Company, the Company wishes to express its gratitude to the Executive, for her key contributions to the Company;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Parties desire to enter into this Agreement in order to set forth the rights and obligations of the Parties in connection with the Executive’s transition.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commitments, and agreements contained herein and for other good and valuable consideration the receipt and sufficiency of which is hereby acknowledged, the Parties intend to be legally bound hereby agree as follows:</w:t>
      </w:r>
    </w:p>
    <w:p>
      <w:pPr>
        <w:pStyle w:val="TextBody"/>
        <w:bidi w:val="0"/>
        <w:spacing w:lineRule="auto" w:line="288" w:before="0" w:after="240"/>
        <w:jc w:val="left"/>
        <w:rPr/>
      </w:pPr>
      <w:r>
        <w:rPr>
          <w:rFonts w:ascii="Times New Roman;serif" w:hAnsi="Times New Roman;serif"/>
          <w:b/>
          <w:color w:val="000000"/>
          <w:sz w:val="24"/>
        </w:rPr>
        <w:t>I.</w:t>
      </w:r>
      <w:r>
        <w:rPr>
          <w:rFonts w:ascii="Times New Roman;serif" w:hAnsi="Times New Roman;serif"/>
          <w:b/>
          <w:color w:val="000000"/>
          <w:sz w:val="24"/>
        </w:rPr>
        <w:t>Transition Period</w:t>
      </w:r>
      <w:r>
        <w:rPr>
          <w:rFonts w:ascii="Times New Roman;serif" w:hAnsi="Times New Roman;serif"/>
          <w:b w:val="false"/>
          <w:color w:val="000000"/>
          <w:sz w:val="24"/>
        </w:rPr>
        <w:t>. From the date hereof through May 1, 2026 (the “</w:t>
      </w:r>
      <w:r>
        <w:rPr>
          <w:rFonts w:ascii="Times New Roman;serif" w:hAnsi="Times New Roman;serif"/>
          <w:b w:val="false"/>
          <w:i/>
          <w:color w:val="000000"/>
          <w:sz w:val="24"/>
        </w:rPr>
        <w:t>Transition Date</w:t>
      </w:r>
      <w:r>
        <w:rPr>
          <w:color w:val="000000"/>
        </w:rPr>
        <w:t>”</w:t>
      </w:r>
      <w:r>
        <w:rPr>
          <w:rFonts w:ascii="Times New Roman;serif" w:hAnsi="Times New Roman;serif"/>
          <w:b w:val="false"/>
          <w:color w:val="000000"/>
          <w:sz w:val="24"/>
        </w:rPr>
        <w:t>), the Executive shall remain employed as the Chief Legal and Corporate Affairs Officer of the Company consistent with the existing terms of her employment and shall perform such duties as shall, from time to time, be reasonably requested by the Chief Executive Officer of the Company (such period, the “</w:t>
      </w:r>
      <w:r>
        <w:rPr>
          <w:rFonts w:ascii="Times New Roman;serif" w:hAnsi="Times New Roman;serif"/>
          <w:b w:val="false"/>
          <w:i/>
          <w:color w:val="000000"/>
          <w:sz w:val="24"/>
        </w:rPr>
        <w:t>Transition Period</w:t>
      </w:r>
      <w:r>
        <w:rPr>
          <w:color w:val="000000"/>
        </w:rPr>
        <w:t xml:space="preserve">” </w:t>
      </w:r>
      <w:r>
        <w:rPr>
          <w:rFonts w:ascii="Times New Roman;serif" w:hAnsi="Times New Roman;serif"/>
          <w:b w:val="false"/>
          <w:color w:val="000000"/>
          <w:sz w:val="24"/>
        </w:rPr>
        <w:t>and such duties, the “</w:t>
      </w:r>
      <w:r>
        <w:rPr>
          <w:rFonts w:ascii="Times New Roman;serif" w:hAnsi="Times New Roman;serif"/>
          <w:b w:val="false"/>
          <w:i/>
          <w:color w:val="000000"/>
          <w:sz w:val="24"/>
        </w:rPr>
        <w:t>Transition Duties</w:t>
      </w:r>
      <w:r>
        <w:rPr>
          <w:color w:val="000000"/>
        </w:rPr>
        <w:t>”</w:t>
      </w:r>
      <w:r>
        <w:rPr>
          <w:rFonts w:ascii="Times New Roman;serif" w:hAnsi="Times New Roman;serif"/>
          <w:b w:val="false"/>
          <w:color w:val="000000"/>
          <w:sz w:val="24"/>
        </w:rPr>
        <w:t>). During the Transition Period, (i) the Executive shall use her best efforts to perform the Transition Duties in a reasonable and professional manner and (ii) the Company shall continue to provide administrative and information technology support to the Executive on the same basis as other executive officers of the Company.</w:t>
      </w:r>
    </w:p>
    <w:p>
      <w:pPr>
        <w:pStyle w:val="TextBody"/>
        <w:bidi w:val="0"/>
        <w:spacing w:lineRule="auto" w:line="288" w:before="0" w:after="240"/>
        <w:jc w:val="left"/>
        <w:rPr/>
      </w:pPr>
      <w:r>
        <w:rPr>
          <w:rFonts w:ascii="Times New Roman;serif" w:hAnsi="Times New Roman;serif"/>
          <w:b/>
          <w:color w:val="000000"/>
          <w:sz w:val="24"/>
        </w:rPr>
        <w:t>II.</w:t>
      </w:r>
      <w:r>
        <w:rPr>
          <w:rFonts w:ascii="Times New Roman;serif" w:hAnsi="Times New Roman;serif"/>
          <w:b/>
          <w:color w:val="000000"/>
          <w:sz w:val="24"/>
        </w:rPr>
        <w:t>Transition from Employment</w:t>
      </w:r>
      <w:r>
        <w:rPr>
          <w:rFonts w:ascii="Times New Roman;serif" w:hAnsi="Times New Roman;serif"/>
          <w:b w:val="false"/>
          <w:color w:val="000000"/>
          <w:sz w:val="24"/>
        </w:rPr>
        <w:t>. The Executive’s employment with the Company shall terminate on the Transition Date, as of which time the Executive shall cease performing the Transition Duties and shall no longer be an employee of the Company. Effective as of no later than the Transition Date, the Executive shall step down from all positions with the Company, including but not limited to any officer, employee, or advisory roles.</w:t>
      </w:r>
    </w:p>
    <w:p>
      <w:pPr>
        <w:pStyle w:val="TextBody"/>
        <w:bidi w:val="0"/>
        <w:spacing w:lineRule="auto" w:line="288" w:before="0" w:after="240"/>
        <w:jc w:val="left"/>
        <w:rPr/>
      </w:pPr>
      <w:r>
        <w:rPr>
          <w:rFonts w:ascii="Times New Roman;serif" w:hAnsi="Times New Roman;serif"/>
          <w:b/>
          <w:color w:val="000000"/>
          <w:sz w:val="24"/>
        </w:rPr>
        <w:t>III.</w:t>
      </w:r>
      <w:r>
        <w:rPr>
          <w:rFonts w:ascii="Times New Roman;serif" w:hAnsi="Times New Roman;serif"/>
          <w:b/>
          <w:color w:val="000000"/>
          <w:sz w:val="24"/>
        </w:rPr>
        <w:t>Compensation and Benefits after the Transition Date.</w:t>
      </w:r>
    </w:p>
    <w:p>
      <w:pPr>
        <w:pStyle w:val="TextBody"/>
        <w:bidi w:val="0"/>
        <w:spacing w:lineRule="auto" w:line="288"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rPr>
        <w:t xml:space="preserve">Following the Transition Date and in consideration of the Executive’s signing on the Transition Date and not revoking the Supplemental Release, a copy of which is attached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to this Agreement (the “</w:t>
      </w:r>
      <w:r>
        <w:rPr>
          <w:rFonts w:ascii="Times New Roman;serif" w:hAnsi="Times New Roman;serif"/>
          <w:b w:val="false"/>
          <w:i/>
          <w:color w:val="000000"/>
          <w:sz w:val="24"/>
        </w:rPr>
        <w:t>Supplemental Release</w:t>
      </w:r>
      <w:r>
        <w:rPr>
          <w:color w:val="000000"/>
        </w:rPr>
        <w:t>”</w:t>
      </w:r>
      <w:r>
        <w:rPr>
          <w:rFonts w:ascii="Times New Roman;serif" w:hAnsi="Times New Roman;serif"/>
          <w:b w:val="false"/>
          <w:color w:val="000000"/>
          <w:sz w:val="24"/>
        </w:rPr>
        <w:t>), the Company will pay the Executive an amount equal to 12 months of her monthly base salary at the rate in effect as of the Transition Date. The Executive will receive her severance payment in a lump-sum in accordance with the Company’s standard payroll procedures, which payment will be made no later than the first regular payroll date occurring after the 60th day following the Transition Date, provided that the Supplemental Release has not been revoked and any rescission period applicable to the Supplemental Release has expired.</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rPr>
        <w:t>Effective as of the Transition Date and in consideration of the Executive’s signing on the Transition Date and not revoking the Supplemental Release, certain of the Executive’s outstanding awards of restricted stock units (“</w:t>
      </w:r>
      <w:r>
        <w:rPr>
          <w:rFonts w:ascii="Times New Roman;serif" w:hAnsi="Times New Roman;serif"/>
          <w:b w:val="false"/>
          <w:i/>
          <w:color w:val="000000"/>
          <w:sz w:val="24"/>
        </w:rPr>
        <w:t>RSUs</w:t>
      </w:r>
      <w:r>
        <w:rPr>
          <w:color w:val="000000"/>
        </w:rPr>
        <w:t>”</w:t>
      </w:r>
      <w:r>
        <w:rPr>
          <w:rFonts w:ascii="Times New Roman;serif" w:hAnsi="Times New Roman;serif"/>
          <w:b w:val="false"/>
          <w:color w:val="000000"/>
          <w:sz w:val="24"/>
        </w:rPr>
        <w:t>) granted pursuant to the terms of the Company’s 2021 Equity Incentive Plan (the “</w:t>
      </w:r>
      <w:r>
        <w:rPr>
          <w:rFonts w:ascii="Times New Roman;serif" w:hAnsi="Times New Roman;serif"/>
          <w:b w:val="false"/>
          <w:i/>
          <w:color w:val="000000"/>
          <w:sz w:val="24"/>
        </w:rPr>
        <w:t>Plan</w:t>
      </w:r>
      <w:r>
        <w:rPr>
          <w:color w:val="000000"/>
        </w:rPr>
        <w:t>”</w:t>
      </w:r>
      <w:r>
        <w:rPr>
          <w:rFonts w:ascii="Times New Roman;serif" w:hAnsi="Times New Roman;serif"/>
          <w:b w:val="false"/>
          <w:color w:val="000000"/>
          <w:sz w:val="24"/>
        </w:rPr>
        <w:t xml:space="preserve">) shall accelerate in vesting, to the extent specified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and any RSUs that the Executive holds that are not vested as of the Transition Date, and do not become vested as a result of this Section III.2, shall automatically be cancelled and forfeited. Except as amended hereby, all other terms of the Executive’s outstanding RSUs remain effective. The Executive’s outstanding and unvested RSUs as of the Transition Date, including the amounts that are subject to accelerated vesting, are set forth on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rPr>
        <w:t>The Executive’s active participation in the Company’s group health plans will terminate on the last day of the month in which the Transition Date occurs. The Executive’s right to continue group health plan coverage thereafter will be made available to the Executive and the Executive’s eligible spouse and/or dependent(s) pursuant to Section 4980B of the Internal Revenue Code (“</w:t>
      </w:r>
      <w:r>
        <w:rPr>
          <w:rFonts w:ascii="Times New Roman;serif" w:hAnsi="Times New Roman;serif"/>
          <w:b w:val="false"/>
          <w:i/>
          <w:color w:val="000000"/>
          <w:sz w:val="24"/>
        </w:rPr>
        <w:t>COBRA</w:t>
      </w:r>
      <w:r>
        <w:rPr>
          <w:color w:val="000000"/>
        </w:rPr>
        <w:t>”</w:t>
      </w:r>
      <w:r>
        <w:rPr>
          <w:rFonts w:ascii="Times New Roman;serif" w:hAnsi="Times New Roman;serif"/>
          <w:b w:val="false"/>
          <w:color w:val="000000"/>
          <w:sz w:val="24"/>
        </w:rPr>
        <w:t>). Following the Transition Date and in consideration of the Executive’s signing on the Transition Date and not revoking the Supplemental Release, the Company will pay (directly to the Company’s COBRA administrator) any premiums necessary to continue the Executive’s (and the Executive’s eligible spouse’s and/or dependent(s)’s) group health insurance coverage under the Company’s group health plan(s) pursuant to COBRA (provided that the Executive and the Executive’s spouse and/or dependent(s), as applicable, are eligible for and timely elect (via the Company’s third-party COBRA administrator), COBRA continuation coverage under the Company’s group health plan(s) (including medical, dental, and vision insurance coverage, as well as Modern Health coverage)), until the earliest of (a) 12 months from the date on which the Executive’s employment with the Company terminates, (b) the date on which the Executive (or the Executive’s spouse or dependent(s), as applicable) is no longer entitled to COBRA continuation coverage under the Company’s group health plan(s), or (c) the date on which the Executive obtains health coverage through another employer (on the occurrence of such event the Executive is obligated to notify the Company of any such offer of coverage); provided, however, that the Company may unilaterally amend this clause or eliminate the reimbursement provided in this clause to the extent it reasonably deems necessary to avoid the imposition of excise taxes, penalties or similar charges on the Company or its affiliates (or any of their respective successors) (the benefits described in this Section II.3, the “</w:t>
      </w:r>
      <w:r>
        <w:rPr>
          <w:rFonts w:ascii="Times New Roman;serif" w:hAnsi="Times New Roman;serif"/>
          <w:b w:val="false"/>
          <w:i/>
          <w:color w:val="000000"/>
          <w:sz w:val="24"/>
        </w:rPr>
        <w:t>COBRA Benefits</w:t>
      </w:r>
      <w:r>
        <w:rPr>
          <w:color w:val="000000"/>
        </w:rPr>
        <w:t>”</w:t>
      </w:r>
      <w:r>
        <w:rPr>
          <w:rFonts w:ascii="Times New Roman;serif" w:hAnsi="Times New Roman;serif"/>
          <w:b w:val="false"/>
          <w:color w:val="000000"/>
          <w:sz w:val="24"/>
        </w:rPr>
        <w:t xml:space="preserve">). The Executive will be solely responsible for payment of any COBRA premiums for continued coverage following the conclusion of the COBRA Benefits. The Executive agrees that benefits offered via Maven Wallet and any flexible spending accounts maintained by the Company are not eligible for the COBRA Benefits such that the Executive will be responsible for the cost of this coverage should the Executive choose to continue such coverage. This paragraph shall have no impact or effect on the Executive’s (or the Executive’s spouse’s or dependent(s)’s) rights and obligations under COBRA and shall not be construed as an amendment to any employee benefit plan of the Company. If the Executive (or any of the Executive’s spouse and/or dependent(s)) does not timely elect COBRA continuation coverage, the Company shall have no obligation with respect to the payment of the COBRA Benefits under this paragraph. Without limiting the foregoing, after the Company has paid the COBRA Benefits, the Executive will be required to directly pay for any elected COBRA coverage at the rate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85445"/>
                <wp:effectExtent l="0" t="0" r="0" b="0"/>
                <wp:wrapNone/>
                <wp:docPr id="220" name="Frame2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applicable to any other similarly situated COBRA beneficiary on the same basis as any other COBRA payment.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rPr>
        <w:t>The Executive acknowledges and agrees that the benefits described in this Section III are in lieu of, and not in addition to, any benefits that might otherwise be due to her in connection with termination of employment under the Change in Control and Severance Agreement by and between the Executive and the Company, effective as of September 11, 2021 (the “</w:t>
      </w:r>
      <w:r>
        <w:rPr>
          <w:rFonts w:ascii="Times New Roman;serif" w:hAnsi="Times New Roman;serif"/>
          <w:b w:val="false"/>
          <w:i/>
          <w:color w:val="000000"/>
          <w:sz w:val="24"/>
        </w:rPr>
        <w:t>CIC Severance Agreement</w:t>
      </w:r>
      <w:r>
        <w:rPr>
          <w:color w:val="000000"/>
        </w:rPr>
        <w:t>”</w:t>
      </w:r>
      <w:r>
        <w:rPr>
          <w:rFonts w:ascii="Times New Roman;serif" w:hAnsi="Times New Roman;serif"/>
          <w:b w:val="false"/>
          <w:color w:val="000000"/>
          <w:sz w:val="24"/>
        </w:rPr>
        <w:t>), including any benefits due in connection with a “Qualifying Termination” as such term is defined in the CIC Severance Agreement. The Executive acknowledges and agrees that from and after the date of this Agreement, she will no longer be eligible for any payments or benefits pursuant to the CIC Severance Agreement, which shall be deemed terminated and of no further force or effect as of such date.</w:t>
      </w:r>
    </w:p>
    <w:p>
      <w:pPr>
        <w:pStyle w:val="TextBody"/>
        <w:bidi w:val="0"/>
        <w:spacing w:lineRule="auto" w:line="288" w:before="0" w:after="240"/>
        <w:jc w:val="left"/>
        <w:rPr/>
      </w:pPr>
      <w:r>
        <w:rPr>
          <w:rFonts w:ascii="Times New Roman;serif" w:hAnsi="Times New Roman;serif"/>
          <w:b/>
          <w:color w:val="000000"/>
          <w:sz w:val="24"/>
        </w:rPr>
        <w:t>IV.</w:t>
      </w:r>
      <w:r>
        <w:rPr>
          <w:rFonts w:ascii="Times New Roman;serif" w:hAnsi="Times New Roman;serif"/>
          <w:b/>
          <w:color w:val="000000"/>
          <w:sz w:val="24"/>
        </w:rPr>
        <w:t>No Interference with the Executive’s Rights.</w:t>
      </w:r>
    </w:p>
    <w:p>
      <w:pPr>
        <w:pStyle w:val="TextBody"/>
        <w:bidi w:val="0"/>
        <w:spacing w:lineRule="auto" w:line="288"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rPr>
        <w:t>Nothing in this Agreement or otherwise prohibits any person, including the Executive, from reporting possible violations of federal, state, or local law or regulation, communicating directly with or providing information (including documents) not otherwise protected from disclosure by any applicable law or privilege to any governmental agency or entity, including but not limited to the Department of Justice, the Securities and Exchange Commission (“</w:t>
      </w:r>
      <w:r>
        <w:rPr>
          <w:rFonts w:ascii="Times New Roman;serif" w:hAnsi="Times New Roman;serif"/>
          <w:b w:val="false"/>
          <w:i/>
          <w:color w:val="000000"/>
          <w:sz w:val="24"/>
        </w:rPr>
        <w:t>SEC</w:t>
      </w:r>
      <w:r>
        <w:rPr>
          <w:color w:val="000000"/>
        </w:rPr>
        <w:t>”</w:t>
      </w:r>
      <w:r>
        <w:rPr>
          <w:rFonts w:ascii="Times New Roman;serif" w:hAnsi="Times New Roman;serif"/>
          <w:b w:val="false"/>
          <w:color w:val="000000"/>
          <w:sz w:val="24"/>
        </w:rPr>
        <w:t>), Congress, the Equal Opportunity Commission, the National Labor Relations Board, the Occupational Safety and Health Administration, any agency Inspector General or any other federal, state, or local governmental agency or commission (collectively, “</w:t>
      </w:r>
      <w:r>
        <w:rPr>
          <w:rFonts w:ascii="Times New Roman;serif" w:hAnsi="Times New Roman;serif"/>
          <w:b w:val="false"/>
          <w:i/>
          <w:color w:val="000000"/>
          <w:sz w:val="24"/>
        </w:rPr>
        <w:t>Government Entities</w:t>
      </w:r>
      <w:r>
        <w:rPr>
          <w:color w:val="000000"/>
        </w:rPr>
        <w:t>”</w:t>
      </w:r>
      <w:r>
        <w:rPr>
          <w:rFonts w:ascii="Times New Roman;serif" w:hAnsi="Times New Roman;serif"/>
          <w:b w:val="false"/>
          <w:color w:val="000000"/>
          <w:sz w:val="24"/>
        </w:rPr>
        <w:t>), participating in an investigation or proceeding conducted by a Government Entity, disclosing or discussing conduct they reasonably believe to be illegal discrimination, illegal harassment, illegal retaliation, a wage and hour violation or sexual assault or that is recognized as against a clear mandate of public policy or the existence of a settlement involving any such event or conduct or making other disclosures that are protected under the whistleblower provisions of federal law and regulation. The Executive does not need the prior authorization of the Company to make any such reports or disclosures. The Executive is not required to notify the Company that she has made any such reports or disclosures and any such reports or disclosures expressly do not violate any provision of this Agreement. The Executive can provide Confidential Information (as defined below) to Government Entities without risk of being held liable by the Company for liquidated damages or other financial penalties. The Company may not retaliate against the Executive for any of these activities and nothing in this Agreement or otherwise requires the Executive to waive or limit the Executive’s right to receive any monetary award or other payment for information provided to Government Entities. Nothing in this Agreement or otherwise (i) requires the Executive to disclose any communications the Executive may have had or information the Executive may have provided to the SEC or any other Government Entities regarding possible legal violations or (ii) is intended to limit, nor does it limit, any applicable rights that the Executive may have under Section 7 of the National Labor Relations Act.</w:t>
      </w:r>
    </w:p>
    <w:p>
      <w:pPr>
        <w:pStyle w:val="TextBody"/>
        <w:bidi w:val="0"/>
        <w:spacing w:lineRule="auto" w:line="288"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rPr>
        <w:t xml:space="preserve">Nothing in this Agreement or otherwise prohibits the Executive from reporting an event that the Executive reasonably and in good faith believes is a violation of law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85445"/>
                <wp:effectExtent l="0" t="0" r="0" b="0"/>
                <wp:wrapNone/>
                <wp:docPr id="221" name="Frame2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to the relevant law enforcement agency (such as the SEC, Equal Employment Opportunity Commission, or Department of Labor) or from cooperating in an investigation conducted by such a government agency. The Executive is hereby provided notice that under the 2016 Defend Trade Secrets Act (“</w:t>
      </w:r>
      <w:r>
        <w:rPr>
          <w:rFonts w:ascii="Times New Roman;serif" w:hAnsi="Times New Roman;serif"/>
          <w:b w:val="false"/>
          <w:i/>
          <w:color w:val="000000"/>
          <w:sz w:val="24"/>
        </w:rPr>
        <w:t>DTSA</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no individual will be held criminally or civilly liable under federal or state trade secret law for the disclosure of a trade secret (as defined under the DTSA) that: (i) is made in confidence to a federal, state, or local government official, either directly or indirectly or to an attorney; and made solely for the purpose of reporting or investigating a suspected violation of law or (ii) is made in a complaint or other document filed in a lawsuit or other proceeding, if such filing is made under seal so that it is not made public; and</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pStyle w:val="TextBody"/>
        <w:bidi w:val="0"/>
        <w:spacing w:lineRule="auto" w:line="288" w:before="0" w:after="240"/>
        <w:jc w:val="left"/>
        <w:rPr/>
      </w:pPr>
      <w:r>
        <w:rPr>
          <w:rFonts w:ascii="Times New Roman;serif" w:hAnsi="Times New Roman;serif"/>
          <w:b/>
          <w:color w:val="000000"/>
          <w:sz w:val="24"/>
        </w:rPr>
        <w:t>V.</w:t>
      </w:r>
      <w:r>
        <w:rPr>
          <w:rFonts w:ascii="Times New Roman;serif" w:hAnsi="Times New Roman;serif"/>
          <w:b/>
          <w:color w:val="000000"/>
          <w:sz w:val="24"/>
        </w:rPr>
        <w:t>Release of Claims.</w:t>
      </w:r>
    </w:p>
    <w:p>
      <w:pPr>
        <w:pStyle w:val="TextBody"/>
        <w:bidi w:val="0"/>
        <w:spacing w:lineRule="auto" w:line="288"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rPr>
        <w:t xml:space="preserve">The payments and promises set forth in this Agreement are in full satisfaction of all accrued salary, vacation pay, bonus and commission pay, profit-sharing, stock, stock options or other ownership interest in the Company, termination benefits, or other compensation to which the Executive may be entitled by virtue of the Executive’s prior employment with the Company or the Executive’s separation from the Company. Subject to applicable law and to the fullest extent permitted by law, the Executive hereby releases and waives any other claims the Executive may have against the Company and its owners, agents, officers, stockholders, employees, directors, attorneys, insurers, insurance policies, benefit plans, subscribers, subsidiaries, affiliates, successors, and assigns, whether known or not known, that arose on or before the time the Executive signed this Agreement, including, without limitation, claims of wrongful termination, claims of constructive discharge, claims arising out of agreements, representations or policies related to the Executive’s prior employment, claims arising under federal, state or local laws, statutes or ordinances prohibiting discrimination or harassment or requiring accommodation on the basis of age, race, color, national origin, religion, sex, disability, marital status, sexual orientation or any other status, claims arising under federal, state or local laws, statutes or ordinances prohibiting retaliation or discrimination against a person for making complaints or for any other actions or inactions, claims of failure to accommodate a disability or religious practice, claims for violation of public policy, claims of failure to assist the Executive in applying for future position openings, claims of failure to hire the Executive for future position openings, claims for wages or compensation of any kind, claims of willful withholding of wages, claims of tortious interference with contract or expectancy, claims of fraud or negligent misrepresentation, claims of breach of privacy, defamation claims, claims of intentional or negligent infliction of emotional distress, claims of unfair labor practices, claims arising out of any claimed right to stock or stock options, claims for attorneys’ fees or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85445"/>
                <wp:effectExtent l="0" t="0" r="0" b="0"/>
                <wp:wrapNone/>
                <wp:docPr id="222" name="Frame2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costs and any and all claims that are based on any legal obligations that arise out of or are related to the Executive’s employment relationship with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rPr>
        <w:t>The claims the Executive is releasing also include, but are not limited to, claims arising under or based on any of the following statutes, among others: the Washington Law Against Discrimination (RCW 49.60), the Washington Prohibited Employment Practices Law (RCW 49.44), the anti-retaliation provisions of the Washington Industrial Insurance Act (RCW 51.48) and Washington Industrial Safety and Health Act (RCW 49.17), the Washington Whistleblower Act (RCW 42.40), the Washington Minimum Wage Act (RCW 49.46), the Washington Industrial Welfare Act (RCW 49.12), the Washington Agricultural Labor Law (RCW 49.30), the Washington Hours of Labor Law (RCW 49.28), Washington’s statutes related to wages (including RCW 49.48, RCW 49.52 and RCW 49.58), the Washington Veterans Employment and Reemployment Act (RCW 73.16), the Washington Military Family Leave Act (RCW 49.77), the Washington Domestic Violence Leave Law (RCW 49.76), the Washington Family Care Act and Parental Leave Law (RCW 49.12), the Washington Paid Family and Medical Leave Act (RCW 50A.05), the Washington Healthy Staits Act (RCW 43.10.005), the Washington Little Norris-LaGuardia Act (RCW 49.32), the Washington Fair Credit Reporting Act (RCW 19.182), the Washington Electronic Privacy Act (RCW 9.73), the Washington noncompetition law (RCW 49.62), the Washington Silenced No More Act (RCW 49.44.211), the Civil Rights Act of 1870 (42 U.S.C. § 1981), the Civil Rights Act of 1871 (42 U.S.C. § 1983), the Equal Pay Act of 1963, the Civil Rights Act of 1964 (including Title VII of that Act), the Age Discrimination in Employment Act of 1967 (ADEA), the Rehabilitation Act of 1973, the Americans with Disabilities Act of 1990 (ADA), the Older Workers Benefit Protection Act of 1990 (OWBPA), the Family and Medical Leave Act (FMLA), the Uniformed Services Employment and Reemployment Rights Act of 1994 (USERRA), the Genetic Information Nondiscrimination Act of 2008 (GINA), the Worker Adjustment and Retraining Notification Act (WARN), the Employee Retirement Income Security Act of 1974 (ERISA), the National Labor Relations Act (NLRA), the Consumer Product Safety Improvement Act, the Occupational Safety and Health Act, the Food Safety Modernization Act and all similar federal, state, and local laws.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rPr>
        <w:t>Except as set forth in the protected rights described in Section IV, the Executive agrees not to seek any personal recovery (of money damages, injunctive relief, or otherwise) for the claims the Executive is releasing in this Agreement and agrees never to start any lawsuit or arbitration asserting any of the claims the Executive is releasing in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rPr>
        <w:t>Except as set forth in the protected rights described in Section IV, the Executive represents and warrants that the Executive has not initiated any complaint, charge, lawsuit, or arbitration involving any of the claims the Executive is releasing in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rPr>
        <w:t xml:space="preserve">The Executive agrees that this Agreement gives the Executive fair economic value for any and all potential claims the Executive may have and that the Executive is not entitled to any other damages or relief. The Executive understands that the Executive is releasing potentially unknown claims and that the Executive has limited knowledge with respect to some of the claims being released. The Executive acknowledges that there is a risk that, after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85445"/>
                <wp:effectExtent l="0" t="0" r="0" b="0"/>
                <wp:wrapNone/>
                <wp:docPr id="223" name="Frame2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signing this Agreement, the Executive may learn information that might have affected the Executive’s decision to enter into this Agreement. The Executive acknowledges, for example, that the Executive may learn that the Executive has suffered injuries of which the Executive is not presently aware. The Executive assumes this risk and all other risks of any mistake in entering into this Agreement. The Executive agrees that this release is fairly and knowingly made.</w:t>
      </w:r>
    </w:p>
    <w:p>
      <w:pPr>
        <w:pStyle w:val="TextBody"/>
        <w:bidi w:val="0"/>
        <w:spacing w:lineRule="auto" w:line="288" w:before="0" w:after="240"/>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rPr>
        <w:t>The Executive hereby acknowledges that the Executive is aware of the principle that a general release does not extend to claims that the releasor does not know or suspect to exist in its favor at the time of executing the release, which, if known by him or her, must have materially affected its settlement with the releasee. With knowledge of this principle, the Executive hereby agrees to expressly waive any rights the Executive may have to that effect. Notwithstanding anything herein to the contrary, the general release of claims in this Agreement does not extend to claims by you for: (1) unemployment compensation benefits; (2) worker’s compensation benefits; (3) state disability compensation; (4) previously vested benefits under any the Company-sponsored benefits plan; (5) claims for indemnification pursuant to any applicable Director and Officer insurance policies held by the Company, or any other agreement or understanding regarding indemnification between the Parties; or (6) claims related to the enforcement of this Agreement.</w:t>
      </w:r>
    </w:p>
    <w:p>
      <w:pPr>
        <w:pStyle w:val="TextBody"/>
        <w:bidi w:val="0"/>
        <w:spacing w:lineRule="auto" w:line="288" w:before="0" w:after="0"/>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rPr>
        <w:t>The Company and its officers, subsidiaries, affiliates, successors, and assigns hereby releases and forever discharges the Executive from any and all claims, actions, causes of action, debts, fees, costs, expenses, contracts, promises, liens, liabilities, losses, demands, and damages of any nature whatsoever, known or unknown, fixed or contingent, in law or in equity, under statute or otherwise, in each case arising out of the Executive’s employment relationship with the Company; except for those involving breach of fiduciary duty or obligation, gross negligence, or moral turpitude, including but not limited to theft, fraud, forgery, bribery, corruption, dishonesty, embezzlement, and misrepresentation.</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4"/>
        </w:rPr>
        <w:t>VI.</w:t>
      </w:r>
      <w:r>
        <w:rPr>
          <w:rFonts w:ascii="Times New Roman;serif" w:hAnsi="Times New Roman;serif"/>
          <w:b/>
          <w:color w:val="000000"/>
          <w:sz w:val="24"/>
        </w:rPr>
        <w:t>Mutual Arbitration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rPr>
        <w:t>The Federal Arbitration Act (9 U.S.C. § I et seq.) governs the terms of the Mutual Arbitration Agreement (“</w:t>
      </w:r>
      <w:r>
        <w:rPr>
          <w:rFonts w:ascii="Times New Roman;serif" w:hAnsi="Times New Roman;serif"/>
          <w:b w:val="false"/>
          <w:i/>
          <w:color w:val="000000"/>
          <w:sz w:val="24"/>
        </w:rPr>
        <w:t>Arbitration Agreement”</w:t>
      </w:r>
      <w:r>
        <w:rPr>
          <w:rFonts w:ascii="Times New Roman;serif" w:hAnsi="Times New Roman;serif"/>
          <w:b w:val="false"/>
          <w:color w:val="000000"/>
          <w:sz w:val="24"/>
        </w:rPr>
        <w:t>), which evidences a transaction involving commerce.</w:t>
      </w:r>
    </w:p>
    <w:p>
      <w:pPr>
        <w:pStyle w:val="TextBody"/>
        <w:bidi w:val="0"/>
        <w:spacing w:lineRule="auto" w:line="288"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rPr>
        <w:t>CLAIMS COVERED BY THIS ARBITRATION AGREEMENT: All disputes arising out of or related to this Agreement shall be decided by a single arbitrator through final and binding arbitration and not by way of court or jury trial. THE PARTIES EXPRESSLY WAIVE THEIR RIGHT TO A JURY TRIAL. This Arbitration Agreement applies to any dispute between the Executive and the Company (including any of its officers, directors, employees, or agents). The arbitrator shall have authority to decide gateway issues, including statute of limitations and timeliness, validity, applicability, enforceability, waiver, formation or arbitrability.</w:t>
      </w:r>
    </w:p>
    <w:p>
      <w:pPr>
        <w:pStyle w:val="TextBody"/>
        <w:bidi w:val="0"/>
        <w:spacing w:lineRule="auto" w:line="288" w:before="0" w:after="240"/>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rPr>
        <w:t xml:space="preserve">CLAIMS NOT COVERED BY THIS ARBITRATION AGREEMENT: The following claims are not covered under the Arbitration Agreement: disputes that may not be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85445"/>
                <wp:effectExtent l="0" t="0" r="0" b="0"/>
                <wp:wrapNone/>
                <wp:docPr id="224" name="Frame2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subject to arbitration or pre-dispute arbitration agreement as expressly provided by a controlling federal statute (including, for example, disputes that may not be subject to pre-dispute arbitration agreement under the Ending Forced Arbitration of Sexual Assault and Sexual Harassment Act (at the Executive’s election)). If any claim(s) not covered under this Arbitration Agreement above are combined with claims that are covered under this Arbitration Agreement, to the maximum extent allowed under applicable law, the covered claims will be arbitrated and continue to be covered under this Arbitration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Nothing in this Arbitration Agreement or otherwise prevents the Executive from making a report to or filing a claim or charge with a governmental agency or law enforcement agencies and nothing in this Arbitration Agreement prevents the investigation by a government agency of any report, claim, or charge otherwise covered by this Arbitration Agreement. This Arbitration Agreement also does not prevent federal administrative agencies from adjudicating claims and awarding remedies based on the claims addressed in this paragraph, even if the claims would otherwise be covered by this Arbitration Agreement. The Company will not retaliate against the Executive for filing a claim with an administrative agency. This Arbitration Agreement also does not prevent or prohibit the Executive in any way from reporting, communicating about, or disclosing claims for discrimination, harassment, retaliation, or sexual abuse.</w:t>
      </w:r>
    </w:p>
    <w:p>
      <w:pPr>
        <w:pStyle w:val="TextBody"/>
        <w:bidi w:val="0"/>
        <w:spacing w:lineRule="auto" w:line="288" w:before="0" w:after="240"/>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rPr>
        <w:t>CLASS AND COLLECTIVE ACTION WAIVERS: THE COMPANY AND THE EXECUTIVE WAIVE ANY RIGHT FOR ANY DISPUTE TO BE BROUGHT, HEARD, DECIDED, OR ARBITRATED AS A CLASS OR COLLECTIVE ACTION AND THE ARBITRATOR WILL HAVE NO AUTHORITY TO HEAR OR PRESIDE OVER ANY SUCH CLAIM (“</w:t>
      </w:r>
      <w:r>
        <w:rPr>
          <w:rFonts w:ascii="Times New Roman;serif" w:hAnsi="Times New Roman;serif"/>
          <w:b w:val="false"/>
          <w:i/>
          <w:color w:val="000000"/>
          <w:sz w:val="24"/>
        </w:rPr>
        <w:t>Class Action Waiver</w:t>
      </w:r>
      <w:r>
        <w:rPr>
          <w:color w:val="000000"/>
        </w:rPr>
        <w:t>”</w:t>
      </w:r>
      <w:r>
        <w:rPr>
          <w:rFonts w:ascii="Times New Roman;serif" w:hAnsi="Times New Roman;serif"/>
          <w:b w:val="false"/>
          <w:color w:val="000000"/>
          <w:sz w:val="24"/>
        </w:rPr>
        <w:t>). The Class Action Waiver will be severable from this Arbitration Agreement in any case in which the dispute is filed as a class or collective action and there is a final judicial determination that the Class Action Waiver is invalid, unenforceable, unconscionable, void, or voidable. In such case, the class or collective action must be litigated in a civil court of competent jurisdiction-not in arbitration-but the portion of the Class Action Waiver that is enforceable shall be enforced in arbitration.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rPr>
        <w:t>If either Party wishes to initiate arbitration, the initiating Party must notify the other Party in writing via certified mail, return receipt requested, within the applicable statute of limitations period. This demand for arbitration must include (1) the name and address of the Party seeking arbitration, (2) a statement of the legal and factual basis of the claim, and (3) a description of the remedy sought and must be signed by the Party bringing the claim. The arbitrator will resolve all disputes regarding the timeliness or propriety of the demand for arbitration and apply the statute of limitations that would have applied if the claim(s) been brought in court.</w:t>
      </w:r>
    </w:p>
    <w:p>
      <w:pPr>
        <w:pStyle w:val="TextBody"/>
        <w:bidi w:val="0"/>
        <w:spacing w:lineRule="auto" w:line="288" w:before="0" w:after="240"/>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rPr>
        <w:t>Arbitration shall be governed by the American Arbitration Association Commercial Arbitration Rules, (“</w:t>
      </w:r>
      <w:r>
        <w:rPr>
          <w:rFonts w:ascii="Times New Roman;serif" w:hAnsi="Times New Roman;serif"/>
          <w:b w:val="false"/>
          <w:i/>
          <w:color w:val="000000"/>
          <w:sz w:val="24"/>
        </w:rPr>
        <w:t>AAA Rules</w:t>
      </w:r>
      <w:r>
        <w:rPr>
          <w:color w:val="000000"/>
        </w:rPr>
        <w:t>”</w:t>
      </w:r>
      <w:r>
        <w:rPr>
          <w:rFonts w:ascii="Times New Roman;serif" w:hAnsi="Times New Roman;serif"/>
          <w:b w:val="false"/>
          <w:color w:val="000000"/>
          <w:sz w:val="24"/>
        </w:rPr>
        <w:t>), incorporated herein by reference (the AAA Rules are available via the internet at www.adr.org/commercial or by using a service such as www.google.com to search for “</w:t>
      </w:r>
      <w:r>
        <w:rPr>
          <w:rFonts w:ascii="Times New Roman;serif" w:hAnsi="Times New Roman;serif"/>
          <w:b w:val="false"/>
          <w:i/>
          <w:color w:val="000000"/>
          <w:sz w:val="24"/>
        </w:rPr>
        <w:t>AAA Commercial Arbitration Rules</w:t>
      </w:r>
      <w:r>
        <w:rPr>
          <w:color w:val="000000"/>
        </w:rPr>
        <w:t>”</w:t>
      </w:r>
      <w:r>
        <w:rPr>
          <w:rFonts w:ascii="Times New Roman;serif" w:hAnsi="Times New Roman;serif"/>
          <w:b w:val="false"/>
          <w:color w:val="000000"/>
          <w:sz w:val="24"/>
        </w:rPr>
        <w:t>) provided however, that if there is a conflict between the AAA Rules and this Arbitration Agreement, this Arbitration Agreement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85445"/>
                <wp:effectExtent l="0" t="0" r="0" b="0"/>
                <wp:wrapNone/>
                <wp:docPr id="225" name="Frame2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arbitration shall be heard by one neutral arbitrator selected in accordance with the AAA Rules. The arbitrator shall be an attorney with experience in the law underlying the dispute or a retired judge.</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If the Parties cannot otherwise agree on a location for the arbitration, the arbitration shall take place in Seattle, Washington.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The Executive must pay for any filing or initiation fee. The Executive and the Company will otherwise pay the fees and costs of arbitration in accordance with the AAA Rules and applicable law. In the event applicable law requires a different allocation of fees and costs in order for this Arbitration Agreement to be enforceable, then such law will be followed. Each Party will pay for its own costs and attorneys’ fees, if any, but if any Party prevails on a claim which affords the prevailing Party attorneys’ fees and costs, the arbitrator shall award reasonable fees to the prevailing Party. The arbitrator will resolve any disputes regarding costs/fees associated with arbitration.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The arbitrator’s decision or award shall be in writing with findings of fact and conclusions of law. Judgment may be entered on the arbitrator’s decision or award in any court having jurisdiction.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rPr>
        <w:t>CONSIDERATION: The mutual obligations by the Company and the Executive to arbitrate provide consideration for this Arbitration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rPr>
        <w:t>The Executive agrees and acknowledges that entering into this Arbitration Agreement does not change the Executive’s status with the Company notwithstanding this Arbitration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9.</w:t>
      </w:r>
      <w:r>
        <w:rPr>
          <w:rFonts w:ascii="Times New Roman;serif" w:hAnsi="Times New Roman;serif"/>
          <w:b w:val="false"/>
          <w:color w:val="000000"/>
          <w:sz w:val="24"/>
        </w:rPr>
        <w:t>This Arbitration Agreement is the full and complete agreement relating to the formal resolution of disputes covered by this Arbitration Agreement. This Arbitration Agreement will survive the termination of the Executive’s services for the Company and it will apply upon renewal or performance of services for the Company and/or if the Executive becomes reemployed by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 signing below, the Executive is agreeing to and accepting this Arbitration Agreement. By issuance of this Arbitration Agreement, the Company agrees to be bound by its terms without any requirement to sign this Arbitration Agreement.</w:t>
      </w:r>
    </w:p>
    <w:p>
      <w:pPr>
        <w:pStyle w:val="TextBody"/>
        <w:bidi w:val="0"/>
        <w:spacing w:lineRule="auto" w:line="288" w:before="0" w:after="240"/>
        <w:jc w:val="left"/>
        <w:rPr/>
      </w:pPr>
      <w:r>
        <w:rPr>
          <w:rFonts w:ascii="Times New Roman;serif" w:hAnsi="Times New Roman;serif"/>
          <w:b/>
          <w:color w:val="000000"/>
          <w:sz w:val="24"/>
        </w:rPr>
        <w:t>VII.</w:t>
      </w:r>
      <w:r>
        <w:rPr>
          <w:rFonts w:ascii="Times New Roman;serif" w:hAnsi="Times New Roman;serif"/>
          <w:b/>
          <w:color w:val="000000"/>
          <w:sz w:val="24"/>
        </w:rPr>
        <w:t>Confidentiality</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rPr>
        <w:t xml:space="preserve">The Executive acknowledges that items of Confidential Information are the Company’s valuable assets and have economic value because they are not generally known by the public or others who could use them to their own economic benefit and/or to the competitive disadvantage of the Company. Subject to the protected rights described in Section IV, the Executive agrees to use Confidential Information only in the performance of her services to the Company, to hold such information in confidence and trust and not to engage in any unauthorized use or disclosure of such information during the engagement and for so long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85445"/>
                <wp:effectExtent l="0" t="0" r="0" b="0"/>
                <wp:wrapNone/>
                <wp:docPr id="226" name="Frame2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thereafter as such Information qualifies as Confidential Information. The Executive will follow industry best practices and any additional Company instructions regarding use or storage of Confidential Information and return all such records (including all copies) when the engagement with the Company ends or sooner if requested. The obligations hereunder regarding Confidential Information shall continue for so long as the information remains confidential. However, in the event a reviewing court requires a time frame for the protection of Confidential Information, the Executive’s nondisclosure obligation shall extend for a period of three years after the Executive’s termination as to Confidential Information that does not qualify for protection as a trade secret. Trade Secret information shall be protected from disclosure as long as the information at issue continues to qualify as a trade secret. For purposes of this Agreement: “</w:t>
      </w:r>
      <w:r>
        <w:rPr>
          <w:rFonts w:ascii="Times New Roman;serif" w:hAnsi="Times New Roman;serif"/>
          <w:b w:val="false"/>
          <w:i/>
          <w:color w:val="000000"/>
          <w:sz w:val="24"/>
        </w:rPr>
        <w:t>Confidential Information</w:t>
      </w:r>
      <w:r>
        <w:rPr>
          <w:color w:val="000000"/>
        </w:rPr>
        <w:t xml:space="preserve">” </w:t>
      </w:r>
      <w:r>
        <w:rPr>
          <w:rFonts w:ascii="Times New Roman;serif" w:hAnsi="Times New Roman;serif"/>
          <w:b w:val="false"/>
          <w:color w:val="000000"/>
          <w:sz w:val="24"/>
        </w:rPr>
        <w:t>means an item or compilation of non-public proprietary information in any form (tangible or intangible) related to the Company’s business that the Executive acquires or gains access to during the engagement that the Company has not authorized public disclosure of and that is not readily available to the public or persons outside the Company. By way of example and not limitation, Confidential Information includes: private contract terms, customer business preferences, historical transaction data regarding customers and customer implementation plans; financial performance; business plans and strategies; customized software, internal business methods, processes, and systems and innovations; marketing plans, market surveys, research, and analysis; unpublished pricing information and variables such as costs, discounting options and profit margins; business sale and acquisition opportunities identified by the Company; dealings with vendors, suppliers, manufacturers, distributors, and customers; information regarding product sourcing; and Company trade secrets.</w:t>
      </w:r>
    </w:p>
    <w:p>
      <w:pPr>
        <w:pStyle w:val="TextBody"/>
        <w:bidi w:val="0"/>
        <w:spacing w:lineRule="auto" w:line="288" w:before="0" w:after="240"/>
        <w:jc w:val="left"/>
        <w:rPr/>
      </w:pPr>
      <w:r>
        <w:rPr>
          <w:rFonts w:ascii="Times New Roman;serif" w:hAnsi="Times New Roman;serif"/>
          <w:b/>
          <w:color w:val="000000"/>
          <w:sz w:val="24"/>
        </w:rPr>
        <w:t>VIII.</w:t>
      </w:r>
      <w:r>
        <w:rPr>
          <w:rFonts w:ascii="Times New Roman;serif" w:hAnsi="Times New Roman;serif"/>
          <w:b/>
          <w:color w:val="000000"/>
          <w:sz w:val="24"/>
        </w:rPr>
        <w:t>No Disparagement</w:t>
      </w:r>
      <w:r>
        <w:rPr>
          <w:rFonts w:ascii="Times New Roman;serif" w:hAnsi="Times New Roman;serif"/>
          <w:b w:val="false"/>
          <w:color w:val="000000"/>
          <w:sz w:val="24"/>
        </w:rPr>
        <w:t>. Subject to the protected rights described in Section IV, the Executive agrees that she will not make any disparaging statements (orally or in writing) about the Company or its products, services, strategy, legal or business practices, past venture capital investors, known institutional investors or current or past (as of the date of this Agreement) directors, officers, and employees of the Company.</w:t>
      </w:r>
    </w:p>
    <w:p>
      <w:pPr>
        <w:pStyle w:val="TextBody"/>
        <w:bidi w:val="0"/>
        <w:spacing w:lineRule="auto" w:line="288" w:before="0" w:after="240"/>
        <w:jc w:val="left"/>
        <w:rPr/>
      </w:pPr>
      <w:r>
        <w:rPr>
          <w:rFonts w:ascii="Times New Roman;serif" w:hAnsi="Times New Roman;serif"/>
          <w:b/>
          <w:color w:val="000000"/>
          <w:sz w:val="24"/>
        </w:rPr>
        <w:t>IX.</w:t>
      </w:r>
      <w:r>
        <w:rPr>
          <w:rFonts w:ascii="Times New Roman;serif" w:hAnsi="Times New Roman;serif"/>
          <w:b/>
          <w:color w:val="000000"/>
          <w:sz w:val="24"/>
        </w:rPr>
        <w:t>Return of Property</w:t>
      </w:r>
      <w:r>
        <w:rPr>
          <w:rFonts w:ascii="Times New Roman;serif" w:hAnsi="Times New Roman;serif"/>
          <w:b w:val="false"/>
          <w:color w:val="000000"/>
          <w:sz w:val="24"/>
        </w:rPr>
        <w:t xml:space="preserve">. Subject to the protected rights described in Section IV, as of the Transition Date or sooner if instructed, the Executive shall immediately return all Company property. This includes laptops, cell phones, keys, Confidential Information, and other Company property. This also includes all log-ins and passwords necessary for the Company to access her information. </w:t>
      </w:r>
    </w:p>
    <w:p>
      <w:pPr>
        <w:pStyle w:val="TextBody"/>
        <w:bidi w:val="0"/>
        <w:spacing w:lineRule="auto" w:line="288" w:before="0" w:after="240"/>
        <w:jc w:val="left"/>
        <w:rPr/>
      </w:pPr>
      <w:r>
        <w:rPr>
          <w:rFonts w:ascii="Times New Roman;serif" w:hAnsi="Times New Roman;serif"/>
          <w:b/>
          <w:color w:val="000000"/>
          <w:sz w:val="24"/>
        </w:rPr>
        <w:t>X.</w:t>
      </w:r>
      <w:r>
        <w:rPr>
          <w:rFonts w:ascii="Times New Roman;serif" w:hAnsi="Times New Roman;serif"/>
          <w:b/>
          <w:color w:val="000000"/>
          <w:sz w:val="24"/>
        </w:rPr>
        <w:t>Cooperation</w:t>
      </w:r>
      <w:r>
        <w:rPr>
          <w:rFonts w:ascii="Times New Roman;serif" w:hAnsi="Times New Roman;serif"/>
          <w:b w:val="false"/>
          <w:color w:val="000000"/>
          <w:sz w:val="24"/>
        </w:rPr>
        <w:t>. The Executive agrees that, when requested by the Company, the Executive will promptly complete and return her Directors’ and Officers’ Questionnaire.</w:t>
      </w:r>
    </w:p>
    <w:p>
      <w:pPr>
        <w:pStyle w:val="TextBody"/>
        <w:bidi w:val="0"/>
        <w:spacing w:lineRule="auto" w:line="288" w:before="0" w:after="240"/>
        <w:jc w:val="left"/>
        <w:rPr/>
      </w:pPr>
      <w:r>
        <w:rPr>
          <w:rFonts w:ascii="Times New Roman;serif" w:hAnsi="Times New Roman;serif"/>
          <w:b/>
          <w:color w:val="000000"/>
          <w:sz w:val="24"/>
        </w:rPr>
        <w:t>XI.</w:t>
      </w:r>
      <w:r>
        <w:rPr>
          <w:rFonts w:ascii="Times New Roman;serif" w:hAnsi="Times New Roman;serif"/>
          <w:b/>
          <w:color w:val="000000"/>
          <w:sz w:val="24"/>
        </w:rPr>
        <w:t>Consideration and Revocation Periods</w:t>
      </w:r>
      <w:r>
        <w:rPr>
          <w:rFonts w:ascii="Times New Roman;serif" w:hAnsi="Times New Roman;serif"/>
          <w:b w:val="false"/>
          <w:color w:val="000000"/>
          <w:sz w:val="24"/>
        </w:rPr>
        <w:t>. The Executive agrees by her signature below that she had, and that the Company gave her, at least 21 days to review and consider this Agreement before signing it, and that such period was sufficient for her to fully and completely consider all of its terms. The Company hereby advises the Executive to discuss this Agreement with her own attorney during this period if the Executive wishes to do so. The Executive may accept this Agreement by delivering a copy of the Agreement signed by the Executive to the Company within 21</w:t>
      </w:r>
      <w:r>
        <w:rPr>
          <w:color w:val="000000"/>
        </w:rPr>
        <w:t xml:space="preserve"> </w:t>
      </w:r>
      <w:r>
        <w:rPr>
          <w:rFonts w:ascii="Times New Roman;serif" w:hAnsi="Times New Roman;serif"/>
          <w:b w:val="false"/>
          <w:color w:val="000000"/>
          <w:sz w:val="24"/>
        </w:rPr>
        <w:t xml:space="preserve">days from the day she receives the Agreement. The Executive may revoke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85445"/>
                <wp:effectExtent l="0" t="0" r="0" b="0"/>
                <wp:wrapNone/>
                <wp:docPr id="227" name="Frame2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her acceptance of the Agreement for a period of seven days after signing the Agreement by delivering written notification to the Company within that seven-day period. If the Executive does not revoke her acceptance of the Agreement, it will be effective on the eighth day after she signs it. If the Executive revokes her acceptance of the Agreement, she will not be entitled to the benefits listed in Section III above. The Executive agrees that she has carefully read this Agreement, fully understands what it means and is entering into the Agreement voluntarily without duress, coercion, fraud, misrepresentation, or threat to withdraw or alter the offer prior to the expiration of the 21 day consideration period.</w:t>
      </w:r>
    </w:p>
    <w:p>
      <w:pPr>
        <w:pStyle w:val="TextBody"/>
        <w:bidi w:val="0"/>
        <w:spacing w:lineRule="auto" w:line="288" w:before="0" w:after="240"/>
        <w:jc w:val="left"/>
        <w:rPr/>
      </w:pPr>
      <w:r>
        <w:rPr>
          <w:rFonts w:ascii="Times New Roman;serif" w:hAnsi="Times New Roman;serif"/>
          <w:b/>
          <w:color w:val="000000"/>
          <w:sz w:val="24"/>
        </w:rPr>
        <w:t>XII.</w:t>
      </w:r>
      <w:r>
        <w:rPr>
          <w:rFonts w:ascii="Times New Roman;serif" w:hAnsi="Times New Roman;serif"/>
          <w:b/>
          <w:color w:val="000000"/>
          <w:sz w:val="24"/>
        </w:rPr>
        <w:t>General Provisions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1.</w:t>
      </w:r>
      <w:r>
        <w:rPr>
          <w:rFonts w:ascii="Times New Roman;serif" w:hAnsi="Times New Roman;serif"/>
          <w:b/>
          <w:color w:val="000000"/>
          <w:sz w:val="24"/>
        </w:rPr>
        <w:t>No Assignment</w:t>
      </w:r>
      <w:r>
        <w:rPr>
          <w:rFonts w:ascii="Times New Roman;serif" w:hAnsi="Times New Roman;serif"/>
          <w:b w:val="false"/>
          <w:color w:val="000000"/>
          <w:sz w:val="24"/>
        </w:rPr>
        <w:t>. The Company may assign its rights under this Agreement to its successors and its affiliates. Aside from this right, neither Party may assign this Agreement, in whole or in part, without the prior written consent of the other Party.</w:t>
      </w:r>
    </w:p>
    <w:p>
      <w:pPr>
        <w:pStyle w:val="TextBody"/>
        <w:bidi w:val="0"/>
        <w:spacing w:lineRule="auto" w:line="288" w:before="0" w:after="240"/>
        <w:ind w:left="0" w:right="0" w:firstLine="1440"/>
        <w:jc w:val="left"/>
        <w:rPr/>
      </w:pPr>
      <w:r>
        <w:rPr>
          <w:rFonts w:ascii="Times New Roman;serif" w:hAnsi="Times New Roman;serif"/>
          <w:b w:val="false"/>
          <w:color w:val="000000"/>
          <w:sz w:val="24"/>
        </w:rPr>
        <w:t>2.</w:t>
      </w:r>
      <w:r>
        <w:rPr>
          <w:rFonts w:ascii="Times New Roman;serif" w:hAnsi="Times New Roman;serif"/>
          <w:b/>
          <w:color w:val="000000"/>
          <w:sz w:val="24"/>
        </w:rPr>
        <w:t>Governing Law; Venue</w:t>
      </w:r>
      <w:r>
        <w:rPr>
          <w:rFonts w:ascii="Times New Roman;serif" w:hAnsi="Times New Roman;serif"/>
          <w:b w:val="false"/>
          <w:color w:val="000000"/>
          <w:sz w:val="24"/>
        </w:rPr>
        <w:t>. Except as provided in the Arbitration Agreement above, any action arising out of or related to this Agreement shall be governed by the laws of the State of Washington, without regard to its conflict of law principles, and brought in the State of Washington.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3.</w:t>
      </w:r>
      <w:r>
        <w:rPr>
          <w:rFonts w:ascii="Times New Roman;serif" w:hAnsi="Times New Roman;serif"/>
          <w:b/>
          <w:color w:val="000000"/>
          <w:sz w:val="24"/>
        </w:rPr>
        <w:t>Severability/Survival</w:t>
      </w:r>
      <w:r>
        <w:rPr>
          <w:rFonts w:ascii="Times New Roman;serif" w:hAnsi="Times New Roman;serif"/>
          <w:b w:val="false"/>
          <w:color w:val="000000"/>
          <w:sz w:val="24"/>
        </w:rPr>
        <w:t>. Except as provided in the Arbitration Agreement, in the event that any term of this Agreement is invalid or void by any court of competent jurisdiction or arbitrator, such term shall be severed and all the remaining terms shall remain in full force and effect.</w:t>
      </w:r>
    </w:p>
    <w:p>
      <w:pPr>
        <w:pStyle w:val="TextBody"/>
        <w:bidi w:val="0"/>
        <w:spacing w:lineRule="auto" w:line="288" w:before="0" w:after="240"/>
        <w:ind w:left="0" w:right="0" w:firstLine="1440"/>
        <w:jc w:val="left"/>
        <w:rPr/>
      </w:pPr>
      <w:r>
        <w:rPr>
          <w:rFonts w:ascii="Times New Roman;serif" w:hAnsi="Times New Roman;serif"/>
          <w:b w:val="false"/>
          <w:color w:val="000000"/>
          <w:sz w:val="24"/>
        </w:rPr>
        <w:t>4.</w:t>
      </w:r>
      <w:r>
        <w:rPr>
          <w:rFonts w:ascii="Times New Roman;serif" w:hAnsi="Times New Roman;serif"/>
          <w:b/>
          <w:color w:val="000000"/>
          <w:sz w:val="24"/>
        </w:rPr>
        <w:t>Non-Waiver</w:t>
      </w:r>
      <w:r>
        <w:rPr>
          <w:rFonts w:ascii="Times New Roman;serif" w:hAnsi="Times New Roman;serif"/>
          <w:b w:val="false"/>
          <w:color w:val="000000"/>
          <w:sz w:val="24"/>
        </w:rPr>
        <w:t>. The failure of either Party to insist upon strict performance of any terms and conditions of this Agreement shall not be construed as a waiver of any other terms.</w:t>
      </w:r>
    </w:p>
    <w:p>
      <w:pPr>
        <w:pStyle w:val="TextBody"/>
        <w:bidi w:val="0"/>
        <w:spacing w:lineRule="auto" w:line="288" w:before="0" w:after="240"/>
        <w:ind w:left="0" w:right="0" w:firstLine="1440"/>
        <w:jc w:val="left"/>
        <w:rPr/>
      </w:pPr>
      <w:r>
        <w:rPr>
          <w:rFonts w:ascii="Times New Roman;serif" w:hAnsi="Times New Roman;serif"/>
          <w:b w:val="false"/>
          <w:color w:val="000000"/>
          <w:sz w:val="24"/>
        </w:rPr>
        <w:t>5.</w:t>
      </w:r>
      <w:r>
        <w:rPr>
          <w:rFonts w:ascii="Times New Roman;serif" w:hAnsi="Times New Roman;serif"/>
          <w:b/>
          <w:color w:val="000000"/>
          <w:sz w:val="24"/>
        </w:rPr>
        <w:t>Entirety of Agreement/Amendment</w:t>
      </w:r>
      <w:r>
        <w:rPr>
          <w:rFonts w:ascii="Times New Roman;serif" w:hAnsi="Times New Roman;serif"/>
          <w:b w:val="false"/>
          <w:color w:val="000000"/>
          <w:sz w:val="24"/>
        </w:rPr>
        <w:t>. This Agreement sets forth the entire agreement and understanding of the Parties relating to the subject matter contained herein and supersedes all prior agreements and neither Parties shall be bound by any representation or term other than as expressly stated in this Agreement or by a written amendment to this Agreement signed by authorized representatives of both Parties. Notwithstanding the foregoing, at all times in the future, the Executive will remain bound by the terms of any agreements between her and the Company containing restrictive covenants, including with respect to non-competition, non-solicitation and confidentiality covenants, to the extent permitted by applicable law.</w:t>
      </w:r>
    </w:p>
    <w:p>
      <w:pPr>
        <w:pStyle w:val="TextBody"/>
        <w:bidi w:val="0"/>
        <w:spacing w:lineRule="auto" w:line="288" w:before="0" w:after="240"/>
        <w:ind w:left="0" w:right="0" w:firstLine="1440"/>
        <w:jc w:val="left"/>
        <w:rPr/>
      </w:pPr>
      <w:r>
        <w:rPr>
          <w:rFonts w:ascii="Times New Roman;serif" w:hAnsi="Times New Roman;serif"/>
          <w:b w:val="false"/>
          <w:color w:val="000000"/>
          <w:sz w:val="24"/>
        </w:rPr>
        <w:t>6.</w:t>
      </w:r>
      <w:r>
        <w:rPr>
          <w:rFonts w:ascii="Times New Roman;serif" w:hAnsi="Times New Roman;serif"/>
          <w:b/>
          <w:color w:val="000000"/>
          <w:sz w:val="24"/>
        </w:rPr>
        <w:t>At-Will Employment</w:t>
      </w:r>
      <w:r>
        <w:rPr>
          <w:rFonts w:ascii="Times New Roman;serif" w:hAnsi="Times New Roman;serif"/>
          <w:b w:val="false"/>
          <w:color w:val="000000"/>
          <w:sz w:val="24"/>
        </w:rPr>
        <w:t>. This Agreement is not a contract guaranteeing employment for any specific duration. The Executive or the Company may terminate the employment relation at any time for any reason with or without cause. Nothing in this Agreement is intended to alter the at-will status of the Executive’s employment or to create a contract of employment for the Executive for any reason or for any stated term.</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85445"/>
                <wp:effectExtent l="0" t="0" r="0" b="0"/>
                <wp:wrapNone/>
                <wp:docPr id="228" name="Frame2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7.</w:t>
      </w:r>
      <w:r>
        <w:rPr>
          <w:rFonts w:ascii="Times New Roman;serif" w:hAnsi="Times New Roman;serif"/>
          <w:b/>
          <w:color w:val="000000"/>
          <w:sz w:val="24"/>
        </w:rPr>
        <w:t>Notice</w:t>
      </w:r>
      <w:r>
        <w:rPr>
          <w:rFonts w:ascii="Times New Roman;serif" w:hAnsi="Times New Roman;serif"/>
          <w:b w:val="false"/>
          <w:color w:val="000000"/>
          <w:sz w:val="24"/>
        </w:rPr>
        <w:t>. For the purpose of this Agreement, notices and all other communications provided for in this Agreement shall be in writing and shall be deemed to have been duly given if delivered: (a) personally; (b) by overnight courier service; or (c) by United States registered mail, return receipt requested, postage prepaid, addressed to the respective addresses, as set forth below or to such other address as either party may have furnished to the other in writing in accordance herewith; provided that notice of change of address shall be effective only upon receipt. Notices shall be deemed given as follows: (x) notices sent by personal delivery or overnight courier shall be deemed given when delivered and (y) notices sent by United States registered mail shall be deemed given two days after the date of deposit in the United States mail. If to the Executive, to the address as shall most currently appear on the records of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the Company,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Remitly Global, Inc.</w:t>
        <w:br/>
        <w:t>401 Union Street, Suite 1000</w:t>
        <w:br/>
        <w:t>Seattle, WA 98101</w:t>
        <w:br/>
        <w:t>Attn: General Counsel</w:t>
      </w:r>
    </w:p>
    <w:p>
      <w:pPr>
        <w:pStyle w:val="TextBody"/>
        <w:bidi w:val="0"/>
        <w:spacing w:lineRule="auto" w:line="288" w:before="0" w:after="240"/>
        <w:ind w:left="0" w:right="0" w:firstLine="1440"/>
        <w:jc w:val="left"/>
        <w:rPr/>
      </w:pPr>
      <w:r>
        <w:rPr>
          <w:rFonts w:ascii="Times New Roman;serif" w:hAnsi="Times New Roman;serif"/>
          <w:b w:val="false"/>
          <w:color w:val="000000"/>
          <w:sz w:val="24"/>
        </w:rPr>
        <w:t>8.</w:t>
      </w:r>
      <w:r>
        <w:rPr>
          <w:rFonts w:ascii="Times New Roman;serif" w:hAnsi="Times New Roman;serif"/>
          <w:b/>
          <w:color w:val="000000"/>
          <w:sz w:val="24"/>
        </w:rPr>
        <w:t>Signature</w:t>
      </w:r>
      <w:r>
        <w:rPr>
          <w:rFonts w:ascii="Times New Roman;serif" w:hAnsi="Times New Roman;serif"/>
          <w:b w:val="false"/>
          <w:color w:val="000000"/>
          <w:sz w:val="24"/>
        </w:rPr>
        <w:t>. This Agreement may be signed in counterparts and by electronic signature. The Executive expressly authorizes electronic signature for this Agreement, including the Mutual Arbitration Agreement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85445"/>
                <wp:effectExtent l="0" t="0" r="0" b="0"/>
                <wp:wrapNone/>
                <wp:docPr id="229" name="Frame2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duly executed this Agreement.</w: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REMITLY GLOBAL, INC.</w:t>
      </w:r>
    </w:p>
    <w:p>
      <w:pPr>
        <w:pStyle w:val="TextBody"/>
        <w:bidi w:val="0"/>
        <w:spacing w:lineRule="auto" w:line="288" w:before="0" w:after="480"/>
        <w:ind w:left="0" w:right="0" w:hanging="72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Vikas Mehta    </w:t>
      </w:r>
      <w:r>
        <w:rPr>
          <w:rFonts w:ascii="Times New Roman;serif" w:hAnsi="Times New Roman;serif"/>
          <w:b w:val="false"/>
          <w:color w:val="000000"/>
          <w:sz w:val="24"/>
        </w:rPr>
        <w:br/>
        <w:t>Name: Vikas Mehta</w:t>
        <w:br/>
        <w:t>Title: Chief Financial Officer</w:t>
        <w:br/>
        <w:t>Date: 4/1/2026</w:t>
      </w:r>
    </w:p>
    <w:p>
      <w:pPr>
        <w:pStyle w:val="TextBody"/>
        <w:bidi w:val="0"/>
        <w:spacing w:lineRule="auto" w:line="288" w:before="0" w:after="4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extBody"/>
        <w:bidi w:val="0"/>
        <w:spacing w:lineRule="auto" w:line="288" w:before="0" w:after="480"/>
        <w:ind w:left="0" w:right="0" w:hanging="72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Saema Somalya    </w:t>
        <w:br/>
      </w:r>
      <w:r>
        <w:rPr>
          <w:rFonts w:ascii="Times New Roman;serif" w:hAnsi="Times New Roman;serif"/>
          <w:b w:val="false"/>
          <w:color w:val="000000"/>
          <w:sz w:val="24"/>
        </w:rPr>
        <w:t>Name: Saema Somalya</w:t>
        <w:br/>
        <w:t>Date: 3/30/2026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tbl>
      <w:tblPr>
        <w:tblW w:w="10205" w:type="dxa"/>
        <w:jc w:val="left"/>
        <w:tblInd w:w="0" w:type="dxa"/>
        <w:tblLayout w:type="fixed"/>
        <w:tblCellMar>
          <w:top w:w="28" w:type="dxa"/>
          <w:left w:w="28" w:type="dxa"/>
          <w:bottom w:w="28" w:type="dxa"/>
          <w:right w:w="28" w:type="dxa"/>
        </w:tblCellMar>
      </w:tblPr>
      <w:tblGrid>
        <w:gridCol w:w="374"/>
        <w:gridCol w:w="330"/>
        <w:gridCol w:w="331"/>
        <w:gridCol w:w="286"/>
        <w:gridCol w:w="286"/>
        <w:gridCol w:w="288"/>
        <w:gridCol w:w="1112"/>
        <w:gridCol w:w="1090"/>
        <w:gridCol w:w="1093"/>
        <w:gridCol w:w="668"/>
        <w:gridCol w:w="668"/>
        <w:gridCol w:w="669"/>
        <w:gridCol w:w="878"/>
        <w:gridCol w:w="878"/>
        <w:gridCol w:w="1254"/>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000000"/>
              <w:left w:val="single" w:sz="4" w:space="0" w:color="000000"/>
            </w:tcBorders>
            <w:shd w:fill="D0CECE"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Equity Award</w:t>
            </w:r>
          </w:p>
        </w:tc>
        <w:tc>
          <w:tcPr>
            <w:tcW w:w="860" w:type="dxa"/>
            <w:gridSpan w:val="3"/>
            <w:tcBorders>
              <w:top w:val="single" w:sz="4" w:space="0" w:color="000000"/>
              <w:left w:val="single" w:sz="4" w:space="0" w:color="000000"/>
            </w:tcBorders>
            <w:shd w:fill="D0CECE"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Grant Date</w:t>
            </w:r>
          </w:p>
        </w:tc>
        <w:tc>
          <w:tcPr>
            <w:tcW w:w="3295" w:type="dxa"/>
            <w:gridSpan w:val="3"/>
            <w:tcBorders>
              <w:top w:val="single" w:sz="4" w:space="0" w:color="000000"/>
              <w:left w:val="single" w:sz="4" w:space="0" w:color="000000"/>
            </w:tcBorders>
            <w:shd w:fill="D0CECE"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Vesting Schedule</w:t>
            </w:r>
          </w:p>
        </w:tc>
        <w:tc>
          <w:tcPr>
            <w:tcW w:w="2005" w:type="dxa"/>
            <w:gridSpan w:val="3"/>
            <w:tcBorders>
              <w:top w:val="single" w:sz="4" w:space="0" w:color="000000"/>
              <w:left w:val="single" w:sz="4" w:space="0" w:color="000000"/>
            </w:tcBorders>
            <w:shd w:fill="D0CECE"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Unvested Shares as of the Transition Date</w:t>
            </w:r>
          </w:p>
        </w:tc>
        <w:tc>
          <w:tcPr>
            <w:tcW w:w="3010" w:type="dxa"/>
            <w:gridSpan w:val="3"/>
            <w:tcBorders>
              <w:top w:val="single" w:sz="4" w:space="0" w:color="000000"/>
              <w:left w:val="single" w:sz="4" w:space="0" w:color="000000"/>
              <w:right w:val="single" w:sz="4" w:space="0" w:color="000000"/>
            </w:tcBorders>
            <w:shd w:fill="D0CECE"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Unvested Shares Eligible for Accelerated Vesting as of the Transition Date</w:t>
            </w:r>
          </w:p>
        </w:tc>
      </w:tr>
      <w:tr>
        <w:trPr/>
        <w:tc>
          <w:tcPr>
            <w:tcW w:w="10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RSUs</w:t>
            </w:r>
          </w:p>
        </w:tc>
        <w:tc>
          <w:tcPr>
            <w:tcW w:w="86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4/16/2024</w:t>
            </w:r>
          </w:p>
        </w:tc>
        <w:tc>
          <w:tcPr>
            <w:tcW w:w="32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The award will vest 1/8 on May 25, 2026, and then 1/8 of the shares will vest each quarter thereafter.</w:t>
            </w:r>
          </w:p>
        </w:tc>
        <w:tc>
          <w:tcPr>
            <w:tcW w:w="2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156,856</w:t>
            </w:r>
          </w:p>
        </w:tc>
        <w:tc>
          <w:tcPr>
            <w:tcW w:w="30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78,428</w:t>
            </w:r>
          </w:p>
        </w:tc>
      </w:tr>
      <w:tr>
        <w:trPr/>
        <w:tc>
          <w:tcPr>
            <w:tcW w:w="10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RSUs</w:t>
            </w:r>
          </w:p>
        </w:tc>
        <w:tc>
          <w:tcPr>
            <w:tcW w:w="86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4/12/2025</w:t>
            </w:r>
          </w:p>
        </w:tc>
        <w:tc>
          <w:tcPr>
            <w:tcW w:w="32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The award will vest 1/8 on May 25, 2026, and then 1/8 of the shares will vest each quarter thereafter.</w:t>
            </w:r>
          </w:p>
        </w:tc>
        <w:tc>
          <w:tcPr>
            <w:tcW w:w="2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3,944</w:t>
            </w:r>
          </w:p>
        </w:tc>
        <w:tc>
          <w:tcPr>
            <w:tcW w:w="30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1,972</w:t>
            </w:r>
          </w:p>
        </w:tc>
      </w:tr>
      <w:tr>
        <w:trPr/>
        <w:tc>
          <w:tcPr>
            <w:tcW w:w="103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RSUs</w:t>
            </w:r>
          </w:p>
        </w:tc>
        <w:tc>
          <w:tcPr>
            <w:tcW w:w="86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4/12/2025</w:t>
            </w:r>
          </w:p>
        </w:tc>
        <w:tc>
          <w:tcPr>
            <w:tcW w:w="329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The award will vest 1/4 on May 25, 2028, and then 1/4 of the shares will vest each quarter thereafter.</w:t>
            </w:r>
          </w:p>
        </w:tc>
        <w:tc>
          <w:tcPr>
            <w:tcW w:w="20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80,400</w:t>
            </w:r>
          </w:p>
        </w:tc>
        <w:tc>
          <w:tcPr>
            <w:tcW w:w="30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Supplemental Release</w:t>
      </w:r>
    </w:p>
    <w:p>
      <w:pPr>
        <w:pStyle w:val="TextBody"/>
        <w:bidi w:val="0"/>
        <w:spacing w:lineRule="auto" w:line="288" w:before="0" w:after="240"/>
        <w:jc w:val="left"/>
        <w:rPr/>
      </w:pPr>
      <w:r>
        <w:rPr>
          <w:rFonts w:ascii="Times New Roman;serif" w:hAnsi="Times New Roman;serif"/>
          <w:b w:val="false"/>
          <w:color w:val="000000"/>
          <w:sz w:val="24"/>
        </w:rPr>
        <w:t>This Supplemental Release (the “</w:t>
      </w:r>
      <w:r>
        <w:rPr>
          <w:rFonts w:ascii="Times New Roman;serif" w:hAnsi="Times New Roman;serif"/>
          <w:b w:val="false"/>
          <w:i/>
          <w:color w:val="000000"/>
          <w:sz w:val="24"/>
        </w:rPr>
        <w:t>Supplemental Release</w:t>
      </w:r>
      <w:r>
        <w:rPr>
          <w:color w:val="000000"/>
        </w:rPr>
        <w:t>”</w:t>
      </w:r>
      <w:r>
        <w:rPr>
          <w:rFonts w:ascii="Times New Roman;serif" w:hAnsi="Times New Roman;serif"/>
          <w:b w:val="false"/>
          <w:color w:val="000000"/>
          <w:sz w:val="24"/>
        </w:rPr>
        <w:t>) is entered into by and between Saema Somalya (the “</w:t>
      </w:r>
      <w:r>
        <w:rPr>
          <w:rFonts w:ascii="Times New Roman;serif" w:hAnsi="Times New Roman;serif"/>
          <w:b w:val="false"/>
          <w:i/>
          <w:color w:val="000000"/>
          <w:sz w:val="24"/>
        </w:rPr>
        <w:t>Executive</w:t>
      </w:r>
      <w:r>
        <w:rPr>
          <w:color w:val="000000"/>
        </w:rPr>
        <w:t>”</w:t>
      </w:r>
      <w:r>
        <w:rPr>
          <w:rFonts w:ascii="Times New Roman;serif" w:hAnsi="Times New Roman;serif"/>
          <w:b w:val="false"/>
          <w:color w:val="000000"/>
          <w:sz w:val="24"/>
        </w:rPr>
        <w:t>) and Remitly Global, Inc., a Delaware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as of May 1, 2026 (the “</w:t>
      </w:r>
      <w:r>
        <w:rPr>
          <w:rFonts w:ascii="Times New Roman;serif" w:hAnsi="Times New Roman;serif"/>
          <w:b w:val="false"/>
          <w:i/>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left"/>
        <w:rPr/>
      </w:pPr>
      <w:r>
        <w:rPr>
          <w:rFonts w:ascii="Times New Roman;serif" w:hAnsi="Times New Roman;serif"/>
          <w:b w:val="false"/>
          <w:color w:val="000000"/>
          <w:sz w:val="24"/>
        </w:rPr>
        <w:t>1.</w:t>
      </w:r>
      <w:r>
        <w:rPr>
          <w:rFonts w:ascii="Times New Roman;serif" w:hAnsi="Times New Roman;serif"/>
          <w:b/>
          <w:color w:val="000000"/>
          <w:sz w:val="24"/>
        </w:rPr>
        <w:t>Last Date of Employment</w:t>
      </w:r>
      <w:r>
        <w:rPr>
          <w:rFonts w:ascii="Times New Roman;serif" w:hAnsi="Times New Roman;serif"/>
          <w:b w:val="false"/>
          <w:color w:val="000000"/>
          <w:sz w:val="24"/>
        </w:rPr>
        <w:t>. The Executive’s last day of employment was May 1, 2026 (the “</w:t>
      </w:r>
      <w:r>
        <w:rPr>
          <w:rFonts w:ascii="Times New Roman;serif" w:hAnsi="Times New Roman;serif"/>
          <w:b w:val="false"/>
          <w:i/>
          <w:color w:val="000000"/>
          <w:sz w:val="24"/>
        </w:rPr>
        <w:t>Transition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left"/>
        <w:rPr/>
      </w:pPr>
      <w:r>
        <w:rPr>
          <w:rFonts w:ascii="Times New Roman;serif" w:hAnsi="Times New Roman;serif"/>
          <w:b w:val="false"/>
          <w:color w:val="000000"/>
          <w:sz w:val="24"/>
        </w:rPr>
        <w:t>2.</w:t>
      </w:r>
      <w:r>
        <w:rPr>
          <w:rFonts w:ascii="Times New Roman;serif" w:hAnsi="Times New Roman;serif"/>
          <w:b/>
          <w:color w:val="000000"/>
          <w:sz w:val="24"/>
        </w:rPr>
        <w:t>Release of Claims</w:t>
      </w:r>
      <w:r>
        <w:rPr>
          <w:rFonts w:ascii="Times New Roman;serif" w:hAnsi="Times New Roman;serif"/>
          <w:b w:val="false"/>
          <w:color w:val="000000"/>
          <w:sz w:val="24"/>
        </w:rPr>
        <w:t>. The Executive has reviewed the release of claims contained in Section V (the “</w:t>
      </w:r>
      <w:r>
        <w:rPr>
          <w:rFonts w:ascii="Times New Roman;serif" w:hAnsi="Times New Roman;serif"/>
          <w:b w:val="false"/>
          <w:i/>
          <w:color w:val="000000"/>
          <w:sz w:val="24"/>
        </w:rPr>
        <w:t>Release</w:t>
      </w:r>
      <w:r>
        <w:rPr>
          <w:color w:val="000000"/>
        </w:rPr>
        <w:t>”</w:t>
      </w:r>
      <w:r>
        <w:rPr>
          <w:rFonts w:ascii="Times New Roman;serif" w:hAnsi="Times New Roman;serif"/>
          <w:b w:val="false"/>
          <w:color w:val="000000"/>
          <w:sz w:val="24"/>
        </w:rPr>
        <w:t>) of the Transition Agreement between the Executive and the Company, dated as of April 2, 2026 (the “</w:t>
      </w:r>
      <w:r>
        <w:rPr>
          <w:rFonts w:ascii="Times New Roman;serif" w:hAnsi="Times New Roman;serif"/>
          <w:b w:val="false"/>
          <w:i/>
          <w:color w:val="000000"/>
          <w:sz w:val="24"/>
        </w:rPr>
        <w:t>Transition Agreement</w:t>
      </w:r>
      <w:r>
        <w:rPr>
          <w:color w:val="000000"/>
        </w:rPr>
        <w:t>”</w:t>
      </w:r>
      <w:r>
        <w:rPr>
          <w:rFonts w:ascii="Times New Roman;serif" w:hAnsi="Times New Roman;serif"/>
          <w:b w:val="false"/>
          <w:color w:val="000000"/>
          <w:sz w:val="24"/>
        </w:rPr>
        <w:t>), and hereby reaffirms the Release (including all commitments therein) as of the Effective Date. The Executive hereby agrees that the Release will be extended to cover any act, omission, or occurrence occurring up to and including the date the Executive signs this Supplemental Release.</w:t>
      </w:r>
    </w:p>
    <w:p>
      <w:pPr>
        <w:pStyle w:val="TextBody"/>
        <w:bidi w:val="0"/>
        <w:spacing w:lineRule="auto" w:line="288" w:before="0" w:after="240"/>
        <w:ind w:left="0" w:right="0" w:hanging="720"/>
        <w:jc w:val="left"/>
        <w:rPr/>
      </w:pPr>
      <w:r>
        <w:rPr>
          <w:rFonts w:ascii="Times New Roman;serif" w:hAnsi="Times New Roman;serif"/>
          <w:b w:val="false"/>
          <w:color w:val="000000"/>
          <w:sz w:val="24"/>
        </w:rPr>
        <w:t>3.</w:t>
      </w:r>
      <w:r>
        <w:rPr>
          <w:rFonts w:ascii="Times New Roman;serif" w:hAnsi="Times New Roman;serif"/>
          <w:b/>
          <w:color w:val="000000"/>
          <w:sz w:val="24"/>
        </w:rPr>
        <w:t>Consideration and Revocation Periods</w:t>
      </w:r>
      <w:r>
        <w:rPr>
          <w:rFonts w:ascii="Times New Roman;serif" w:hAnsi="Times New Roman;serif"/>
          <w:b w:val="false"/>
          <w:color w:val="000000"/>
          <w:sz w:val="24"/>
        </w:rPr>
        <w:t>. The Executive agrees by her signature below that she has had, and that the Company has given her, at least 21 days to review and consider this Supplemental Release before signing it, and that such period was sufficient for her to fully and completely consider all of its terms. The Company hereby advises the Executive to discuss this Supplemental Release with the Executive’s own attorney during this period if she wishes to do so. The Executive may accept this Supplemental Release by delivering a copy of this Supplemental Release signed by the Executive to the Company within 21 days of the Effective Date. The Executive may revoke her acceptance of this Supplemental Release for a period of seven days after signing this Supplemental Release by delivering written notification to the Company within that seven-day period. If the Executive does not revoke her acceptance of this Supplemental Release, it will be effective on the eighth day after she signs it. If the Executive revokes her acceptance of this Supplemental Release, she will not be entitled to the benefits listed in Section III of the Transition Agreement. The Executive agrees that she has carefully read this Supplemental Release, fully understands what it means and is entering into it voluntarily without duress, coercion, fraud, misrepresentation or threat to withdraw or alter the offer prior to the expiration of the 21 day consideration period.</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The Executive hereby agrees to the terms of this Supplemental Release.</w:t>
      </w:r>
    </w:p>
    <w:p>
      <w:pPr>
        <w:pStyle w:val="TextBody"/>
        <w:bidi w:val="0"/>
        <w:spacing w:lineRule="auto" w:line="288" w:before="0" w:after="240"/>
        <w:jc w:val="left"/>
        <w:rPr/>
      </w:pPr>
      <w:r>
        <w:rPr>
          <w:color w:val="000000"/>
          <w:u w:val="single"/>
        </w:rPr>
        <w:t>    </w:t>
      </w:r>
      <w:r>
        <w:rPr>
          <w:rFonts w:ascii="Times New Roman;serif" w:hAnsi="Times New Roman;serif"/>
          <w:b w:val="false"/>
          <w:color w:val="000000"/>
          <w:sz w:val="24"/>
        </w:rPr>
        <w:br/>
        <w:t>Saema Somalya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400" w:before="0" w:after="240"/>
        <w:jc w:val="left"/>
        <w:rPr>
          <w:rFonts w:ascii="Times New Roman;serif" w:hAnsi="Times New Roman;serif"/>
          <w:b w:val="false"/>
          <w:color w:val="000000"/>
          <w:sz w:val="20"/>
        </w:rPr>
      </w:pPr>
      <w:r>
        <w:rPr>
          <w:rFonts w:ascii="Times New Roman;serif" w:hAnsi="Times New Roman;serif"/>
          <w:b w:val="false"/>
          <w:color w:val="000000"/>
          <w:sz w:val="20"/>
        </w:rPr>
        <w:t>I, Sebastian Gunningham, certify that: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Remitly Global, Inc.;</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646"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724"/>
        <w:gridCol w:w="724"/>
        <w:gridCol w:w="1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Sebastian Gunningham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Sebastian Gunningham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I, Vikas Mehta, certify that: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Remitly Global, Inc.;</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587"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I, Sebastian Gunningham, Chief Executive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Quarterly Report on Form 10-Q of the Company for the fiscal quarter ended June 30, 2026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bl>
      <w:tblPr>
        <w:tblW w:w="4646"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724"/>
        <w:gridCol w:w="724"/>
        <w:gridCol w:w="1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Sebastian Gunningham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Sebastian Gunningham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12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400"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40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40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400" w:before="0" w:after="24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I, Vikas Mehta, Chief Financial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Quarterly Report on Form 10-Q of the Company for the fiscal quarter ended June 30, 2026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bl>
      <w:tblPr>
        <w:tblW w:w="4587"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2170/000178217021000011/exhibit33-remitlyglobalxpu.htm" TargetMode="External"/><Relationship Id="rId3" Type="http://schemas.openxmlformats.org/officeDocument/2006/relationships/hyperlink" Target="https://www.sec.gov/Archives/edgar/data/1782170/000178217024000074/ex31-restatedbylaws.htm" TargetMode="External"/><Relationship Id="rId4" Type="http://schemas.openxmlformats.org/officeDocument/2006/relationships/hyperlink" Target="https://www.sec.gov/Archives/edgar/data/1782170/000178217025000093/exhibit33-remitlyglobalinc.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200</Pages>
  <Words>125898</Words>
  <Characters>684142</Characters>
  <CharactersWithSpaces>808268</CharactersWithSpaces>
  <Paragraphs>4223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