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09549.xml.htm"/>
      <w:bookmarkStart w:id="1" w:name="kswkform4_17812095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Oppenheimer Matthew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10,185</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4,510,790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the Issuer's Common Stock upon settlement. The RSUs will vest in full on the earlier of (i) the date of the next annual meeting of the Issuer's stockholders and (ii) June 10, 2027, in each case, subject to the reporting person's provision of service to the Issuer through the applicable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840"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3411</Characters>
  <CharactersWithSpaces>3986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