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a61f5f549cc04155b1c59bb766cccfa1_7">
        <w:r>
          <w:rPr>
            <w:rStyle w:val="InternetLink"/>
            <w:rFonts w:ascii="Times New Roman;sans-serif" w:hAnsi="Times New Roman;sans-serif"/>
            <w:b w:val="false"/>
            <w:color w:val="0000FF"/>
            <w:sz w:val="18"/>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UNITED STATES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AND EXCHANGE COMMISSION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FORM 10-Q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spacing w:lineRule="auto" w:line="288" w:before="0" w:after="180"/>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For the quarterly period ended March 31, 2022</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spacing w:lineRule="auto" w:line="288" w:before="0" w:after="180"/>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0" w:after="60"/>
        <w:ind w:left="0" w:right="0" w:firstLine="360"/>
        <w:jc w:val="center"/>
        <w:rPr>
          <w:rFonts w:ascii="Times New Roman;sans-serif" w:hAnsi="Times New Roman;sans-serif"/>
          <w:b/>
          <w:color w:val="000000"/>
          <w:sz w:val="18"/>
        </w:rPr>
      </w:pPr>
      <w:r>
        <w:rPr>
          <w:rFonts w:ascii="Times New Roman;sans-serif" w:hAnsi="Times New Roman;sans-serif"/>
          <w:b/>
          <w:color w:val="000000"/>
          <w:sz w:val="18"/>
        </w:rPr>
        <w:t>Commission file number: 021-344104</w:t>
      </w:r>
    </w:p>
    <w:p>
      <w:pPr>
        <w:pStyle w:val="TextBody"/>
        <w:spacing w:lineRule="auto" w:line="288" w:before="0" w:after="60"/>
        <w:jc w:val="center"/>
        <w:rPr>
          <w:rFonts w:ascii="Times New Roman;sans-serif" w:hAnsi="Times New Roman;sans-serif"/>
          <w:b/>
          <w:color w:val="000000"/>
          <w:sz w:val="28"/>
        </w:rPr>
      </w:pPr>
      <w:r>
        <w:rPr>
          <w:rFonts w:ascii="Times New Roman;sans-serif" w:hAnsi="Times New Roman;sans-serif"/>
          <w:b/>
          <w:color w:val="000000"/>
          <w:sz w:val="28"/>
        </w:rPr>
        <w:t>Remitly Global, Inc.</w:t>
      </w:r>
    </w:p>
    <w:p>
      <w:pPr>
        <w:pStyle w:val="TextBody"/>
        <w:spacing w:lineRule="auto" w:line="288" w:before="0" w:after="6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(Exact name of registrant as specified in its charter)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6833" w:type="dxa"/>
        <w:jc w:val="center"/>
        <w:tblInd w:w="0" w:type="dxa"/>
        <w:tblCellMar>
          <w:top w:w="28" w:type="dxa"/>
          <w:left w:w="28" w:type="dxa"/>
          <w:bottom w:w="28" w:type="dxa"/>
          <w:right w:w="28" w:type="dxa"/>
        </w:tblCellMar>
      </w:tblPr>
      <w:tblGrid>
        <w:gridCol w:w="807"/>
        <w:gridCol w:w="711"/>
        <w:gridCol w:w="717"/>
        <w:gridCol w:w="109"/>
        <w:gridCol w:w="109"/>
        <w:gridCol w:w="109"/>
        <w:gridCol w:w="722"/>
        <w:gridCol w:w="722"/>
        <w:gridCol w:w="730"/>
        <w:gridCol w:w="109"/>
        <w:gridCol w:w="109"/>
        <w:gridCol w:w="109"/>
        <w:gridCol w:w="516"/>
        <w:gridCol w:w="516"/>
        <w:gridCol w:w="738"/>
      </w:tblGrid>
      <w:tr>
        <w:trPr/>
        <w:tc>
          <w:tcPr>
            <w:tcW w:w="807"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7372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83-2301143</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(Primary Standard Industrial</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Classification Code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Number)</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871" w:type="dxa"/>
        <w:jc w:val="center"/>
        <w:tblInd w:w="0" w:type="dxa"/>
        <w:tblCellMar>
          <w:top w:w="28" w:type="dxa"/>
          <w:left w:w="28" w:type="dxa"/>
          <w:bottom w:w="28" w:type="dxa"/>
          <w:right w:w="28" w:type="dxa"/>
        </w:tblCellMar>
      </w:tblPr>
      <w:tblGrid>
        <w:gridCol w:w="596"/>
        <w:gridCol w:w="526"/>
        <w:gridCol w:w="528"/>
        <w:gridCol w:w="299"/>
        <w:gridCol w:w="299"/>
        <w:gridCol w:w="301"/>
        <w:gridCol w:w="219"/>
        <w:gridCol w:w="219"/>
        <w:gridCol w:w="221"/>
        <w:gridCol w:w="140"/>
        <w:gridCol w:w="140"/>
        <w:gridCol w:w="141"/>
        <w:gridCol w:w="109"/>
        <w:gridCol w:w="109"/>
        <w:gridCol w:w="109"/>
        <w:gridCol w:w="268"/>
        <w:gridCol w:w="268"/>
        <w:gridCol w:w="379"/>
      </w:tblGrid>
      <w:tr>
        <w:trPr/>
        <w:tc>
          <w:tcPr>
            <w:tcW w:w="59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8"/>
              </w:rPr>
            </w:pPr>
            <w:r>
              <w:rPr>
                <w:rFonts w:ascii="Times New Roman;sans-serif" w:hAnsi="Times New Roman;sans-serif"/>
                <w:b/>
                <w:color w:val="000000"/>
                <w:sz w:val="18"/>
              </w:rPr>
              <w:t>1111 Third Avenue,</w:t>
            </w:r>
          </w:p>
        </w:tc>
        <w:tc>
          <w:tcPr>
            <w:tcW w:w="8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Suite 2100</w:t>
            </w:r>
          </w:p>
        </w:tc>
        <w:tc>
          <w:tcPr>
            <w:tcW w:w="6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Seattle,</w:t>
            </w:r>
          </w:p>
        </w:tc>
        <w:tc>
          <w:tcPr>
            <w:tcW w:w="4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98101</w:t>
            </w:r>
          </w:p>
        </w:tc>
      </w:tr>
      <w:tr>
        <w:trPr/>
        <w:tc>
          <w:tcPr>
            <w:tcW w:w="3629" w:type="dxa"/>
            <w:gridSpan w:val="1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60"/>
        <w:ind w:left="0" w:right="0" w:firstLine="36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 xml:space="preserve">(888) 736-4859 </w:t>
      </w:r>
    </w:p>
    <w:p>
      <w:pPr>
        <w:pStyle w:val="TextBody"/>
        <w:spacing w:lineRule="auto" w:line="288" w:before="0" w:after="12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center"/>
        <w:tblInd w:w="0" w:type="dxa"/>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9077" w:type="dxa"/>
        <w:jc w:val="center"/>
        <w:tblInd w:w="0" w:type="dxa"/>
        <w:tblCellMar>
          <w:top w:w="28" w:type="dxa"/>
          <w:left w:w="28" w:type="dxa"/>
          <w:bottom w:w="28" w:type="dxa"/>
          <w:right w:w="28" w:type="dxa"/>
        </w:tblCellMar>
      </w:tblPr>
      <w:tblGrid>
        <w:gridCol w:w="940"/>
        <w:gridCol w:w="827"/>
        <w:gridCol w:w="827"/>
        <w:gridCol w:w="293"/>
        <w:gridCol w:w="293"/>
        <w:gridCol w:w="293"/>
        <w:gridCol w:w="485"/>
        <w:gridCol w:w="485"/>
        <w:gridCol w:w="485"/>
        <w:gridCol w:w="293"/>
        <w:gridCol w:w="293"/>
        <w:gridCol w:w="293"/>
        <w:gridCol w:w="958"/>
        <w:gridCol w:w="958"/>
        <w:gridCol w:w="1354"/>
      </w:tblGrid>
      <w:tr>
        <w:trPr/>
        <w:tc>
          <w:tcPr>
            <w:tcW w:w="940"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r>
      <w:tr>
        <w:trPr/>
        <w:tc>
          <w:tcPr>
            <w:tcW w:w="907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25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w:t>
            </w:r>
          </w:p>
        </w:tc>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8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Yes ☐ No ☒</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As of May 9, 2022, the registrant had 166,254,470 shares of common stock, $0.0001 par value per share, outstanding.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0"/>
        <w:rPr/>
      </w:pPr>
      <w:hyperlink w:anchor="ia61f5f549cc04155b1c59bb766cccfa1_7">
        <w:r>
          <w:rPr>
            <w:rStyle w:val="InternetLink"/>
            <w:rFonts w:ascii="Times New Roman;sans-serif" w:hAnsi="Times New Roman;sans-serif"/>
            <w:b w:val="false"/>
            <w:color w:val="0000FF"/>
            <w:sz w:val="18"/>
            <w:u w:val="single"/>
          </w:rPr>
          <w:t>Table of Contents</w:t>
        </w:r>
      </w:hyperlink>
    </w:p>
    <w:tbl>
      <w:tblPr>
        <w:tblW w:w="10205" w:type="dxa"/>
        <w:jc w:val="center"/>
        <w:tblInd w:w="0" w:type="dxa"/>
        <w:tblCellMar>
          <w:top w:w="28" w:type="dxa"/>
          <w:left w:w="28" w:type="dxa"/>
          <w:bottom w:w="28" w:type="dxa"/>
          <w:right w:w="28" w:type="dxa"/>
        </w:tblCellMar>
      </w:tblPr>
      <w:tblGrid>
        <w:gridCol w:w="627"/>
        <w:gridCol w:w="551"/>
        <w:gridCol w:w="510"/>
        <w:gridCol w:w="2780"/>
        <w:gridCol w:w="2522"/>
        <w:gridCol w:w="2569"/>
        <w:gridCol w:w="188"/>
        <w:gridCol w:w="188"/>
        <w:gridCol w:w="270"/>
      </w:tblGrid>
      <w:tr>
        <w:trPr/>
        <w:tc>
          <w:tcPr>
            <w:tcW w:w="627"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2780"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256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955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TABLE OF CONTENTS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955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0">
              <w:r>
                <w:rPr>
                  <w:rStyle w:val="InternetLink"/>
                  <w:rFonts w:ascii="Times New Roman;sans-serif" w:hAnsi="Times New Roman;sans-serif"/>
                  <w:b/>
                  <w:strike w:val="false"/>
                  <w:dstrike w:val="false"/>
                  <w:color w:val="000000"/>
                  <w:sz w:val="18"/>
                  <w:u w:val="none"/>
                  <w:effect w:val="none"/>
                </w:rPr>
                <w:t>Special Note Regarding Forward-Looking Statements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10">
              <w:r>
                <w:rPr>
                  <w:rStyle w:val="InternetLink"/>
                  <w:rFonts w:ascii="Times New Roman;sans-serif" w:hAnsi="Times New Roman;sans-serif"/>
                  <w:b w:val="false"/>
                  <w:strike w:val="false"/>
                  <w:dstrike w:val="false"/>
                  <w:color w:val="000000"/>
                  <w:sz w:val="18"/>
                  <w:u w:val="none"/>
                  <w:effect w:val="none"/>
                </w:rPr>
                <w:t>ii</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w:t>
            </w:r>
          </w:p>
        </w:tc>
        <w:tc>
          <w:tcPr>
            <w:tcW w:w="7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3">
              <w:r>
                <w:rPr>
                  <w:rStyle w:val="InternetLink"/>
                  <w:rFonts w:ascii="Times New Roman;sans-serif" w:hAnsi="Times New Roman;sans-serif"/>
                  <w:b w:val="false"/>
                  <w:color w:val="3051F2"/>
                  <w:sz w:val="18"/>
                  <w:u w:val="single"/>
                </w:rPr>
                <w:t>Financial Statements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13">
              <w:r>
                <w:rPr>
                  <w:rStyle w:val="InternetLink"/>
                  <w:rFonts w:ascii="Times New Roman;sans-serif" w:hAnsi="Times New Roman;sans-serif"/>
                  <w:b w:val="false"/>
                  <w:strike w:val="false"/>
                  <w:dstrike w:val="false"/>
                  <w:color w:val="000000"/>
                  <w:sz w:val="18"/>
                  <w:u w:val="none"/>
                  <w:effect w:val="none"/>
                </w:rPr>
                <w:t>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6">
              <w:r>
                <w:rPr>
                  <w:rStyle w:val="InternetLink"/>
                  <w:rFonts w:ascii="Times New Roman;sans-serif" w:hAnsi="Times New Roman;sans-serif"/>
                  <w:b w:val="false"/>
                  <w:color w:val="3051F2"/>
                  <w:sz w:val="18"/>
                  <w:u w:val="single"/>
                </w:rPr>
                <w:t>Condensed Consolidated Balance Sheets as of March 31, 2022 and December 31, 2021</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16">
              <w:r>
                <w:rPr>
                  <w:rStyle w:val="InternetLink"/>
                  <w:rFonts w:ascii="Times New Roman;sans-serif" w:hAnsi="Times New Roman;sans-serif"/>
                  <w:b w:val="false"/>
                  <w:strike w:val="false"/>
                  <w:dstrike w:val="false"/>
                  <w:color w:val="000000"/>
                  <w:sz w:val="18"/>
                  <w:u w:val="none"/>
                  <w:effect w:val="none"/>
                </w:rPr>
                <w:t>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9">
              <w:r>
                <w:rPr>
                  <w:rStyle w:val="InternetLink"/>
                  <w:rFonts w:ascii="Times New Roman;sans-serif" w:hAnsi="Times New Roman;sans-serif"/>
                  <w:b w:val="false"/>
                  <w:color w:val="3051F2"/>
                  <w:sz w:val="18"/>
                  <w:u w:val="single"/>
                </w:rPr>
                <w:t>Condensed Consolidated Statements of Operations for the three months ended March 31, 2022 and 2021</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19">
              <w:r>
                <w:rPr>
                  <w:rStyle w:val="InternetLink"/>
                  <w:rFonts w:ascii="Times New Roman;sans-serif" w:hAnsi="Times New Roman;sans-serif"/>
                  <w:b w:val="false"/>
                  <w:strike w:val="false"/>
                  <w:dstrike w:val="false"/>
                  <w:color w:val="000000"/>
                  <w:sz w:val="18"/>
                  <w:u w:val="none"/>
                  <w:effect w:val="none"/>
                </w:rPr>
                <w:t>2</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22">
              <w:r>
                <w:rPr>
                  <w:rStyle w:val="InternetLink"/>
                  <w:rFonts w:ascii="Times New Roman;sans-serif" w:hAnsi="Times New Roman;sans-serif"/>
                  <w:b w:val="false"/>
                  <w:color w:val="3051F2"/>
                  <w:sz w:val="18"/>
                  <w:u w:val="single"/>
                </w:rPr>
                <w:t>Condensed Consolidated Statements of Comprehensive Loss for the three months ended March 31, 2022 and 2021</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22">
              <w:r>
                <w:rPr>
                  <w:rStyle w:val="InternetLink"/>
                  <w:rFonts w:ascii="Times New Roman;sans-serif" w:hAnsi="Times New Roman;sans-serif"/>
                  <w:b w:val="false"/>
                  <w:strike w:val="false"/>
                  <w:dstrike w:val="false"/>
                  <w:color w:val="000000"/>
                  <w:sz w:val="18"/>
                  <w:u w:val="none"/>
                  <w:effect w:val="none"/>
                </w:rPr>
                <w:t>3</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25">
              <w:r>
                <w:rPr>
                  <w:rStyle w:val="InternetLink"/>
                  <w:rFonts w:ascii="Times New Roman;sans-serif" w:hAnsi="Times New Roman;sans-serif"/>
                  <w:b w:val="false"/>
                  <w:color w:val="3051F2"/>
                  <w:sz w:val="18"/>
                  <w:u w:val="single"/>
                </w:rPr>
                <w:t>Condensed Consolidated Statements of Redeemable Convertible Preferred Stock and Stockholders’ Equity (Deficit) for the three months ended March 31, 2022 and 2021</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25">
              <w:r>
                <w:rPr>
                  <w:rStyle w:val="InternetLink"/>
                  <w:rFonts w:ascii="Times New Roman;sans-serif" w:hAnsi="Times New Roman;sans-serif"/>
                  <w:b w:val="false"/>
                  <w:strike w:val="false"/>
                  <w:dstrike w:val="false"/>
                  <w:color w:val="000000"/>
                  <w:sz w:val="18"/>
                  <w:u w:val="none"/>
                  <w:effect w:val="none"/>
                </w:rPr>
                <w:t>4</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28">
              <w:r>
                <w:rPr>
                  <w:rStyle w:val="InternetLink"/>
                  <w:rFonts w:ascii="Times New Roman;sans-serif" w:hAnsi="Times New Roman;sans-serif"/>
                  <w:b w:val="false"/>
                  <w:color w:val="3051F2"/>
                  <w:sz w:val="18"/>
                  <w:u w:val="single"/>
                </w:rPr>
                <w:t>Condensed Consolidated Statements of Cash Flows for the three months ended March 31, 2022 and 2021</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28">
              <w:r>
                <w:rPr>
                  <w:rStyle w:val="InternetLink"/>
                  <w:rFonts w:ascii="Times New Roman;sans-serif" w:hAnsi="Times New Roman;sans-serif"/>
                  <w:b w:val="false"/>
                  <w:strike w:val="false"/>
                  <w:dstrike w:val="false"/>
                  <w:color w:val="000000"/>
                  <w:sz w:val="18"/>
                  <w:u w:val="none"/>
                  <w:effect w:val="none"/>
                </w:rPr>
                <w:t>5</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31">
              <w:r>
                <w:rPr>
                  <w:rStyle w:val="InternetLink"/>
                  <w:rFonts w:ascii="Times New Roman;sans-serif" w:hAnsi="Times New Roman;sans-serif"/>
                  <w:b w:val="false"/>
                  <w:color w:val="3051F2"/>
                  <w:sz w:val="18"/>
                  <w:u w:val="single"/>
                </w:rPr>
                <w:t>Notes to Condensed Consolidated Financial Statements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31">
              <w:r>
                <w:rPr>
                  <w:rStyle w:val="InternetLink"/>
                  <w:rFonts w:ascii="Times New Roman;sans-serif" w:hAnsi="Times New Roman;sans-serif"/>
                  <w:b w:val="false"/>
                  <w:strike w:val="false"/>
                  <w:dstrike w:val="false"/>
                  <w:color w:val="000000"/>
                  <w:sz w:val="18"/>
                  <w:u w:val="none"/>
                  <w:effect w:val="none"/>
                </w:rPr>
                <w:t>6</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91">
              <w:r>
                <w:rPr>
                  <w:rStyle w:val="InternetLink"/>
                  <w:rFonts w:ascii="Times New Roman;sans-serif" w:hAnsi="Times New Roman;sans-serif"/>
                  <w:b w:val="false"/>
                  <w:color w:val="3051F2"/>
                  <w:sz w:val="18"/>
                  <w:u w:val="single"/>
                </w:rPr>
                <w:t>Management’s Discussion and Analysis of Financial Condition and Results of Operations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a61f5f549cc04155b1c59bb766cccfa1_91">
              <w:r>
                <w:rPr>
                  <w:rStyle w:val="InternetLink"/>
                  <w:rFonts w:ascii="Times New Roman;sans-serif" w:hAnsi="Times New Roman;sans-serif"/>
                  <w:b w:val="false"/>
                  <w:strike w:val="false"/>
                  <w:dstrike w:val="false"/>
                  <w:color w:val="000000"/>
                  <w:sz w:val="18"/>
                  <w:u w:val="none"/>
                  <w:effect w:val="none"/>
                </w:rPr>
                <w:t>18</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94">
              <w:r>
                <w:rPr>
                  <w:rStyle w:val="InternetLink"/>
                </w:rPr>
                <w:t>Quantitative and Qualitative Disclosure</w:t>
              </w:r>
            </w:hyperlink>
            <w:hyperlink w:anchor="ia61f5f549cc04155b1c59bb766cccfa1_94">
              <w:r>
                <w:rPr>
                  <w:rStyle w:val="InternetLink"/>
                </w:rPr>
                <w:t>s</w:t>
              </w:r>
            </w:hyperlink>
            <w:hyperlink w:anchor="ia61f5f549cc04155b1c59bb766cccfa1_94">
              <w:r>
                <w:rPr>
                  <w:rStyle w:val="InternetLink"/>
                </w:rPr>
                <w:t xml:space="preserve"> About Market Risk</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94">
              <w:r>
                <w:rPr>
                  <w:rStyle w:val="InternetLink"/>
                  <w:rFonts w:ascii="Times New Roman;sans-serif" w:hAnsi="Times New Roman;sans-serif"/>
                  <w:b w:val="false"/>
                  <w:strike w:val="false"/>
                  <w:dstrike w:val="false"/>
                  <w:color w:val="000000"/>
                  <w:sz w:val="18"/>
                  <w:u w:val="none"/>
                  <w:effect w:val="none"/>
                </w:rPr>
                <w:t>28</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97">
              <w:r>
                <w:rPr>
                  <w:rStyle w:val="InternetLink"/>
                  <w:rFonts w:ascii="Times New Roman;sans-serif" w:hAnsi="Times New Roman;sans-serif"/>
                  <w:b w:val="false"/>
                  <w:color w:val="3051F2"/>
                  <w:sz w:val="18"/>
                  <w:u w:val="single"/>
                </w:rPr>
                <w:t>Controls and Procedures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97">
              <w:r>
                <w:rPr>
                  <w:rStyle w:val="InternetLink"/>
                  <w:rFonts w:ascii="Times New Roman;sans-serif" w:hAnsi="Times New Roman;sans-serif"/>
                  <w:b w:val="false"/>
                  <w:strike w:val="false"/>
                  <w:dstrike w:val="false"/>
                  <w:color w:val="000000"/>
                  <w:sz w:val="18"/>
                  <w:u w:val="none"/>
                  <w:effect w:val="none"/>
                </w:rPr>
                <w:t>29</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Part II</w:t>
            </w:r>
          </w:p>
        </w:tc>
        <w:tc>
          <w:tcPr>
            <w:tcW w:w="7871" w:type="dxa"/>
            <w:gridSpan w:val="3"/>
            <w:tcBorders/>
            <w:shd w:fill="auto" w:val="clear"/>
            <w:tcMar>
              <w:top w:w="0" w:type="dxa"/>
              <w:left w:w="0" w:type="dxa"/>
              <w:bottom w:w="0" w:type="dxa"/>
              <w:right w:w="0" w:type="dxa"/>
            </w:tcMar>
            <w:vAlign w:val="center"/>
          </w:tcPr>
          <w:p>
            <w:pPr>
              <w:pStyle w:val="TableContents"/>
              <w:spacing w:before="0" w:after="0"/>
              <w:rPr/>
            </w:pPr>
            <w:r>
              <w:rPr/>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00">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03">
              <w:r>
                <w:rPr>
                  <w:rStyle w:val="InternetLink"/>
                  <w:rFonts w:ascii="Times New Roman;sans-serif" w:hAnsi="Times New Roman;sans-serif"/>
                  <w:b w:val="false"/>
                  <w:color w:val="3051F2"/>
                  <w:sz w:val="18"/>
                  <w:u w:val="single"/>
                </w:rPr>
                <w:t>Legal Proceedings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03">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06">
              <w:r>
                <w:rPr>
                  <w:rStyle w:val="InternetLink"/>
                  <w:rFonts w:ascii="Times New Roman;sans-serif" w:hAnsi="Times New Roman;sans-serif"/>
                  <w:b w:val="false"/>
                  <w:color w:val="3051F2"/>
                  <w:sz w:val="18"/>
                  <w:u w:val="single"/>
                </w:rPr>
                <w:t>Risk Factors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06">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09">
              <w:r>
                <w:rPr>
                  <w:rStyle w:val="InternetLink"/>
                  <w:rFonts w:ascii="Times New Roman;sans-serif" w:hAnsi="Times New Roman;sans-serif"/>
                  <w:b w:val="false"/>
                  <w:color w:val="3051F2"/>
                  <w:sz w:val="18"/>
                  <w:u w:val="single"/>
                </w:rPr>
                <w:t>Unregistered Sales of Equity Securities and Use of Proceeds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09">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12">
              <w:r>
                <w:rPr>
                  <w:rStyle w:val="InternetLink"/>
                  <w:rFonts w:ascii="Times New Roman;sans-serif" w:hAnsi="Times New Roman;sans-serif"/>
                  <w:b w:val="false"/>
                  <w:color w:val="3051F2"/>
                  <w:sz w:val="18"/>
                  <w:u w:val="single"/>
                </w:rPr>
                <w:t>Defaults Upon Senior Securities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12">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15">
              <w:r>
                <w:rPr>
                  <w:rStyle w:val="InternetLink"/>
                  <w:rFonts w:ascii="Times New Roman;sans-serif" w:hAnsi="Times New Roman;sans-serif"/>
                  <w:b w:val="false"/>
                  <w:color w:val="3051F2"/>
                  <w:sz w:val="18"/>
                  <w:u w:val="single"/>
                </w:rPr>
                <w:t>Mine Safety Disclosures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15">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18">
              <w:r>
                <w:rPr>
                  <w:rStyle w:val="InternetLink"/>
                  <w:rFonts w:ascii="Times New Roman;sans-serif" w:hAnsi="Times New Roman;sans-serif"/>
                  <w:b w:val="false"/>
                  <w:color w:val="3051F2"/>
                  <w:sz w:val="18"/>
                  <w:u w:val="single"/>
                </w:rPr>
                <w:t>Other Information</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18">
              <w:r>
                <w:rPr>
                  <w:rStyle w:val="InternetLink"/>
                  <w:rFonts w:ascii="Times New Roman;sans-serif" w:hAnsi="Times New Roman;sans-serif"/>
                  <w:b w:val="false"/>
                  <w:strike w:val="false"/>
                  <w:dstrike w:val="false"/>
                  <w:color w:val="000000"/>
                  <w:sz w:val="18"/>
                  <w:u w:val="none"/>
                  <w:effect w:val="none"/>
                </w:rPr>
                <w:t>31</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87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21">
              <w:r>
                <w:rPr>
                  <w:rStyle w:val="InternetLink"/>
                  <w:rFonts w:ascii="Times New Roman;sans-serif" w:hAnsi="Times New Roman;sans-serif"/>
                  <w:b w:val="false"/>
                  <w:color w:val="3051F2"/>
                  <w:sz w:val="18"/>
                  <w:u w:val="single"/>
                </w:rPr>
                <w:t>Exhibits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21">
              <w:r>
                <w:rPr>
                  <w:rStyle w:val="InternetLink"/>
                  <w:rFonts w:ascii="Times New Roman;sans-serif" w:hAnsi="Times New Roman;sans-serif"/>
                  <w:b w:val="false"/>
                  <w:strike w:val="false"/>
                  <w:dstrike w:val="false"/>
                  <w:color w:val="000000"/>
                  <w:sz w:val="18"/>
                  <w:u w:val="none"/>
                  <w:effect w:val="none"/>
                </w:rPr>
                <w:t>32</w:t>
              </w:r>
            </w:hyperlink>
          </w:p>
        </w:tc>
      </w:tr>
      <w:tr>
        <w:trPr/>
        <w:tc>
          <w:tcPr>
            <w:tcW w:w="16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a61f5f549cc04155b1c59bb766cccfa1_124">
              <w:r>
                <w:rPr>
                  <w:rStyle w:val="InternetLink"/>
                  <w:rFonts w:ascii="Times New Roman;sans-serif" w:hAnsi="Times New Roman;sans-serif"/>
                  <w:b/>
                  <w:strike w:val="false"/>
                  <w:dstrike w:val="false"/>
                  <w:color w:val="000000"/>
                  <w:sz w:val="18"/>
                  <w:u w:val="none"/>
                  <w:effect w:val="none"/>
                </w:rPr>
                <w:t>Signatures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180"/>
              <w:jc w:val="center"/>
              <w:rPr/>
            </w:pPr>
            <w:hyperlink w:anchor="ia61f5f549cc04155b1c59bb766cccfa1_124">
              <w:r>
                <w:rPr>
                  <w:rStyle w:val="InternetLink"/>
                  <w:rFonts w:ascii="Times New Roman;sans-serif" w:hAnsi="Times New Roman;sans-serif"/>
                  <w:b w:val="false"/>
                  <w:strike w:val="false"/>
                  <w:dstrike w:val="false"/>
                  <w:color w:val="000000"/>
                  <w:sz w:val="18"/>
                  <w:u w:val="none"/>
                  <w:effect w:val="none"/>
                </w:rPr>
                <w:t>33</w:t>
              </w:r>
            </w:hyperlink>
          </w:p>
        </w:tc>
      </w:tr>
    </w:tbl>
    <w:p>
      <w:pPr>
        <w:pStyle w:val="TextBody"/>
        <w:spacing w:before="0" w:after="24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i</w:t>
                      </w:r>
                    </w:p>
                  </w:txbxContent>
                </v:textbox>
              </v:rect>
            </w:pict>
          </mc:Fallback>
        </mc:AlternateContent>
      </w:r>
    </w:p>
    <w:p>
      <w:pPr>
        <w:pStyle w:val="TextBody"/>
        <w:spacing w:lineRule="auto" w:line="288" w:before="0" w:after="180"/>
        <w:rPr/>
      </w:pPr>
      <w:hyperlink w:anchor="ia61f5f549cc04155b1c59bb766cccfa1_7">
        <w:r>
          <w:rPr>
            <w:rStyle w:val="InternetLink"/>
          </w:rPr>
          <w:t>Table of Con</w:t>
        </w:r>
      </w:hyperlink>
      <w:hyperlink w:anchor="ia61f5f549cc04155b1c59bb766cccfa1_7">
        <w:r>
          <w:rPr>
            <w:rStyle w:val="InternetLink"/>
          </w:rPr>
          <w:t>t</w:t>
        </w:r>
      </w:hyperlink>
      <w:hyperlink w:anchor="ia61f5f549cc04155b1c59bb766cccfa1_7">
        <w:r>
          <w:rPr>
            <w:rStyle w:val="InternetLink"/>
          </w:rPr>
          <w:t>ents</w:t>
        </w:r>
      </w:hyperlink>
    </w:p>
    <w:p>
      <w:pPr>
        <w:pStyle w:val="TextBody"/>
        <w:spacing w:lineRule="auto" w:line="288" w:before="180" w:after="180"/>
        <w:jc w:val="center"/>
        <w:rPr>
          <w:rFonts w:ascii="Times New Roman;sans-serif" w:hAnsi="Times New Roman;sans-serif"/>
          <w:b/>
          <w:color w:val="000000"/>
          <w:sz w:val="18"/>
        </w:rPr>
      </w:pPr>
      <w:r>
        <w:rPr>
          <w:rFonts w:ascii="Times New Roman;sans-serif" w:hAnsi="Times New Roman;sans-serif"/>
          <w:b/>
          <w:color w:val="000000"/>
          <w:sz w:val="18"/>
        </w:rPr>
        <w:t>SPECIAL NOTE REGARDING FORWARD-LOOKING STATEMENTS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expectations regarding our revenue, expenses, and other operating results;</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acquire new customers and successfully retain existing customers;</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develop new products and services and bring them to market in a timely manner;</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achieve or sustain our profitability;</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maintain and expand our strategic relationships with third parties;</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business plan and our ability to effectively manage our growth;</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market opportunity, including our total addressable market;</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anticipated trends, growth rates, and challenges in our business and in the markets in which we operate;</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attract and retain qualified employees;</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the COVID-19 pandemic, and its impact on our employees, customers, strategic partners, vendors, results of operations, liquidity, and financial condition;</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uncertainties regarding the impact of general economic and market conditions, including as a result of regional and global conflicts or related government sanctions;</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maintain the security and availability of our solutions;</w:t>
      </w:r>
    </w:p>
    <w:p>
      <w:pPr>
        <w:pStyle w:val="TextBody"/>
        <w:spacing w:lineRule="auto" w:line="288" w:before="0" w:after="60"/>
        <w:ind w:left="0" w:right="0" w:hanging="360"/>
        <w:rPr>
          <w:color w:val="000000"/>
        </w:rPr>
      </w:pPr>
      <w:r>
        <w:rPr>
          <w:color w:val="000000"/>
        </w:rPr>
        <w:t>•    </w:t>
      </w:r>
      <w:r>
        <w:rPr>
          <w:rFonts w:ascii="Times New Roman;sans-serif" w:hAnsi="Times New Roman;sans-serif"/>
          <w:b w:val="false"/>
          <w:color w:val="000000"/>
          <w:sz w:val="18"/>
        </w:rPr>
        <w:t>our ability to maintain and expand internationally;</w:t>
      </w:r>
    </w:p>
    <w:p>
      <w:pPr>
        <w:pStyle w:val="TextBody"/>
        <w:spacing w:lineRule="auto" w:line="288" w:before="0" w:after="180"/>
        <w:ind w:left="0" w:right="0" w:hanging="360"/>
        <w:rPr>
          <w:color w:val="000000"/>
        </w:rPr>
      </w:pPr>
      <w:r>
        <w:rPr>
          <w:color w:val="000000"/>
        </w:rPr>
        <w:t>•    </w:t>
      </w:r>
      <w:r>
        <w:rPr>
          <w:rFonts w:ascii="Times New Roman;sans-serif" w:hAnsi="Times New Roman;sans-serif"/>
          <w:b w:val="false"/>
          <w:color w:val="000000"/>
          <w:sz w:val="18"/>
        </w:rPr>
        <w:t>our expectations regarding anticipated technology needs and developments and our ability to address those needs and developments with our solutions: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Unless the context otherwise requires, the terms “Remitly Global,” “Remitly,” “the Company,” “we,” “us,” and “our” in this Quarterly Report on Form 10-Q refer to Remitly Global, Inc. and our consolidated subsidiaries, taken as a whole.</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ii</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Part 1. Financial Information</w:t>
      </w:r>
    </w:p>
    <w:p>
      <w:pPr>
        <w:pStyle w:val="TextBody"/>
        <w:spacing w:lineRule="auto" w:line="288" w:before="0" w:after="40"/>
        <w:rPr>
          <w:rFonts w:ascii="Times New Roman;sans-serif" w:hAnsi="Times New Roman;sans-serif"/>
          <w:b/>
          <w:color w:val="000000"/>
          <w:sz w:val="18"/>
        </w:rPr>
      </w:pPr>
      <w:r>
        <w:rPr>
          <w:rFonts w:ascii="Times New Roman;sans-serif" w:hAnsi="Times New Roman;sans-serif"/>
          <w:b/>
          <w:color w:val="000000"/>
          <w:sz w:val="18"/>
        </w:rPr>
        <w:t xml:space="preserve">Item 1. Financial Statements (Unaudited)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40" w:after="283"/>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 except share and per share data</w:t>
      </w:r>
      <w:r>
        <w:rPr>
          <w:rFonts w:ascii="Times New Roman;sans-serif" w:hAnsi="Times New Roman;sans-serif"/>
          <w:b w:val="false"/>
          <w:color w:val="000000"/>
          <w:sz w:val="18"/>
        </w:rPr>
        <w:t>)</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205" w:type="dxa"/>
        <w:jc w:val="left"/>
        <w:tblInd w:w="0" w:type="dxa"/>
        <w:tblCellMar>
          <w:top w:w="28" w:type="dxa"/>
          <w:left w:w="28" w:type="dxa"/>
          <w:bottom w:w="28" w:type="dxa"/>
          <w:right w:w="28" w:type="dxa"/>
        </w:tblCellMar>
      </w:tblPr>
      <w:tblGrid>
        <w:gridCol w:w="2936"/>
        <w:gridCol w:w="2400"/>
        <w:gridCol w:w="2373"/>
        <w:gridCol w:w="196"/>
        <w:gridCol w:w="736"/>
        <w:gridCol w:w="109"/>
        <w:gridCol w:w="109"/>
        <w:gridCol w:w="109"/>
        <w:gridCol w:w="109"/>
        <w:gridCol w:w="203"/>
        <w:gridCol w:w="763"/>
        <w:gridCol w:w="162"/>
      </w:tblGrid>
      <w:tr>
        <w:trPr/>
        <w:tc>
          <w:tcPr>
            <w:tcW w:w="2936"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rPr>
                <w:sz w:val="4"/>
                <w:szCs w:val="4"/>
              </w:rPr>
            </w:pPr>
            <w:r>
              <w:rPr>
                <w:sz w:val="4"/>
                <w:szCs w:val="4"/>
              </w:rPr>
            </w:r>
          </w:p>
        </w:tc>
        <w:tc>
          <w:tcPr>
            <w:tcW w:w="23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403,262 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119,627 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67,215 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17,448 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607,552 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9,249 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5,302 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70,483 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66,683 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3,240 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141,616 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1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0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18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725,000,000 shares authorized as of March 31, 2022 and December 31, 2021 both; 166,138,369 and 164,239,555 shares issued and outstanding, as of March 31, 2022 and December 31, 2021, respectively</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739,503 </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(259,444)</w:t>
            </w:r>
          </w:p>
        </w:tc>
        <w:tc>
          <w:tcPr>
            <w:tcW w:w="16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480,328 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625,664 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1</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Operations</w:t>
      </w:r>
    </w:p>
    <w:p>
      <w:pPr>
        <w:pStyle w:val="TextBody"/>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 except share and per share data</w:t>
      </w:r>
      <w:r>
        <w:rPr>
          <w:rFonts w:ascii="Times New Roman;sans-serif" w:hAnsi="Times New Roman;sans-serif"/>
          <w:b w:val="false"/>
          <w:color w:val="000000"/>
          <w:sz w:val="18"/>
        </w:rPr>
        <w:t>)</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0205" w:type="dxa"/>
        <w:jc w:val="left"/>
        <w:tblInd w:w="0" w:type="dxa"/>
        <w:tblCellMar>
          <w:top w:w="28" w:type="dxa"/>
          <w:left w:w="28" w:type="dxa"/>
          <w:bottom w:w="28" w:type="dxa"/>
          <w:right w:w="28" w:type="dxa"/>
        </w:tblCellMar>
      </w:tblPr>
      <w:tblGrid>
        <w:gridCol w:w="2373"/>
        <w:gridCol w:w="2005"/>
        <w:gridCol w:w="2038"/>
        <w:gridCol w:w="221"/>
        <w:gridCol w:w="830"/>
        <w:gridCol w:w="119"/>
        <w:gridCol w:w="119"/>
        <w:gridCol w:w="119"/>
        <w:gridCol w:w="119"/>
        <w:gridCol w:w="223"/>
        <w:gridCol w:w="738"/>
        <w:gridCol w:w="119"/>
        <w:gridCol w:w="109"/>
        <w:gridCol w:w="109"/>
        <w:gridCol w:w="109"/>
        <w:gridCol w:w="855"/>
      </w:tblGrid>
      <w:tr>
        <w:trPr/>
        <w:tc>
          <w:tcPr>
            <w:tcW w:w="2373"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3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4" w:type="dxa"/>
            <w:gridSpan w:val="2"/>
            <w:tcBorders/>
            <w:shd w:fill="auto" w:val="clear"/>
          </w:tcPr>
          <w:p>
            <w:pPr>
              <w:pStyle w:val="TableContents"/>
              <w:spacing w:before="0" w:after="283"/>
              <w:rPr>
                <w:sz w:val="4"/>
                <w:szCs w:val="4"/>
              </w:rPr>
            </w:pPr>
            <w:r>
              <w:rPr>
                <w:sz w:val="4"/>
                <w:szCs w:val="4"/>
              </w:rPr>
            </w:r>
          </w:p>
        </w:tc>
      </w:tr>
      <w:tr>
        <w:trPr/>
        <w:tc>
          <w:tcPr>
            <w:tcW w:w="64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Transaction expenses</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56,263 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Customer support and operations</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Marketing</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40,621 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Technology and development</w:t>
            </w:r>
            <w:r>
              <w:rPr>
                <w:rFonts w:ascii="Times New Roman;sans-serif" w:hAnsi="Times New Roman;sans-serif"/>
                <w:b w:val="false"/>
                <w:color w:val="000000"/>
                <w:sz w:val="12"/>
              </w:rPr>
              <w:t>(1)</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11,644 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General and administrative</w:t>
            </w:r>
            <w:r>
              <w:rPr>
                <w:rFonts w:ascii="Times New Roman;sans-serif" w:hAnsi="Times New Roman;sans-serif"/>
                <w:b w:val="false"/>
                <w:color w:val="000000"/>
                <w:sz w:val="12"/>
              </w:rPr>
              <w:t>(1)</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720"/>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and expenses</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720"/>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(23,174)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720"/>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auto" w:val="clear"/>
            <w:vAlign w:val="center"/>
          </w:tcPr>
          <w:p>
            <w:pPr>
              <w:pStyle w:val="TableContents"/>
              <w:spacing w:before="0" w:after="283"/>
              <w:rPr>
                <w:sz w:val="4"/>
                <w:szCs w:val="4"/>
              </w:rPr>
            </w:pPr>
            <w:r>
              <w:rPr>
                <w:sz w:val="4"/>
                <w:szCs w:val="4"/>
              </w:rPr>
            </w:r>
          </w:p>
        </w:tc>
        <w:tc>
          <w:tcPr>
            <w:tcW w:w="1170"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0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720"/>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720"/>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r>
        <w:trPr/>
        <w:tc>
          <w:tcPr>
            <w:tcW w:w="641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ind w:left="0" w:right="0" w:firstLine="720"/>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05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164,391,753 </w:t>
            </w:r>
          </w:p>
        </w:tc>
        <w:tc>
          <w:tcPr>
            <w:tcW w:w="11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22,711,379 </w:t>
            </w:r>
          </w:p>
        </w:tc>
        <w:tc>
          <w:tcPr>
            <w:tcW w:w="11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__________________</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Exclusive of depreciation and amortization, shown separately, above</w:t>
      </w:r>
    </w:p>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10565"/>
                <wp:effectExtent l="0" t="0" r="0" b="0"/>
                <wp:wrapNone/>
                <wp:docPr id="5" name="Frame5"/>
                <a:graphic xmlns:a="http://schemas.openxmlformats.org/drawingml/2006/main">
                  <a:graphicData uri="http://schemas.microsoft.com/office/word/2010/wordprocessingShape">
                    <wps:wsp>
                      <wps:cNvSpPr txBox="1"/>
                      <wps:spPr>
                        <a:xfrm>
                          <a:off x="0" y="0"/>
                          <a:ext cx="6480175" cy="710565"/>
                        </a:xfrm>
                        <a:prstGeom prst="rect"/>
                      </wps:spPr>
                      <wps:txbx>
                        <w:txbxContent>
                          <w:p>
                            <w:pPr>
                              <w:pStyle w:val="TextBody"/>
                              <w:spacing w:before="0" w:after="180"/>
                              <w:jc w:val="center"/>
                              <w:rPr/>
                            </w:pPr>
                            <w:r>
                              <w:rPr/>
                            </w:r>
                          </w:p>
                          <w:p>
                            <w:pPr>
                              <w:pStyle w:val="TextBody"/>
                              <w:spacing w:before="0" w:after="18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before="0" w:after="180"/>
                        <w:jc w:val="center"/>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before="0" w:after="180"/>
        <w:ind w:left="0" w:right="0" w:firstLine="36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Loss</w:t>
      </w:r>
    </w:p>
    <w:p>
      <w:pPr>
        <w:pStyle w:val="TextBody"/>
        <w:spacing w:lineRule="auto" w:line="288" w:before="0" w:after="0"/>
        <w:ind w:left="0" w:right="0" w:firstLine="72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w:t>
      </w:r>
      <w:r>
        <w:rPr>
          <w:rFonts w:ascii="Times New Roman;sans-serif" w:hAnsi="Times New Roman;sans-serif"/>
          <w:b w:val="false"/>
          <w:color w:val="000000"/>
          <w:sz w:val="18"/>
        </w:rPr>
        <w:t>)</w:t>
      </w:r>
    </w:p>
    <w:p>
      <w:pPr>
        <w:pStyle w:val="TextBody"/>
        <w:spacing w:lineRule="auto" w:line="288" w:before="0" w:after="180"/>
        <w:ind w:left="0" w:right="0" w:firstLine="36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6055" w:type="dxa"/>
        <w:jc w:val="left"/>
        <w:tblInd w:w="0" w:type="dxa"/>
        <w:tblCellMar>
          <w:top w:w="28" w:type="dxa"/>
          <w:left w:w="28" w:type="dxa"/>
          <w:bottom w:w="28" w:type="dxa"/>
          <w:right w:w="28" w:type="dxa"/>
        </w:tblCellMar>
      </w:tblPr>
      <w:tblGrid>
        <w:gridCol w:w="1085"/>
        <w:gridCol w:w="951"/>
        <w:gridCol w:w="963"/>
        <w:gridCol w:w="221"/>
        <w:gridCol w:w="812"/>
        <w:gridCol w:w="122"/>
        <w:gridCol w:w="122"/>
        <w:gridCol w:w="122"/>
        <w:gridCol w:w="122"/>
        <w:gridCol w:w="221"/>
        <w:gridCol w:w="711"/>
        <w:gridCol w:w="122"/>
        <w:gridCol w:w="109"/>
        <w:gridCol w:w="109"/>
        <w:gridCol w:w="109"/>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03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(23,306)</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(7,802)</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18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w:t>
                      </w:r>
                    </w:p>
                  </w:txbxContent>
                </v:textbox>
              </v:rect>
            </w:pict>
          </mc:Fallback>
        </mc:AlternateContent>
      </w:r>
    </w:p>
    <w:p>
      <w:pPr>
        <w:pStyle w:val="TextBody"/>
        <w:spacing w:lineRule="auto" w:line="288" w:before="0" w:after="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Redeemable Convertible Preferred Stock and Stockholders’ Equity (Deficit)</w:t>
      </w:r>
    </w:p>
    <w:p>
      <w:pPr>
        <w:pStyle w:val="TextBody"/>
        <w:spacing w:lineRule="auto" w:line="288"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In thousands, except share data</w:t>
      </w:r>
      <w:r>
        <w:rPr>
          <w:rFonts w:ascii="Times New Roman;sans-serif" w:hAnsi="Times New Roman;sans-serif"/>
          <w:b w:val="false"/>
          <w:color w:val="000000"/>
          <w:sz w:val="18"/>
        </w:rPr>
        <w:t>)</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12332" w:type="dxa"/>
        <w:jc w:val="center"/>
        <w:tblInd w:w="0" w:type="dxa"/>
        <w:tblCellMar>
          <w:top w:w="28" w:type="dxa"/>
          <w:left w:w="28" w:type="dxa"/>
          <w:bottom w:w="28" w:type="dxa"/>
          <w:right w:w="28" w:type="dxa"/>
        </w:tblCellMar>
      </w:tblPr>
      <w:tblGrid>
        <w:gridCol w:w="711"/>
        <w:gridCol w:w="229"/>
        <w:gridCol w:w="231"/>
        <w:gridCol w:w="525"/>
        <w:gridCol w:w="526"/>
        <w:gridCol w:w="196"/>
        <w:gridCol w:w="109"/>
        <w:gridCol w:w="109"/>
        <w:gridCol w:w="109"/>
        <w:gridCol w:w="196"/>
        <w:gridCol w:w="736"/>
        <w:gridCol w:w="109"/>
        <w:gridCol w:w="109"/>
        <w:gridCol w:w="109"/>
        <w:gridCol w:w="109"/>
        <w:gridCol w:w="109"/>
        <w:gridCol w:w="109"/>
        <w:gridCol w:w="109"/>
        <w:gridCol w:w="525"/>
        <w:gridCol w:w="526"/>
        <w:gridCol w:w="196"/>
        <w:gridCol w:w="109"/>
        <w:gridCol w:w="109"/>
        <w:gridCol w:w="109"/>
        <w:gridCol w:w="212"/>
        <w:gridCol w:w="359"/>
        <w:gridCol w:w="120"/>
        <w:gridCol w:w="109"/>
        <w:gridCol w:w="109"/>
        <w:gridCol w:w="109"/>
        <w:gridCol w:w="196"/>
        <w:gridCol w:w="736"/>
        <w:gridCol w:w="109"/>
        <w:gridCol w:w="109"/>
        <w:gridCol w:w="109"/>
        <w:gridCol w:w="109"/>
        <w:gridCol w:w="295"/>
        <w:gridCol w:w="635"/>
        <w:gridCol w:w="166"/>
        <w:gridCol w:w="109"/>
        <w:gridCol w:w="109"/>
        <w:gridCol w:w="109"/>
        <w:gridCol w:w="196"/>
        <w:gridCol w:w="751"/>
        <w:gridCol w:w="109"/>
        <w:gridCol w:w="109"/>
        <w:gridCol w:w="109"/>
        <w:gridCol w:w="109"/>
        <w:gridCol w:w="196"/>
        <w:gridCol w:w="776"/>
        <w:gridCol w:w="154"/>
      </w:tblGrid>
      <w:tr>
        <w:trPr/>
        <w:tc>
          <w:tcPr>
            <w:tcW w:w="711"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1" w:type="dxa"/>
            <w:gridSpan w:val="48"/>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2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br/>
              <w:t>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January 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164,239,555 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(259,444)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480,328 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1,696,601 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through Employee Stock Purchase Plan</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202,213 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166,138,369 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1" w:type="dxa"/>
            <w:gridSpan w:val="48"/>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2021</w:t>
            </w:r>
          </w:p>
        </w:tc>
      </w:tr>
      <w:tr>
        <w:trPr/>
        <w:tc>
          <w:tcPr>
            <w:tcW w:w="11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Convertible</w:t>
              <w:br/>
              <w:t>Preferred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226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5"/>
              </w:rPr>
            </w:pPr>
            <w:r>
              <w:rPr>
                <w:rFonts w:ascii="Times New Roman;sans-serif" w:hAnsi="Times New Roman;sans-serif"/>
                <w:b/>
                <w:color w:val="000000"/>
                <w:sz w:val="15"/>
              </w:rPr>
              <w:t>Accumulated</w:t>
              <w:br/>
              <w:t>Other</w:t>
              <w:br/>
              <w:t>Comprehensive</w:t>
              <w:br/>
              <w:t>Income (Loss)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Deficit</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12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Balances as of January 1, 2021</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127,082,605 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24,289,906 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(211,329)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Series F redeemable convertible preferred stock, net of issuance costs</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328,026 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109"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upon exercise of stock options, including early exercised options, and vesting of restricted stock units</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706,948 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CCEEFF" w:val="clear"/>
            <w:tcMar>
              <w:top w:w="0" w:type="dxa"/>
              <w:left w:w="74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6"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c>
          <w:tcPr>
            <w:tcW w:w="327" w:type="dxa"/>
            <w:gridSpan w:val="3"/>
            <w:tcBorders>
              <w:left w:val="single" w:sz="8" w:space="0" w:color="000000"/>
            </w:tcBorders>
            <w:shd w:fill="FFFFFF" w:val="clear"/>
            <w:tcMar>
              <w:top w:w="0" w:type="dxa"/>
              <w:left w:w="74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(7,770)</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as of March 31, 2021</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127,410,631 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390,707 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24,996,854 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(216,505)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21005"/>
                <wp:effectExtent l="0" t="0" r="0" b="0"/>
                <wp:wrapNone/>
                <wp:docPr id="7" name="Frame7"/>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4</w:t>
                      </w:r>
                    </w:p>
                  </w:txbxContent>
                </v:textbox>
              </v:rect>
            </w:pict>
          </mc:Fallback>
        </mc:AlternateContent>
      </w:r>
    </w:p>
    <w:p>
      <w:pPr>
        <w:pStyle w:val="TextBody"/>
        <w:spacing w:lineRule="auto" w:line="288" w:before="0" w:after="0"/>
        <w:rPr/>
      </w:pPr>
      <w:hyperlink w:anchor="ia61f5f549cc04155b1c59bb766cccfa1_7">
        <w:r>
          <w:rPr>
            <w:rStyle w:val="InternetLink"/>
          </w:rPr>
          <w:t xml:space="preserve">Table of </w:t>
        </w:r>
      </w:hyperlink>
      <w:hyperlink w:anchor="ia61f5f549cc04155b1c59bb766cccfa1_7">
        <w:r>
          <w:rPr>
            <w:rStyle w:val="InternetLink"/>
          </w:rPr>
          <w:t>Contents</w:t>
        </w:r>
      </w:hyperlink>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tbl>
      <w:tblPr>
        <w:tblW w:w="8814" w:type="dxa"/>
        <w:jc w:val="center"/>
        <w:tblInd w:w="0" w:type="dxa"/>
        <w:tblCellMar>
          <w:top w:w="28" w:type="dxa"/>
          <w:left w:w="28" w:type="dxa"/>
          <w:bottom w:w="28" w:type="dxa"/>
          <w:right w:w="28" w:type="dxa"/>
        </w:tblCellMar>
      </w:tblPr>
      <w:tblGrid>
        <w:gridCol w:w="2243"/>
        <w:gridCol w:w="1968"/>
        <w:gridCol w:w="1983"/>
        <w:gridCol w:w="209"/>
        <w:gridCol w:w="787"/>
        <w:gridCol w:w="116"/>
        <w:gridCol w:w="116"/>
        <w:gridCol w:w="116"/>
        <w:gridCol w:w="116"/>
        <w:gridCol w:w="209"/>
        <w:gridCol w:w="787"/>
        <w:gridCol w:w="164"/>
      </w:tblGrid>
      <w:tr>
        <w:trPr/>
        <w:tc>
          <w:tcPr>
            <w:tcW w:w="2243"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1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18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w:t>
            </w:r>
          </w:p>
        </w:tc>
        <w:tc>
          <w:tcPr>
            <w:tcW w:w="164"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62,450 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34,425 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(11,298)</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(6,221)</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(5,165)</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8,474 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48,390 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(6,740)</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(969)</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62,916 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costs</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Series F convertible preferred stock, net of issuance costs</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revolving credit facility borrowings, net</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(10,874)</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403,313 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188,075 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0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income taxes</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and financing activities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 obtained in exchange for operating lease liabilities</w:t>
            </w:r>
          </w:p>
        </w:tc>
        <w:tc>
          <w:tcPr>
            <w:tcW w:w="2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options</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issuance shares through Employee Stock Purchase Plan</w:t>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rPr>
                <w:sz w:val="4"/>
                <w:szCs w:val="4"/>
              </w:rPr>
            </w:pPr>
            <w:r>
              <w:rPr>
                <w:sz w:val="4"/>
                <w:szCs w:val="4"/>
              </w:rPr>
            </w:r>
          </w:p>
        </w:tc>
      </w:tr>
      <w:tr>
        <w:trPr/>
        <w:tc>
          <w:tcPr>
            <w:tcW w:w="6194"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60"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238,502 </w:t>
            </w:r>
          </w:p>
        </w:tc>
        <w:tc>
          <w:tcPr>
            <w:tcW w:w="16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6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444,656 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21005"/>
                <wp:effectExtent l="0" t="0" r="0" b="0"/>
                <wp:wrapNone/>
                <wp:docPr id="8" name="Frame8"/>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5</w:t>
                      </w:r>
                    </w:p>
                  </w:txbxContent>
                </v:textbox>
              </v:rect>
            </w:pict>
          </mc:Fallback>
        </mc:AlternateContent>
      </w:r>
    </w:p>
    <w:p>
      <w:pPr>
        <w:pStyle w:val="TextBody"/>
        <w:spacing w:lineRule="auto" w:line="288" w:before="0" w:after="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before="0" w:after="120"/>
        <w:ind w:left="0" w:right="0" w:firstLine="36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REMITLY GLOBAL,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Condensed Consolidated Financial Statements</w:t>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(Unaudited)</w:t>
      </w:r>
    </w:p>
    <w:p>
      <w:pPr>
        <w:pStyle w:val="TextBody"/>
        <w:spacing w:before="0" w:after="0"/>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1.    Organization and Description of Business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Description of Business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Global, Inc. (the “Company” or “Remitly”) was incorporated in the State of Delaware in October 2018 and is headquartered in Seattle, Washington, with various other global office locations.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Remitly is a leading digital financial services provider for immigrants and their families in over 160 countries, helping customers send money internationally in a quick, reliable, and more cost-effective manner, by leveraging digital channels and supporting cross-border transmissions across the globe. </w:t>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Unless otherwise expressly stated or the context otherwise requires, the terms “Remitly” and the “Company” in these notes to the condensed consolidated financial statements refer to Remitly Global, Inc. and its wholly-owned subsidiaries.</w:t>
      </w:r>
    </w:p>
    <w:p>
      <w:pPr>
        <w:pStyle w:val="TextBody"/>
        <w:spacing w:before="0" w:after="0"/>
        <w:ind w:left="0" w:right="0" w:firstLine="360"/>
        <w:rPr/>
      </w:pPr>
      <w:r>
        <w:rPr/>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Initial Public Offering and Private Placement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 September 2021, the Company completed its initial public offering (the “IPO”), in which the Company issued and sold 7,000,000 shares of its common stock at $43.00 per share. Concurrently, 5,162,777 shares were sold by certain of the Company’s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2.    Basis of Presentation and Summary of Significant Accounting Policies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Basis of Presentation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condensed balance sheet data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2021.</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months ended March 31, 2022 are not necessarily indicative of the results that may be expected for the year ending December 31, 2021, or for any other future annual or interim period.</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Principles of Consolidation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condensed consolidated financial statements include the accounts of Remitly Global, Inc. and its wholly-owned subsidiaries. All intercompany transactions and balances have been eliminated in consolidation.</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Use of Estimates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preparation of the accompanying condensed consolidated financial statements in conformity with GAAP requires management to make estimates and assumptions that affect the amounts reported and disclosed in the condensed consolidated financial statements and accompanying notes. These estimates and assumptions include, but are not limited to, revenue recognition including the treatment of sales incentive programs, reserves for transaction losses, stock-based compensation expense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condensed consolidated financial statements.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Concentration of Credit Risk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Philippines and Mexico. The Company has not experienced any significant losses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21005"/>
                <wp:effectExtent l="0" t="0" r="0" b="0"/>
                <wp:wrapNone/>
                <wp:docPr id="9" name="Frame9"/>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6</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on its deposits of cash and cash equivalents, disbursement prefunding, restricted cash or customer funds receivable in the three months ended March 31, 2022 and 2021.</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For the three months ended March 31, 2022 and 2021, no individual customer represented 10% or more of the Company’s total revenue or customer funds receivable.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Advertising</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Advertising expenses are charged to operations as incurred and are included as a component of marketing expenses. Advertising expenses also include additional incentive costs that would have caused the customer level revenue to be negative. Advertising expenses totaled $34.5 million and $22.5 million during the three months ended March 31, 2022 and 2021, respectively, and are used primarily to attract new customers.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Summary of Significant Accounting Policies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Company’s significant accounting policies are discussed in Note 2, “Basis of Presentation and Summary of Significant Accounting Policies” in the Notes to Consolidated Financial Statements included in the Company’s Annual Report on Form 10-K for the year ended December 31, 2021. There have been no significant changes to these policies during the three months ended March 31, 2022, except as noted below.</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Recent Accounting Pronouncements</w:t>
      </w:r>
    </w:p>
    <w:p>
      <w:pPr>
        <w:pStyle w:val="TextBody"/>
        <w:spacing w:lineRule="auto" w:line="288" w:before="0" w:after="180"/>
        <w:ind w:left="0" w:right="0" w:firstLine="360"/>
        <w:rPr/>
      </w:pPr>
      <w:r>
        <w:rPr>
          <w:rFonts w:ascii="Times New Roman;sans-serif" w:hAnsi="Times New Roman;sans-serif"/>
          <w:b/>
          <w:i/>
          <w:color w:val="000000"/>
          <w:sz w:val="18"/>
        </w:rPr>
        <w:t>Recently Adopted Accounting Pronouncements</w:t>
      </w:r>
      <w:r>
        <w:rPr>
          <w:color w:val="000000"/>
        </w:rPr>
        <w:t xml:space="preserve"> </w:t>
      </w:r>
      <w:r>
        <w:rPr>
          <w:rFonts w:ascii="Times New Roman;sans-serif" w:hAnsi="Times New Roman;sans-serif"/>
          <w:b w:val="false"/>
          <w:i/>
          <w:color w:val="000000"/>
          <w:sz w:val="18"/>
        </w:rPr>
        <w:t>(“ASU”)</w:t>
      </w:r>
    </w:p>
    <w:p>
      <w:pPr>
        <w:pStyle w:val="TextBody"/>
        <w:spacing w:lineRule="auto" w:line="288" w:before="0" w:after="180"/>
        <w:ind w:left="0" w:right="0" w:firstLine="360"/>
        <w:rPr/>
      </w:pPr>
      <w:r>
        <w:rPr>
          <w:rFonts w:ascii="Times New Roman;sans-serif" w:hAnsi="Times New Roman;sans-serif"/>
          <w:b w:val="false"/>
          <w:color w:val="000000"/>
          <w:sz w:val="18"/>
        </w:rPr>
        <w:t>In December 2019, the FASB issued ASU 2019-12,</w:t>
      </w:r>
      <w:r>
        <w:rPr>
          <w:color w:val="000000"/>
        </w:rPr>
        <w:t xml:space="preserve"> </w:t>
      </w:r>
      <w:r>
        <w:rPr>
          <w:rFonts w:ascii="Times New Roman;sans-serif" w:hAnsi="Times New Roman;sans-serif"/>
          <w:b w:val="false"/>
          <w:i/>
          <w:color w:val="000000"/>
          <w:sz w:val="18"/>
        </w:rPr>
        <w:t>Income Taxes (Topic 740): Simplifying the Accounting for Income Taxes</w:t>
      </w:r>
      <w:r>
        <w:rPr>
          <w:rFonts w:ascii="Times New Roman;sans-serif" w:hAnsi="Times New Roman;sans-serif"/>
          <w:b w:val="false"/>
          <w:color w:val="000000"/>
          <w:sz w:val="18"/>
        </w:rPr>
        <w:t>, which modifies ASC 740 to simplify the accounting for income taxes. The ASU’s amendments are based on changes that were suggested by stakeholders as part of the FASB’s simplification initiative (i.e., the Board’s effort to reduce the complexity of accounting standards while maintaining or enhancing the helpfulness of information provided to financial statement users). ASU 2019-12 removes certain exceptions related to the approach for intra 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The new standard is effective for fiscal years beginning after December 15, 2021, and interim periods within fiscal years beginning after December 15, 2022 with early adoption permitted. The Company adopted this ASU on a prospective basis in the first quarter of 2022. The adoption of this ASU did not have a significant impact on the Company’s consolidated financial statements.</w:t>
      </w:r>
    </w:p>
    <w:p>
      <w:pPr>
        <w:pStyle w:val="TextBody"/>
        <w:spacing w:lineRule="auto" w:line="288" w:before="0" w:after="180"/>
        <w:ind w:left="0" w:right="0" w:firstLine="360"/>
        <w:rPr/>
      </w:pPr>
      <w:r>
        <w:rPr>
          <w:rFonts w:ascii="Times New Roman;sans-serif" w:hAnsi="Times New Roman;sans-serif"/>
          <w:b w:val="false"/>
          <w:color w:val="000000"/>
          <w:sz w:val="18"/>
        </w:rPr>
        <w:t>In August 2018, the FASB issued ASU No. 2018-15,</w:t>
      </w:r>
      <w:r>
        <w:rPr>
          <w:color w:val="000000"/>
        </w:rPr>
        <w:t xml:space="preserve"> </w:t>
      </w:r>
      <w:r>
        <w:rPr>
          <w:rFonts w:ascii="Times New Roman;sans-serif" w:hAnsi="Times New Roman;sans-serif"/>
          <w:b w:val="false"/>
          <w:i/>
          <w:color w:val="000000"/>
          <w:sz w:val="18"/>
        </w:rPr>
        <w:t>Intangibles - Goodwill and Other-Internal-Use Software (Subtopic 350-40),Customer’s Accounting for Implementation Costs Incurred in a Cloud Computing Arrangement That is a Service Contract.</w:t>
      </w:r>
      <w:r>
        <w:rPr>
          <w:color w:val="000000"/>
        </w:rPr>
        <w:t xml:space="preserve"> </w:t>
      </w:r>
      <w:r>
        <w:rPr>
          <w:rFonts w:ascii="Times New Roman;sans-serif" w:hAnsi="Times New Roman;sans-serif"/>
          <w:b w:val="false"/>
          <w:color w:val="000000"/>
          <w:sz w:val="18"/>
        </w:rPr>
        <w:t xml:space="preserve">Under existing U.S. GAAP, there is diversity in practice in accounting for the costs of implementing cloud computing arrangements (CCA) that are service contracts. The standard aligns the requirements for capitalizing implementation costs incurred in a hosting arrangement that is a service contract with the requirements for capitalizing implementation costs incurred to develop or obtain internal-use software. The standard also requires the presentation of the amortization of the capitalized implementation costs in the same line item in the consolidated statements of comprehensive loss as the fees associated with the hosting arrangement. The new standard is effective for fiscal years beginning after December 15, 2020, and interim periods within fiscal years beginning after December 15, 2021 with early adoption permitted. This ASU was adopted on a prospective basis for the fiscal year ended December 31, 2021. The Company assessed the impact of the guidance to its consolidated financial statements for the three months ended and as of March 31, 2021 and concluded that the standard did not have a material impact on its financial statements. See Note </w:t>
      </w:r>
      <w:r>
        <w:rPr>
          <w:rFonts w:ascii="Times New Roman;sans-serif" w:hAnsi="Times New Roman;sans-serif"/>
          <w:b/>
          <w:color w:val="000000"/>
          <w:sz w:val="18"/>
        </w:rPr>
        <w:t>4.</w:t>
      </w:r>
      <w:r>
        <w:rPr>
          <w:color w:val="000000"/>
        </w:rPr>
        <w:t xml:space="preserve"> </w:t>
      </w:r>
      <w:r>
        <w:rPr>
          <w:rFonts w:ascii="Times New Roman;sans-serif" w:hAnsi="Times New Roman;sans-serif"/>
          <w:b w:val="false"/>
          <w:color w:val="000000"/>
          <w:sz w:val="18"/>
        </w:rPr>
        <w:t>for further disclosure of the ongoing impact of ASU 2018-15 to the Company’s condensed consolidated financial statements.</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Accounting Pronouncements Not Yet Adopted</w:t>
      </w:r>
    </w:p>
    <w:p>
      <w:pPr>
        <w:pStyle w:val="TextBody"/>
        <w:spacing w:lineRule="auto" w:line="288" w:before="0" w:after="180"/>
        <w:ind w:left="0" w:right="0" w:firstLine="360"/>
        <w:rPr/>
      </w:pPr>
      <w:r>
        <w:rPr>
          <w:rFonts w:ascii="Times New Roman;sans-serif" w:hAnsi="Times New Roman;sans-serif"/>
          <w:b w:val="false"/>
          <w:color w:val="000000"/>
          <w:sz w:val="18"/>
        </w:rPr>
        <w:t xml:space="preserve">In June 2016, the FASB issued ASU No. 2016-13, </w:t>
      </w:r>
      <w:r>
        <w:rPr>
          <w:rFonts w:ascii="Times New Roman;sans-serif" w:hAnsi="Times New Roman;sans-serif"/>
          <w:b w:val="false"/>
          <w:i/>
          <w:color w:val="000000"/>
          <w:sz w:val="18"/>
        </w:rPr>
        <w:t>Financial Instruments- Credit Losses (Topic 326): Measurement of Credit Losses on Financial Instruments</w:t>
      </w:r>
      <w:r>
        <w:rPr>
          <w:rFonts w:ascii="Times New Roman;sans-serif" w:hAnsi="Times New Roman;sans-serif"/>
          <w:b w:val="false"/>
          <w:color w:val="000000"/>
          <w:sz w:val="18"/>
        </w:rPr>
        <w:t>. This 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consolidated statements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There are new accounting pronouncements issued by the FASB that we have adopted or will adopt, as applicable. We do not believe any of these accounting pronouncements have had, or will have, a material impact on our consolidated financial statements or disclosures.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3.    Revenue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primary source of revenue is generated from its remittance business. Revenue is earned from transaction fees charged to customers who are sending remittances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21005"/>
                <wp:effectExtent l="0" t="0" r="0" b="0"/>
                <wp:wrapNone/>
                <wp:docPr id="10" name="Frame10"/>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7</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pPr>
      <w:r>
        <w:rPr>
          <w:rFonts w:ascii="Times New Roman;sans-serif" w:hAnsi="Times New Roman;sans-serif"/>
          <w:b w:val="false"/>
          <w:color w:val="000000"/>
          <w:sz w:val="18"/>
        </w:rPr>
        <w:t xml:space="preserve">to be entitled to in exchange for services provided. The Company accounts for revenue in accordance with Accounting Standards Codification (“ASC”) </w:t>
      </w:r>
      <w:r>
        <w:rPr>
          <w:rFonts w:ascii="Times New Roman;sans-serif" w:hAnsi="Times New Roman;sans-serif"/>
          <w:b w:val="false"/>
          <w:i/>
          <w:color w:val="000000"/>
          <w:sz w:val="18"/>
        </w:rPr>
        <w:t xml:space="preserve">Revenue from Contracts with Customers </w:t>
      </w:r>
      <w:r>
        <w:rPr>
          <w:rFonts w:ascii="Times New Roman;sans-serif" w:hAnsi="Times New Roman;sans-serif"/>
          <w:b w:val="false"/>
          <w:color w:val="000000"/>
          <w:sz w:val="18"/>
        </w:rPr>
        <w:t>(Topic 606), which includes the following steps:</w:t>
      </w:r>
    </w:p>
    <w:p>
      <w:pPr>
        <w:pStyle w:val="TextBody"/>
        <w:spacing w:lineRule="auto" w:line="288" w:before="0" w:after="18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(1)identification of the contract with a customer; </w:t>
      </w:r>
    </w:p>
    <w:p>
      <w:pPr>
        <w:pStyle w:val="TextBody"/>
        <w:spacing w:lineRule="auto" w:line="288" w:before="0" w:after="18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(2)identification of the performance obligations in the contract; </w:t>
      </w:r>
    </w:p>
    <w:p>
      <w:pPr>
        <w:pStyle w:val="TextBody"/>
        <w:spacing w:lineRule="auto" w:line="288" w:before="0" w:after="18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(3)determination of the transaction price;</w:t>
      </w:r>
    </w:p>
    <w:p>
      <w:pPr>
        <w:pStyle w:val="TextBody"/>
        <w:spacing w:lineRule="auto" w:line="288" w:before="0" w:after="18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(4)allocation of the transaction price to the performance obligations in the contract; and </w:t>
      </w:r>
    </w:p>
    <w:p>
      <w:pPr>
        <w:pStyle w:val="TextBody"/>
        <w:spacing w:lineRule="auto" w:line="288" w:before="0" w:after="18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(5)recognition of revenue when, or as, the Company satisfies a performance obligation.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Customers engage the Company to perform one integrated service — collect the customer’s money and deliver funds to the intended recipient in the currency requested. Payment is generally due from the customer upfront upon initiation of a transaction, when the customer simultaneously agrees to the Company’s terms and conditions.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condensed consolidated statements of operations. The Company does not have any capitalized contract acquisition costs.</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Deferred Revenue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deferred revenue balances from contracts with customers were as follows: </w:t>
      </w:r>
    </w:p>
    <w:tbl>
      <w:tblPr>
        <w:tblW w:w="6387" w:type="dxa"/>
        <w:jc w:val="left"/>
        <w:tblInd w:w="0" w:type="dxa"/>
        <w:tblCellMar>
          <w:top w:w="28" w:type="dxa"/>
          <w:left w:w="28" w:type="dxa"/>
          <w:bottom w:w="28" w:type="dxa"/>
          <w:right w:w="28" w:type="dxa"/>
        </w:tblCellMar>
      </w:tblPr>
      <w:tblGrid>
        <w:gridCol w:w="1206"/>
        <w:gridCol w:w="1060"/>
        <w:gridCol w:w="1063"/>
        <w:gridCol w:w="246"/>
        <w:gridCol w:w="700"/>
        <w:gridCol w:w="137"/>
        <w:gridCol w:w="137"/>
        <w:gridCol w:w="137"/>
        <w:gridCol w:w="137"/>
        <w:gridCol w:w="246"/>
        <w:gridCol w:w="700"/>
        <w:gridCol w:w="137"/>
        <w:gridCol w:w="109"/>
        <w:gridCol w:w="109"/>
        <w:gridCol w:w="109"/>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3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beginning of the period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end of the period</w:t>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deferred revenue during the period</w:t>
            </w:r>
          </w:p>
        </w:tc>
        <w:tc>
          <w:tcPr>
            <w:tcW w:w="9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pPr>
      <w:r>
        <w:rPr>
          <w:rFonts w:ascii="Times New Roman;sans-serif" w:hAnsi="Times New Roman;sans-serif"/>
          <w:b w:val="false"/>
          <w:color w:val="000000"/>
          <w:sz w:val="18"/>
        </w:rPr>
        <w:t xml:space="preserve">Revenue recognized during the three month periods ended March 31, 2022 and 2021 from amounts included in deferred revenue at the beginning of the </w:t>
      </w:r>
      <w:r>
        <w:rPr>
          <w:rFonts w:ascii="Times New Roman;sans-serif" w:hAnsi="Times New Roman;sans-serif"/>
          <w:b w:val="false"/>
          <w:color w:val="000000"/>
          <w:sz w:val="18"/>
          <w:highlight w:val="white"/>
        </w:rPr>
        <w:t xml:space="preserve">period were $0.5 million and $0.3 million, respectively.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Deferred revenue represents amounts received from customers for which the performance obligations are not yet fulfilled. Deferred revenue is primarily included within accrued expenses and other current liabilities on the condensed consolidated balance sheets as the performance obligations are expected to be fulfilled within the next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Sales Incentives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 provides sales incentives to customers in a variety of forms, which includes promotions, discounts, and other sales incentives.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During the three months ended March 31, 2022 and 2021, payments made to customers resulted in reductions to revenue of $4.9 million and $4.3 million, respectively, and charges to sales and marketing expense of $3.7 million and $2.9 million,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21005"/>
                <wp:effectExtent l="0" t="0" r="0" b="0"/>
                <wp:wrapNone/>
                <wp:docPr id="11" name="Frame11"/>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8</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4.    Property and Equipment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consisted of the following:</w:t>
      </w:r>
    </w:p>
    <w:tbl>
      <w:tblPr>
        <w:tblW w:w="6047" w:type="dxa"/>
        <w:jc w:val="center"/>
        <w:tblInd w:w="0" w:type="dxa"/>
        <w:tblCellMar>
          <w:top w:w="28" w:type="dxa"/>
          <w:left w:w="28" w:type="dxa"/>
          <w:bottom w:w="28" w:type="dxa"/>
          <w:right w:w="28" w:type="dxa"/>
        </w:tblCellMar>
      </w:tblPr>
      <w:tblGrid>
        <w:gridCol w:w="1298"/>
        <w:gridCol w:w="1142"/>
        <w:gridCol w:w="1145"/>
        <w:gridCol w:w="196"/>
        <w:gridCol w:w="646"/>
        <w:gridCol w:w="109"/>
        <w:gridCol w:w="109"/>
        <w:gridCol w:w="109"/>
        <w:gridCol w:w="109"/>
        <w:gridCol w:w="256"/>
        <w:gridCol w:w="727"/>
        <w:gridCol w:w="201"/>
      </w:tblGrid>
      <w:tr>
        <w:trPr/>
        <w:tc>
          <w:tcPr>
            <w:tcW w:w="1298"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6,655 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Projects in Process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(13,106)</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related to property and equipment was $1.5 million and $1.2 million for the three months ended March 31, 2022 and March 31,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Capitalized Internal-Use Software Costs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There has been no impairment of previously capitalized costs during the three months ended March 31, 2022 and 2021. </w:t>
      </w:r>
    </w:p>
    <w:p>
      <w:pPr>
        <w:pStyle w:val="TextBody"/>
        <w:spacing w:lineRule="auto" w:line="288" w:before="0" w:after="180"/>
        <w:ind w:left="0" w:right="0" w:firstLine="360"/>
        <w:rPr/>
      </w:pPr>
      <w:r>
        <w:rPr>
          <w:rFonts w:ascii="Times New Roman;sans-serif" w:hAnsi="Times New Roman;sans-serif"/>
          <w:b w:val="false"/>
          <w:color w:val="000000"/>
          <w:sz w:val="18"/>
        </w:rPr>
        <w:t>The Company capitalized</w:t>
      </w:r>
      <w:r>
        <w:rPr>
          <w:color w:val="000000"/>
          <w:highlight w:val="white"/>
        </w:rPr>
        <w:t xml:space="preserve"> </w:t>
      </w:r>
      <w:r>
        <w:rPr>
          <w:rFonts w:ascii="Times New Roman;sans-serif" w:hAnsi="Times New Roman;sans-serif"/>
          <w:b w:val="false"/>
          <w:color w:val="000000"/>
          <w:sz w:val="18"/>
          <w:highlight w:val="white"/>
        </w:rPr>
        <w:t>$1.1 million</w:t>
      </w:r>
      <w:r>
        <w:rPr>
          <w:color w:val="000000"/>
        </w:rPr>
        <w:t xml:space="preserve"> </w:t>
      </w:r>
      <w:r>
        <w:rPr>
          <w:rFonts w:ascii="Times New Roman;sans-serif" w:hAnsi="Times New Roman;sans-serif"/>
          <w:b w:val="false"/>
          <w:color w:val="000000"/>
          <w:sz w:val="18"/>
        </w:rPr>
        <w:t xml:space="preserve">and $0.9 million for internal-use software costs for three month periods ended March 31, 2022 and 2021, respectively. The Company capitalized $0.3 million and $0.1 million of stock-based compensation costs to internal-use software during the three months ended March 31, 2022 and 2021, respectively. The Company recorded amortization expense of </w:t>
      </w:r>
      <w:r>
        <w:rPr>
          <w:rFonts w:ascii="Times New Roman;sans-serif" w:hAnsi="Times New Roman;sans-serif"/>
          <w:b w:val="false"/>
          <w:color w:val="000000"/>
          <w:sz w:val="18"/>
          <w:highlight w:val="white"/>
        </w:rPr>
        <w:t>$0.7 million</w:t>
      </w:r>
      <w:r>
        <w:rPr>
          <w:color w:val="000000"/>
        </w:rPr>
        <w:t xml:space="preserve"> </w:t>
      </w:r>
      <w:r>
        <w:rPr>
          <w:rFonts w:ascii="Times New Roman;sans-serif" w:hAnsi="Times New Roman;sans-serif"/>
          <w:b w:val="false"/>
          <w:color w:val="000000"/>
          <w:sz w:val="18"/>
        </w:rPr>
        <w:t>and $0.6 million for the three months ended March 31, 2022 and 2021, respectively.</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Capitalized Cloud Computing Arrangements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capitalized $0.4 million related to the implementation of cloud computing arrangements and recorded amortization expense of $0.1 million during the three months ended March 31, 2022. As of March 31, 2022, capitalized costs, net of accumulated amortization, were approximately $1.2 million, of which $0.4 million was recorded within prepaid expenses and other current assets and $0.8 million was recorded within other non-current assets, net in the Company's condensed consolidated balance sheet.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Amortization expense related to cloud computing arrangements for the three months ended March 31, 2022 was as follows:</w:t>
      </w:r>
    </w:p>
    <w:tbl>
      <w:tblPr>
        <w:tblW w:w="3461" w:type="dxa"/>
        <w:jc w:val="center"/>
        <w:tblInd w:w="0" w:type="dxa"/>
        <w:tblCellMar>
          <w:top w:w="28" w:type="dxa"/>
          <w:left w:w="28" w:type="dxa"/>
          <w:bottom w:w="28" w:type="dxa"/>
          <w:right w:w="28" w:type="dxa"/>
        </w:tblCellMar>
      </w:tblPr>
      <w:tblGrid>
        <w:gridCol w:w="798"/>
        <w:gridCol w:w="702"/>
        <w:gridCol w:w="704"/>
        <w:gridCol w:w="239"/>
        <w:gridCol w:w="513"/>
        <w:gridCol w:w="133"/>
        <w:gridCol w:w="109"/>
        <w:gridCol w:w="109"/>
        <w:gridCol w:w="154"/>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22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amortization</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assessed the impact of the guidance to its consolidated financial statements for the three months ended and as of March 31, 2021 and concluded that the standard did not have a material impact on its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5.    Fair Value Measurements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information about the Company’s financial assets and liabilities that are measured at fair value and indicates the fair value hierarchy of the valuation inputs used as of March 31, 2022:</w:t>
      </w:r>
    </w:p>
    <w:tbl>
      <w:tblPr>
        <w:tblW w:w="6329" w:type="dxa"/>
        <w:jc w:val="left"/>
        <w:tblInd w:w="0" w:type="dxa"/>
        <w:tblCellMar>
          <w:top w:w="28" w:type="dxa"/>
          <w:left w:w="28" w:type="dxa"/>
          <w:bottom w:w="28" w:type="dxa"/>
          <w:right w:w="28" w:type="dxa"/>
        </w:tblCellMar>
      </w:tblPr>
      <w:tblGrid>
        <w:gridCol w:w="717"/>
        <w:gridCol w:w="630"/>
        <w:gridCol w:w="632"/>
        <w:gridCol w:w="196"/>
        <w:gridCol w:w="40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639" w:type="dxa"/>
            <w:gridSpan w:val="18"/>
            <w:tcBorders/>
            <w:shd w:fill="auto" w:val="clea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1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0" w:type="dxa"/>
            <w:gridSpan w:val="21"/>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2022</w:t>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deposits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80,029 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21005"/>
                <wp:effectExtent l="0" t="0" r="0" b="0"/>
                <wp:wrapNone/>
                <wp:docPr id="12" name="Frame12"/>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9</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ind w:left="0" w:right="0" w:firstLine="360"/>
        <w:rPr/>
      </w:pPr>
      <w:r>
        <w:rPr>
          <w:rFonts w:ascii="Times New Roman;sans-serif" w:hAnsi="Times New Roman;sans-serif"/>
          <w:b w:val="false"/>
          <w:color w:val="000000"/>
          <w:sz w:val="18"/>
        </w:rPr>
        <w:t xml:space="preserve">Term deposits as of March 31, 2022 were classified as cash equivalents on the Company’s condensed consolidated balance sheet, as such amounts were considered highly liquid and have an original maturity of three months of less at the time of purchase. The carrying value of term deposits approximated their respective fair value due to the short maturity of the amounts. For further information on the Company’s </w:t>
      </w:r>
      <w:r>
        <w:rPr>
          <w:rFonts w:ascii="Times New Roman;sans-serif" w:hAnsi="Times New Roman;sans-serif"/>
          <w:b w:val="false"/>
          <w:i/>
          <w:color w:val="000000"/>
          <w:sz w:val="18"/>
        </w:rPr>
        <w:t xml:space="preserve">Cash and Cash Equivalents </w:t>
      </w:r>
      <w:r>
        <w:rPr>
          <w:rFonts w:ascii="Times New Roman;sans-serif" w:hAnsi="Times New Roman;sans-serif"/>
          <w:b w:val="false"/>
          <w:color w:val="000000"/>
          <w:sz w:val="18"/>
        </w:rPr>
        <w:t xml:space="preserve">and </w:t>
      </w:r>
      <w:r>
        <w:rPr>
          <w:rFonts w:ascii="Times New Roman;sans-serif" w:hAnsi="Times New Roman;sans-serif"/>
          <w:b w:val="false"/>
          <w:i/>
          <w:color w:val="000000"/>
          <w:sz w:val="18"/>
        </w:rPr>
        <w:t xml:space="preserve">Fair Value of Financial Instruments </w:t>
      </w:r>
      <w:r>
        <w:rPr>
          <w:rFonts w:ascii="Times New Roman;sans-serif" w:hAnsi="Times New Roman;sans-serif"/>
          <w:b w:val="false"/>
          <w:color w:val="000000"/>
          <w:sz w:val="18"/>
        </w:rPr>
        <w:t>policies, see Note 2, “Basis of Presentation and Summary of Significant Accounting Policies”, in the notes to the Company’s consolidated financial statements included in the Company’s Annual Report on Form 10-K for the year ended December 31, 2021.</w:t>
      </w:r>
    </w:p>
    <w:p>
      <w:pPr>
        <w:pStyle w:val="TextBody"/>
        <w:spacing w:lineRule="auto" w:line="288" w:before="0" w:after="180"/>
        <w:ind w:left="0" w:right="0" w:firstLine="360"/>
        <w:rPr/>
      </w:pPr>
      <w:r>
        <w:rPr>
          <w:rFonts w:ascii="Times New Roman;sans-serif" w:hAnsi="Times New Roman;sans-serif"/>
          <w:b w:val="false"/>
          <w:color w:val="000000"/>
          <w:sz w:val="18"/>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 above. If these financial instruments were measured at fair value in the financial statements, they would be classified as Level 2.</w:t>
      </w:r>
      <w:r>
        <w:rPr>
          <w:color w:val="000000"/>
          <w:highlight w:val="white"/>
        </w:rPr>
        <w:t xml:space="preserve"> </w:t>
      </w:r>
      <w:r>
        <w:rPr>
          <w:rFonts w:ascii="Times New Roman;sans-serif" w:hAnsi="Times New Roman;sans-serif"/>
          <w:b w:val="false"/>
          <w:color w:val="000000"/>
          <w:sz w:val="18"/>
          <w:highlight w:val="white"/>
        </w:rPr>
        <w:t xml:space="preserve">There are no other financial assets and liabilities that are measured at fair value as of </w:t>
      </w:r>
      <w:r>
        <w:rPr>
          <w:rFonts w:ascii="Times New Roman;sans-serif" w:hAnsi="Times New Roman;sans-serif"/>
          <w:b w:val="false"/>
          <w:color w:val="000000"/>
          <w:sz w:val="18"/>
        </w:rPr>
        <w:t>March 31, 2022.</w:t>
      </w:r>
    </w:p>
    <w:p>
      <w:pPr>
        <w:pStyle w:val="TextBody"/>
        <w:spacing w:lineRule="auto" w:line="288" w:before="0" w:after="180"/>
        <w:ind w:left="0" w:right="0" w:firstLine="360"/>
        <w:rPr/>
      </w:pPr>
      <w:r>
        <w:rPr>
          <w:rFonts w:ascii="Times New Roman;sans-serif" w:hAnsi="Times New Roman;sans-serif"/>
          <w:b w:val="false"/>
          <w:color w:val="000000"/>
          <w:sz w:val="18"/>
          <w:highlight w:val="white"/>
        </w:rPr>
        <w:t xml:space="preserve">There were no financial assets and liabilities that are measured at fair value as of December 31, </w:t>
      </w:r>
      <w:r>
        <w:rPr>
          <w:rFonts w:ascii="Times New Roman;sans-serif" w:hAnsi="Times New Roman;sans-serif"/>
          <w:b w:val="false"/>
          <w:color w:val="000000"/>
          <w:sz w:val="18"/>
        </w:rPr>
        <w:t>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pPr>
      <w:r>
        <w:rPr>
          <w:rFonts w:ascii="Times New Roman;sans-serif" w:hAnsi="Times New Roman;sans-serif"/>
          <w:b w:val="false"/>
          <w:color w:val="000000"/>
          <w:sz w:val="18"/>
        </w:rPr>
        <w:t xml:space="preserve">There were </w:t>
      </w:r>
      <w:r>
        <w:rPr>
          <w:rFonts w:ascii="Times New Roman;sans-serif" w:hAnsi="Times New Roman;sans-serif"/>
          <w:b w:val="false"/>
          <w:color w:val="000000"/>
          <w:sz w:val="18"/>
          <w:highlight w:val="white"/>
        </w:rPr>
        <w:t>no</w:t>
      </w:r>
      <w:r>
        <w:rPr>
          <w:color w:val="000000"/>
        </w:rPr>
        <w:t xml:space="preserve"> </w:t>
      </w:r>
      <w:r>
        <w:rPr>
          <w:rFonts w:ascii="Times New Roman;sans-serif" w:hAnsi="Times New Roman;sans-serif"/>
          <w:b w:val="false"/>
          <w:color w:val="000000"/>
          <w:sz w:val="18"/>
        </w:rPr>
        <w:t xml:space="preserve">transfers between Level 1 and Level 2 during the three months ended March 31, 2022 and 2021, other than the investment of our cash and cash equivalents into a term deposit in the first quarter of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6.    Debt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Secured Revolving Credit Facility </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New Revolving Credit Facility</w:t>
      </w:r>
    </w:p>
    <w:p>
      <w:pPr>
        <w:pStyle w:val="TextBody"/>
        <w:spacing w:lineRule="auto" w:line="288" w:before="0" w:after="0"/>
        <w:ind w:left="0" w:right="0" w:firstLine="360"/>
        <w:rPr/>
      </w:pPr>
      <w:r>
        <w:rPr>
          <w:rFonts w:ascii="Times New Roman;sans-serif" w:hAnsi="Times New Roman;sans-serif"/>
          <w:b w:val="false"/>
          <w:color w:val="000000"/>
          <w:sz w:val="18"/>
        </w:rPr>
        <w:t xml:space="preserve">On September 13, 2021, Remitly Global, Inc. and Remitly, Inc., a wholly 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(as defined below). Proceeds under the New Revolving Credit Facility are available for working capital and general corporate purposes. As part of the refinancing, the Company performed a debt modification analysis, utilizing the borrowing capacity test within ASC 470-50, </w:t>
      </w:r>
      <w:r>
        <w:rPr>
          <w:rFonts w:ascii="Times New Roman;sans-serif" w:hAnsi="Times New Roman;sans-serif"/>
          <w:b w:val="false"/>
          <w:i/>
          <w:color w:val="000000"/>
          <w:sz w:val="18"/>
        </w:rPr>
        <w:t>Debt — Modification and Extinguishment</w:t>
      </w:r>
      <w:r>
        <w:rPr>
          <w:rFonts w:ascii="Times New Roman;sans-serif" w:hAnsi="Times New Roman;sans-serif"/>
          <w:b w:val="false"/>
          <w:color w:val="000000"/>
          <w:sz w:val="18"/>
        </w:rPr>
        <w:t>, on a lender-by-lender basis, resulting in the capitalization of $1.4 million of new debt issuance costs incurred in connection with the New Revolving Credit Facility during the third quarter of 2021</w:t>
      </w:r>
      <w:r>
        <w:rPr>
          <w:rFonts w:ascii="Times New Roman;sans-serif" w:hAnsi="Times New Roman;sans-serif"/>
          <w:b w:val="false"/>
          <w:color w:val="000000"/>
          <w:sz w:val="18"/>
          <w:highlight w:val="white"/>
        </w:rPr>
        <w:t>.</w:t>
      </w:r>
      <w:r>
        <w:rPr>
          <w:color w:val="000000"/>
        </w:rPr>
        <w:t xml:space="preserve"> </w:t>
      </w:r>
      <w:r>
        <w:rPr>
          <w:rFonts w:ascii="Times New Roman;sans-serif" w:hAnsi="Times New Roman;sans-serif"/>
          <w:b w:val="false"/>
          <w:color w:val="000000"/>
          <w:sz w:val="18"/>
        </w:rPr>
        <w:t>Such amounts were capitalized and recorded within other non-current assets, net on the condensed consolidated balance sheet, and will be amortized to interest expense over the term of the New Revolving Credit Facility. The Company previously had $0.5 million of unamortized debt issuance costs associated with its existing Revolving Credit Facility. As a result of the debt modification analysis, the Company will continue to amortize $0.4 million of unamortized debt issuance costs over the term of the New Revolving Credit Facility. The remaining $0.1 million was expensed as a debt extinguishment cost within interest expense in the condensed consolidated statements of operations during the third quarter of 2021.</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New Revolving Credit Facility was used to refinance its existing 2020 Credit Agreement. 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Such interest is payable (a) with respect to Alternate Base Rate loans, the last day of each March, June, September and December and (b) with respect to Adjusted LIBO Rate loans,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 </w:t>
      </w:r>
    </w:p>
    <w:p>
      <w:pPr>
        <w:pStyle w:val="TextBody"/>
        <w:spacing w:before="0" w:after="0"/>
        <w:ind w:left="0" w:right="0" w:firstLine="360"/>
        <w:rPr/>
      </w:pPr>
      <w:r>
        <w:rPr/>
      </w:r>
    </w:p>
    <w:p>
      <w:pPr>
        <w:pStyle w:val="TextBody"/>
        <w:spacing w:lineRule="auto" w:line="288" w:before="0" w:after="0"/>
        <w:ind w:left="0" w:right="0" w:firstLine="360"/>
        <w:rPr/>
      </w:pPr>
      <w:r>
        <w:rPr>
          <w:rFonts w:ascii="Times New Roman;sans-serif" w:hAnsi="Times New Roman;sans-serif"/>
          <w:b w:val="false"/>
          <w:color w:val="000000"/>
          <w:sz w:val="18"/>
        </w:rPr>
        <w:t xml:space="preserve">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March 31, 2022, financial covenants in the New Revolving Credit Facility include (1) a requirement to maintain a minimum Adjusted Quick Ratio of 1.50:1.00, which is tested quarterly and (2) a requirement to maintain a minimum Liquidity of $100.0 million, which is tested quarterly. </w:t>
      </w:r>
      <w:r>
        <w:rPr>
          <w:rFonts w:ascii="Times New Roman;sans-serif" w:hAnsi="Times New Roman;sans-serif"/>
          <w:b w:val="false"/>
          <w:color w:val="000000"/>
          <w:sz w:val="18"/>
          <w:highlight w:val="white"/>
        </w:rPr>
        <w:t xml:space="preserve">The Company was in compliance with all financial covenants under the New Revolving Credit Facility as of </w:t>
      </w:r>
      <w:r>
        <w:rPr>
          <w:rFonts w:ascii="Times New Roman;sans-serif" w:hAnsi="Times New Roman;sans-serif"/>
          <w:b w:val="false"/>
          <w:color w:val="000000"/>
          <w:sz w:val="18"/>
        </w:rPr>
        <w:t xml:space="preserve">March 31, 2022 and </w:t>
      </w:r>
      <w:r>
        <w:rPr>
          <w:rFonts w:ascii="Times New Roman;sans-serif" w:hAnsi="Times New Roman;sans-serif"/>
          <w:b w:val="false"/>
          <w:color w:val="000000"/>
          <w:sz w:val="18"/>
          <w:highlight w:val="white"/>
        </w:rPr>
        <w:t xml:space="preserve">December 31, </w:t>
      </w:r>
      <w:r>
        <w:rPr>
          <w:rFonts w:ascii="Times New Roman;sans-serif" w:hAnsi="Times New Roman;sans-serif"/>
          <w:b w:val="false"/>
          <w:color w:val="000000"/>
          <w:sz w:val="18"/>
        </w:rPr>
        <w:t>2021</w:t>
      </w:r>
      <w:r>
        <w:rPr>
          <w:rFonts w:ascii="Times New Roman;sans-serif" w:hAnsi="Times New Roman;sans-serif"/>
          <w:b w:val="false"/>
          <w:color w:val="000000"/>
          <w:sz w:val="18"/>
          <w:highlight w:val="white"/>
        </w:rPr>
        <w:t>.</w:t>
      </w:r>
    </w:p>
    <w:p>
      <w:pPr>
        <w:pStyle w:val="TextBody"/>
        <w:spacing w:before="0" w:after="0"/>
        <w:ind w:left="0" w:right="0" w:firstLine="360"/>
        <w:rPr/>
      </w:pPr>
      <w:r>
        <w:rPr/>
      </w:r>
    </w:p>
    <w:p>
      <w:pPr>
        <w:pStyle w:val="TextBody"/>
        <w:spacing w:lineRule="auto" w:line="288" w:before="0" w:after="0"/>
        <w:ind w:left="0" w:right="0" w:firstLine="360"/>
        <w:rPr/>
      </w:pPr>
      <w:r>
        <w:rPr>
          <w:rFonts w:ascii="Times New Roman;sans-serif" w:hAnsi="Times New Roman;sans-serif"/>
          <w:b w:val="false"/>
          <w:color w:val="000000"/>
          <w:sz w:val="18"/>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r>
        <w:rPr>
          <w:color w:val="000000"/>
          <w:highlight w:val="white"/>
        </w:rPr>
        <w:t xml:space="preserve">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2022 and December 31, 2021, the Company had no outstanding borrowings under the New Revolving Credit Facility. As of both March 31, 2022 and December 31, 2021, the Company had $18.9 million in issued, but undrawn, standby letters of credit. The Company had unused borrowing capacity of $231.1 million under the New Revolving Credit Facility as of both March 31, 2022 and December 31, 2021.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21005"/>
                <wp:effectExtent l="0" t="0" r="0" b="0"/>
                <wp:wrapNone/>
                <wp:docPr id="13" name="Frame13"/>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before="0" w:after="0"/>
        <w:ind w:left="0" w:right="0" w:firstLine="360"/>
        <w:rPr/>
      </w:pPr>
      <w:r>
        <w:rPr/>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 xml:space="preserve">2020 Credit Agreement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Since 2013, the Company had access to a variable rate credit facility. In November 2020, Remitly Global, Inc. and Remitly, Inc., a wholly owned subsidiary of Remitly Global, Inc., as borrower, further modified its then-existing credit agreement (the “2020 Credit Agreement”). Following such modification, the 2020 Credit Agreement provided Remitly, Inc. with access up to $150.0 million in revolving credit facility borrowings (including a $30.0 million letter of credit sub-facility) with a maturity date of November 16, 2023. As noted above, in September 2021, the New Revolving Credit Facility was used to refinance the 2020 Credit Agreement. As a result of the refinancing, the 2020 Credit Agreement was terminated and all amounts outstanding, including any accrued interest, were repaid in full.</w:t>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Borrowings under the 2020 Credit Agreement were subject to mandatory repayment within 20 business days in an amount necessary to reduce the borrowings, in the aggregate, to an amount less than the Company’s customer funds account maintained with the lender. Interest on borrowings under the 2020 Credit Agreement accrued at a floating rate per annum equal to (i) ABR (defined in the 2020 Credit Agreement as the rate per annum equal to the highest of (a) the Prime Rate in effect on such day, (b) 3.25% and (c) the Federal Funds Effective Rate in effect for such day plus 0.50% plus (ii) 1.0%. In addition, an unused revolving line facility fee accrued at a floating rate per annum equal to 0.40% of the unused portion of the line, payable monthly.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2020 Credit Agreement contained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included the occurrence of a Material Adverse Effect (as defined in the 2020 Credit Agreement) on the business or financial condition of the Company. Financial covenants included (1) a requirement to maintain a minimum Adjusted Quick Ratio of 1.50:1.00, which was tested monthly and (2) a requirement to maintain minimum trailing twelve month Consolidated Adjusted EBITDA (as defined in the 2020 Credit Agreement), which was tested quarterly. </w:t>
      </w:r>
    </w:p>
    <w:p>
      <w:pPr>
        <w:pStyle w:val="TextBody"/>
        <w:spacing w:before="0" w:after="0"/>
        <w:ind w:left="0" w:right="0" w:firstLine="360"/>
        <w:rPr/>
      </w:pPr>
      <w:r>
        <w:rPr/>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obligations under the 2020 Credit Agreement were guaranteed by the material subsidiaries of Remitly Global, Inc., subject to customary exceptions, and were secured by substantially all of the assets of the borrowers and guarantors thereunder, other than intellectual property. </w:t>
      </w:r>
    </w:p>
    <w:p>
      <w:pPr>
        <w:pStyle w:val="TextBody"/>
        <w:spacing w:before="0" w:after="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18"/>
          <w:highlight w:val="white"/>
        </w:rPr>
        <w:t>7.    </w:t>
      </w:r>
      <w:r>
        <w:rPr>
          <w:rFonts w:ascii="Times New Roman;sans-serif" w:hAnsi="Times New Roman;sans-serif"/>
          <w:b/>
          <w:color w:val="000000"/>
          <w:sz w:val="18"/>
        </w:rPr>
        <w:t>Net Loss Per Common Share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tbl>
      <w:tblPr>
        <w:tblW w:w="10205" w:type="dxa"/>
        <w:jc w:val="left"/>
        <w:tblInd w:w="0" w:type="dxa"/>
        <w:tblCellMar>
          <w:top w:w="28" w:type="dxa"/>
          <w:left w:w="28" w:type="dxa"/>
          <w:bottom w:w="28" w:type="dxa"/>
          <w:right w:w="28" w:type="dxa"/>
        </w:tblCellMar>
      </w:tblPr>
      <w:tblGrid>
        <w:gridCol w:w="2578"/>
        <w:gridCol w:w="2263"/>
        <w:gridCol w:w="2280"/>
        <w:gridCol w:w="221"/>
        <w:gridCol w:w="810"/>
        <w:gridCol w:w="121"/>
        <w:gridCol w:w="121"/>
        <w:gridCol w:w="121"/>
        <w:gridCol w:w="121"/>
        <w:gridCol w:w="245"/>
        <w:gridCol w:w="716"/>
        <w:gridCol w:w="121"/>
        <w:gridCol w:w="109"/>
        <w:gridCol w:w="109"/>
        <w:gridCol w:w="109"/>
        <w:gridCol w:w="160"/>
      </w:tblGrid>
      <w:tr>
        <w:trPr/>
        <w:tc>
          <w:tcPr>
            <w:tcW w:w="2578" w:type="dxa"/>
            <w:tcBorders/>
            <w:shd w:fill="auto" w:val="clear"/>
            <w:vAlign w:val="center"/>
          </w:tcPr>
          <w:p>
            <w:pPr>
              <w:pStyle w:val="TableContents"/>
              <w:spacing w:before="0" w:after="283"/>
              <w:rPr>
                <w:sz w:val="4"/>
                <w:szCs w:val="4"/>
              </w:rPr>
            </w:pPr>
            <w:r>
              <w:rPr>
                <w:sz w:val="4"/>
                <w:szCs w:val="4"/>
              </w:rPr>
            </w:r>
          </w:p>
        </w:tc>
        <w:tc>
          <w:tcPr>
            <w:tcW w:w="2263"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hanging="180"/>
              <w:rPr>
                <w:sz w:val="4"/>
                <w:szCs w:val="4"/>
              </w:rPr>
            </w:pPr>
            <w:r>
              <w:rPr>
                <w:sz w:val="4"/>
                <w:szCs w:val="4"/>
              </w:rPr>
            </w:r>
          </w:p>
        </w:tc>
        <w:tc>
          <w:tcPr>
            <w:tcW w:w="269" w:type="dxa"/>
            <w:gridSpan w:val="2"/>
            <w:tcBorders/>
            <w:shd w:fill="auto" w:val="clear"/>
          </w:tcPr>
          <w:p>
            <w:pPr>
              <w:pStyle w:val="TableContents"/>
              <w:spacing w:before="0" w:after="283"/>
              <w:rPr>
                <w:sz w:val="4"/>
                <w:szCs w:val="4"/>
              </w:rPr>
            </w:pPr>
            <w:r>
              <w:rPr>
                <w:sz w:val="4"/>
                <w:szCs w:val="4"/>
              </w:rPr>
            </w:r>
          </w:p>
        </w:tc>
      </w:tr>
      <w:tr>
        <w:trPr/>
        <w:tc>
          <w:tcPr>
            <w:tcW w:w="71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1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Numerator:</w:t>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auto" w:val="clear"/>
            <w:vAlign w:val="center"/>
          </w:tcPr>
          <w:p>
            <w:pPr>
              <w:pStyle w:val="TableContents"/>
              <w:spacing w:before="0" w:after="283"/>
              <w:rPr>
                <w:sz w:val="4"/>
                <w:szCs w:val="4"/>
              </w:rPr>
            </w:pPr>
            <w:r>
              <w:rPr>
                <w:sz w:val="4"/>
                <w:szCs w:val="4"/>
              </w:rPr>
            </w:r>
          </w:p>
        </w:tc>
        <w:tc>
          <w:tcPr>
            <w:tcW w:w="115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common stockholders</w:t>
            </w:r>
          </w:p>
        </w:tc>
        <w:tc>
          <w:tcPr>
            <w:tcW w:w="22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Denominator:</w:t>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computing net loss per share attributable to common stockholders:</w:t>
            </w:r>
          </w:p>
        </w:tc>
        <w:tc>
          <w:tcPr>
            <w:tcW w:w="11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115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164,391,753</w:t>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22,711,379 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attributable to common stockholders:</w:t>
            </w:r>
          </w:p>
        </w:tc>
        <w:tc>
          <w:tcPr>
            <w:tcW w:w="115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712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221"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(0.14)</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bottom w:val="sing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w:t>
            </w:r>
          </w:p>
        </w:tc>
        <w:tc>
          <w:tcPr>
            <w:tcW w:w="121" w:type="dxa"/>
            <w:tcBorders>
              <w:bottom w:val="sing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potentially dilutive securities were excluded from the computation of diluted net loss per share calculations for the periods presented because the impact of including them would have been anti-dilutive:</w:t>
      </w:r>
    </w:p>
    <w:tbl>
      <w:tblPr>
        <w:tblW w:w="5617" w:type="dxa"/>
        <w:jc w:val="left"/>
        <w:tblInd w:w="0" w:type="dxa"/>
        <w:tblCellMar>
          <w:top w:w="28" w:type="dxa"/>
          <w:left w:w="28" w:type="dxa"/>
          <w:bottom w:w="28" w:type="dxa"/>
          <w:right w:w="28" w:type="dxa"/>
        </w:tblCellMar>
      </w:tblPr>
      <w:tblGrid>
        <w:gridCol w:w="1052"/>
        <w:gridCol w:w="927"/>
        <w:gridCol w:w="930"/>
        <w:gridCol w:w="480"/>
        <w:gridCol w:w="481"/>
        <w:gridCol w:w="156"/>
        <w:gridCol w:w="109"/>
        <w:gridCol w:w="109"/>
        <w:gridCol w:w="109"/>
        <w:gridCol w:w="525"/>
        <w:gridCol w:w="526"/>
        <w:gridCol w:w="213"/>
      </w:tblGrid>
      <w:tr>
        <w:trPr/>
        <w:tc>
          <w:tcPr>
            <w:tcW w:w="105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29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convertible preferred stock</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127,410,631 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warrants</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256,250 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outstanding</w:t>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21,596,404 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20,692,111</w:t>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val="false"/>
                <w:color w:val="000000"/>
                <w:sz w:val="18"/>
              </w:rPr>
              <w:t>RSUs outstanding</w:t>
            </w:r>
            <w:r>
              <w:rPr>
                <w:rFonts w:ascii="Times New Roman;sans-serif" w:hAnsi="Times New Roman;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5,476,101 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617,696 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w:t>
            </w:r>
          </w:p>
        </w:tc>
        <w:tc>
          <w:tcPr>
            <w:tcW w:w="1117"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1,379,019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subject to repurchase</w:t>
            </w:r>
          </w:p>
        </w:tc>
        <w:tc>
          <w:tcPr>
            <w:tcW w:w="1117"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363,384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1,901,675</w:t>
            </w:r>
          </w:p>
        </w:tc>
      </w:tr>
      <w:tr>
        <w:trPr/>
        <w:tc>
          <w:tcPr>
            <w:tcW w:w="29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1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28,814,908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150,878,363</w:t>
            </w:r>
          </w:p>
        </w:tc>
      </w:tr>
    </w:tbl>
    <w:p>
      <w:pPr>
        <w:pStyle w:val="TextBody"/>
        <w:spacing w:lineRule="auto" w:line="288" w:before="0" w:after="180"/>
        <w:ind w:left="0" w:right="0" w:firstLine="360"/>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A portion of these RSUs were subject to a performance-based vesting condition until September 22, 2021. See Note 10 for details on these awards.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21005"/>
                <wp:effectExtent l="0" t="0" r="0" b="0"/>
                <wp:wrapNone/>
                <wp:docPr id="14" name="Frame14"/>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11</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8.    Common Stock</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2022,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March 31, 2022 and March 31, 2021, no dividends have been declared or paid by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9.    Redeemable Convertible Preferred Stock</w:t>
      </w:r>
    </w:p>
    <w:p>
      <w:pPr>
        <w:pStyle w:val="TextBody"/>
        <w:spacing w:lineRule="auto" w:line="288" w:before="0" w:after="180"/>
        <w:ind w:left="0" w:right="0" w:firstLine="360"/>
        <w:rPr/>
      </w:pPr>
      <w:r>
        <w:rPr>
          <w:rFonts w:ascii="Times New Roman;sans-serif" w:hAnsi="Times New Roman;sans-serif"/>
          <w:b w:val="false"/>
          <w:color w:val="000000"/>
          <w:sz w:val="18"/>
        </w:rPr>
        <w:t xml:space="preserve">In connection with the IPO, the Company’s amended and restated certificate of incorporation became effective, which authorized the issuance of 50,000,000 shares of undesignated preferred stock with a par value of $0.0001 per share with right and preferences, </w:t>
      </w:r>
      <w:r>
        <w:rPr>
          <w:rFonts w:ascii="Times New Roman;sans-serif" w:hAnsi="Times New Roman;sans-serif"/>
          <w:b w:val="false"/>
          <w:color w:val="000000"/>
          <w:sz w:val="18"/>
          <w:highlight w:val="white"/>
        </w:rPr>
        <w:t>including voting rights, designated from time to time by the Company’s board of directors.</w:t>
      </w:r>
    </w:p>
    <w:tbl>
      <w:tblPr>
        <w:tblW w:w="1368"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rPr>
        <w:t>As of December 31, 2021 and March 31, 2022, there wer</w:t>
      </w:r>
      <w:r>
        <w:rPr>
          <w:rFonts w:ascii="Times New Roman;sans-serif" w:hAnsi="Times New Roman;sans-serif"/>
          <w:b w:val="false"/>
          <w:color w:val="000000"/>
          <w:sz w:val="18"/>
          <w:highlight w:val="white"/>
        </w:rPr>
        <w:t>e no</w:t>
      </w:r>
      <w:r>
        <w:rPr>
          <w:color w:val="000000"/>
        </w:rPr>
        <w:t xml:space="preserve"> </w:t>
      </w:r>
      <w:r>
        <w:rPr>
          <w:rFonts w:ascii="Times New Roman;sans-serif" w:hAnsi="Times New Roman;sans-serif"/>
          <w:b w:val="false"/>
          <w:color w:val="000000"/>
          <w:sz w:val="18"/>
        </w:rPr>
        <w:t xml:space="preserve">shares of redeemable convertible preferred stock issued and outstanding.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10.    Stock-Based Compensation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In 2011, the Company adopted the Equity Incentive Plan (the “2011 Plan”), as amended, which provided for the issuance of up to 43,899,677 incentive stock options, nonqualified stock options, restricted common stock, and RSUs and stock appreciation rights to employees, directors, officers, and consultants of the Company.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 September 2021, the Company adopted the Remitly Global, Inc. 2021 Equity Incentive Plan (the “2021 Plan”, and together with the 2011 Plan, the “Plan”) as a successor to the 2011 Plan. The 2021 Plan authorizes the issuance of incentive stock options, nonqualified stock options, 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provided for the initial issuance of up to 25,000,000 shares of common stock, plus any reserved shares not issued or subject to outstanding grants under the 2011 Plan, which was 552,736 on the effective date of the 2021 Plan, for a total of 25,552,736 shares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In January 2022, there was an increase in the shares reserved for issuance under the 2021 Plan, in accordance with the automatic increase provision.</w:t>
      </w:r>
    </w:p>
    <w:p>
      <w:pPr>
        <w:pStyle w:val="TextBody"/>
        <w:spacing w:lineRule="auto" w:line="288" w:before="0" w:after="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 addition, in September 2021, the Company adopted the Remitly Global, Inc. 2021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 In January 2022, there was an increase in the shares reserved for issuance under the 2021 ESPP Plan, in accordance with the automatic increase provision.</w:t>
      </w:r>
    </w:p>
    <w:p>
      <w:pPr>
        <w:pStyle w:val="TextBody"/>
        <w:spacing w:before="0" w:after="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2022, 29,925,304 equity incentive awards remain available for issuance under the 2021 Plan and 4,940,182 shares of common stock remain available for issuance under the ESPP.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Stock Options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21005"/>
                <wp:effectExtent l="0" t="0" r="0" b="0"/>
                <wp:wrapNone/>
                <wp:docPr id="15" name="Frame15"/>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12</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is a summary of the Company’s stock option activity during the three months ended March 31, 2022:</w:t>
      </w:r>
    </w:p>
    <w:tbl>
      <w:tblPr>
        <w:tblW w:w="10205" w:type="dxa"/>
        <w:jc w:val="left"/>
        <w:tblInd w:w="0" w:type="dxa"/>
        <w:tblCellMar>
          <w:top w:w="28" w:type="dxa"/>
          <w:left w:w="28" w:type="dxa"/>
          <w:bottom w:w="28" w:type="dxa"/>
          <w:right w:w="28" w:type="dxa"/>
        </w:tblCellMar>
      </w:tblPr>
      <w:tblGrid>
        <w:gridCol w:w="684"/>
        <w:gridCol w:w="584"/>
        <w:gridCol w:w="588"/>
        <w:gridCol w:w="690"/>
        <w:gridCol w:w="498"/>
        <w:gridCol w:w="499"/>
        <w:gridCol w:w="109"/>
        <w:gridCol w:w="109"/>
        <w:gridCol w:w="109"/>
        <w:gridCol w:w="465"/>
        <w:gridCol w:w="1108"/>
        <w:gridCol w:w="260"/>
        <w:gridCol w:w="109"/>
        <w:gridCol w:w="109"/>
        <w:gridCol w:w="109"/>
        <w:gridCol w:w="793"/>
        <w:gridCol w:w="793"/>
        <w:gridCol w:w="794"/>
        <w:gridCol w:w="109"/>
        <w:gridCol w:w="109"/>
        <w:gridCol w:w="109"/>
        <w:gridCol w:w="263"/>
        <w:gridCol w:w="991"/>
        <w:gridCol w:w="214"/>
      </w:tblGrid>
      <w:tr>
        <w:trPr/>
        <w:tc>
          <w:tcPr>
            <w:tcW w:w="6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r>
      <w:tr>
        <w:trPr/>
        <w:tc>
          <w:tcPr>
            <w:tcW w:w="18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49"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r>
      <w:tr>
        <w:trPr/>
        <w:tc>
          <w:tcPr>
            <w:tcW w:w="18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 Outstanding</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Life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Aggregate Intrinsic Value </w:t>
            </w:r>
            <w:r>
              <w:rPr>
                <w:rFonts w:ascii="Times New Roman;sans-serif" w:hAnsi="Times New Roman;sans-serif"/>
                <w:b/>
                <w:color w:val="000000"/>
                <w:sz w:val="10"/>
              </w:rPr>
              <w:t>(1)</w:t>
            </w:r>
          </w:p>
        </w:tc>
      </w:tr>
      <w:tr>
        <w:trPr/>
        <w:tc>
          <w:tcPr>
            <w:tcW w:w="185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January 1, 2022</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23,386,942 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395,676 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1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18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(1,491,515)</w:t>
            </w:r>
          </w:p>
        </w:tc>
        <w:tc>
          <w:tcPr>
            <w:tcW w:w="4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12,606 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18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(299,023)</w:t>
            </w:r>
          </w:p>
        </w:tc>
        <w:tc>
          <w:tcPr>
            <w:tcW w:w="4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2022</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21,596,404 </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133,570 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as of March 31, 2022</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10,179,554 </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2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79,746 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as of March 31, 2022</w:t>
            </w:r>
          </w:p>
        </w:tc>
        <w:tc>
          <w:tcPr>
            <w:tcW w:w="118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21,914,788 </w:t>
            </w:r>
          </w:p>
        </w:tc>
        <w:tc>
          <w:tcPr>
            <w:tcW w:w="49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2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135,807 </w:t>
            </w:r>
          </w:p>
        </w:tc>
        <w:tc>
          <w:tcPr>
            <w:tcW w:w="2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_________________</w:t>
      </w:r>
    </w:p>
    <w:p>
      <w:pPr>
        <w:pStyle w:val="TextBody"/>
        <w:spacing w:lineRule="auto" w:line="288" w:before="0" w:after="18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 aggregate intrinsic value is calculated as the difference between the exercise price of the underlying stock options and the estimated fair value of the Company’s common stock.</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No stock options were granted during the three months ended March 31, 2022.</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fair value of each employee stock option granted during the three months ended March 31, 2021 was estimated on the date of grant using the Black-Scholes option pricing model with the following assumptions: </w:t>
      </w:r>
    </w:p>
    <w:tbl>
      <w:tblPr>
        <w:tblW w:w="4988" w:type="dxa"/>
        <w:jc w:val="center"/>
        <w:tblInd w:w="0" w:type="dxa"/>
        <w:tblCellMar>
          <w:top w:w="28" w:type="dxa"/>
          <w:left w:w="28" w:type="dxa"/>
          <w:bottom w:w="28" w:type="dxa"/>
          <w:right w:w="28" w:type="dxa"/>
        </w:tblCellMar>
      </w:tblPr>
      <w:tblGrid>
        <w:gridCol w:w="619"/>
        <w:gridCol w:w="543"/>
        <w:gridCol w:w="547"/>
        <w:gridCol w:w="109"/>
        <w:gridCol w:w="109"/>
        <w:gridCol w:w="859"/>
        <w:gridCol w:w="859"/>
        <w:gridCol w:w="862"/>
        <w:gridCol w:w="109"/>
        <w:gridCol w:w="109"/>
        <w:gridCol w:w="109"/>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81" w:type="dxa"/>
            <w:gridSpan w:val="4"/>
            <w:tcBorders/>
            <w:shd w:fill="auto" w:val="clea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0.32% to 0.82%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3.5 to 6.1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38.0% to 41.4%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Fair value of underlying common stock</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weighted-average grant date fair value of options granted during the three months ended March 31, 2021 was $2.69. The aggregate grant-date fair value of options vested for the three months ended March 31, 2022 and 2021 was $2.9 million and $1.4 million, respectively. The intrinsic value of options exercised for the three months ended March 31, 2022 and 2021 was $12.6 million and $2.6 million,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Restricted Stock Units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Prior to the IPO, the Company granted performance-based RSUs (“PRSUs”) to employees and directors that contained both service-based and performance-based vesting conditions. The service-based vesting condition for these awards is typically satisfied over four years with a cliff 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 condition was satisfied, and therefore, the Company recognized cumulative stock-based compensation expense of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21005"/>
                <wp:effectExtent l="0" t="0" r="0" b="0"/>
                <wp:wrapNone/>
                <wp:docPr id="16" name="Frame16"/>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13</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$1.1 million, using the accelerated attribution method for the portion of the awards for which the service-based vesting condition has been fully or partially satisfied. The remaining grant-date fair value of these PRSUs will be recognized over the remaining requisite service period.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Restricted stock unit activity, including PRSUs, during the three months ended March 31, 2022 is as follows:</w:t>
      </w:r>
    </w:p>
    <w:tbl>
      <w:tblPr>
        <w:tblW w:w="7886" w:type="dxa"/>
        <w:jc w:val="left"/>
        <w:tblInd w:w="0" w:type="dxa"/>
        <w:tblCellMar>
          <w:top w:w="28" w:type="dxa"/>
          <w:left w:w="28" w:type="dxa"/>
          <w:bottom w:w="28" w:type="dxa"/>
          <w:right w:w="28" w:type="dxa"/>
        </w:tblCellMar>
      </w:tblPr>
      <w:tblGrid>
        <w:gridCol w:w="776"/>
        <w:gridCol w:w="682"/>
        <w:gridCol w:w="687"/>
        <w:gridCol w:w="469"/>
        <w:gridCol w:w="469"/>
        <w:gridCol w:w="471"/>
        <w:gridCol w:w="109"/>
        <w:gridCol w:w="109"/>
        <w:gridCol w:w="109"/>
        <w:gridCol w:w="864"/>
        <w:gridCol w:w="2457"/>
        <w:gridCol w:w="684"/>
      </w:tblGrid>
      <w:tr>
        <w:trPr/>
        <w:tc>
          <w:tcPr>
            <w:tcW w:w="776"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457"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r>
      <w:tr>
        <w:trPr/>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January 1, 2022</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3,372,585 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24.83 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2,480,410 </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13.06 </w:t>
            </w:r>
          </w:p>
        </w:tc>
        <w:tc>
          <w:tcPr>
            <w:tcW w:w="6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3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(81,060)</w:t>
            </w:r>
          </w:p>
        </w:tc>
        <w:tc>
          <w:tcPr>
            <w:tcW w:w="4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6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Cancelled/forfeited</w:t>
            </w:r>
          </w:p>
        </w:tc>
        <w:tc>
          <w:tcPr>
            <w:tcW w:w="93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(295,834)</w:t>
            </w:r>
          </w:p>
        </w:tc>
        <w:tc>
          <w:tcPr>
            <w:tcW w:w="4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14.36 </w:t>
            </w:r>
          </w:p>
        </w:tc>
        <w:tc>
          <w:tcPr>
            <w:tcW w:w="6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March 31, 2022</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5,476,101 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6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 addition, during the three months ended March 31, 2022, as a result of the expiration of the lock-up agreement related to its IPO, the Company issued 124,026 shares of common stock subject to RSUs that were vested as of December 31, 2021, but not yet settled.</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The weighted-average grant date fair value of RSUs, including PRSUs, granted during the three months ended March 31, 2022 and 2021 was $13.06 and $4.95, respectively. The aggregate grant-date fair value of RSUs, including PRSUs, vested for the three months ended March 31, 2022 was $0.5 million. No RSUs or PRSUs vested in the three months ended March 31 2021.</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Employee Stock Purchase Plan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ESPP provides for consecutive offering periods during which eligible employees can participate in the ESPP and be granted the right to purchase shares. Except for the first offering period, which commenced on September 22, 2021, offering periods shall commence on each subsequent March 1 and September 1, with each offering period consisting of four six-month purchase periods, for a total of a 24-month offering period. No offering periods may last longer than 27 months. The offering period that commenced on September 22, 2021, ended on February 28, 2022, due to a decline in the Company’s stock price at the end of the purchase period, triggering a new offering period, as required by the ESPP plan documents. A new 24-month offering period commenced on March 1, 2022. This event is accounted for as a modification under US GAAP, resulting in incremental stock-based compensation expense of $3.6 million, which will be recognized over the requisite service period, which is deemed to be the new offering period.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fair value of ESPP offerings was estimated at the date of each offering using the Black-Scholes option-pricing model with the following assumptions during the quarter ended March 31, 2022:</w:t>
      </w:r>
    </w:p>
    <w:tbl>
      <w:tblPr>
        <w:tblW w:w="4770" w:type="dxa"/>
        <w:jc w:val="left"/>
        <w:tblInd w:w="0" w:type="dxa"/>
        <w:tblCellMar>
          <w:top w:w="28" w:type="dxa"/>
          <w:left w:w="28" w:type="dxa"/>
          <w:bottom w:w="28" w:type="dxa"/>
          <w:right w:w="28" w:type="dxa"/>
        </w:tblCellMar>
      </w:tblPr>
      <w:tblGrid>
        <w:gridCol w:w="619"/>
        <w:gridCol w:w="543"/>
        <w:gridCol w:w="547"/>
        <w:gridCol w:w="592"/>
        <w:gridCol w:w="592"/>
        <w:gridCol w:w="1396"/>
        <w:gridCol w:w="109"/>
        <w:gridCol w:w="109"/>
        <w:gridCol w:w="109"/>
        <w:gridCol w:w="154"/>
      </w:tblGrid>
      <w:tr>
        <w:trPr/>
        <w:tc>
          <w:tcPr>
            <w:tcW w:w="61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481" w:type="dxa"/>
            <w:gridSpan w:val="4"/>
            <w:tcBorders/>
            <w:shd w:fill="auto" w:val="clear"/>
          </w:tcPr>
          <w:p>
            <w:pPr>
              <w:pStyle w:val="TableContents"/>
              <w:spacing w:before="0" w:after="283"/>
              <w:rPr>
                <w:sz w:val="4"/>
                <w:szCs w:val="4"/>
              </w:rPr>
            </w:pPr>
            <w:r>
              <w:rPr>
                <w:sz w:val="4"/>
                <w:szCs w:val="4"/>
              </w:rPr>
            </w:r>
          </w:p>
        </w:tc>
      </w:tr>
      <w:tr>
        <w:trPr/>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rates</w:t>
            </w:r>
          </w:p>
        </w:tc>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0.60% to 1.31%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w:t>
            </w:r>
          </w:p>
        </w:tc>
        <w:tc>
          <w:tcPr>
            <w:tcW w:w="2580"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0.5 to 2.0 years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Volatility</w:t>
            </w:r>
          </w:p>
        </w:tc>
        <w:tc>
          <w:tcPr>
            <w:tcW w:w="2580"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61.0% to 73.0%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rate</w:t>
            </w:r>
          </w:p>
        </w:tc>
        <w:tc>
          <w:tcPr>
            <w:tcW w:w="118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21005"/>
                <wp:effectExtent l="0" t="0" r="0" b="0"/>
                <wp:wrapNone/>
                <wp:docPr id="17" name="Frame17"/>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Stock-Based Compensation Expense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for stock options, RSUs, PRSUs, and the ESPP, included in the condensed consolidated statements of operations, net of amounts capitalized to internal-use software, as described in Note 4, was as follows:</w:t>
      </w:r>
    </w:p>
    <w:tbl>
      <w:tblPr>
        <w:tblW w:w="5532" w:type="dxa"/>
        <w:jc w:val="left"/>
        <w:tblInd w:w="0" w:type="dxa"/>
        <w:tblCellMar>
          <w:top w:w="28" w:type="dxa"/>
          <w:left w:w="28" w:type="dxa"/>
          <w:bottom w:w="28" w:type="dxa"/>
          <w:right w:w="28" w:type="dxa"/>
        </w:tblCellMar>
      </w:tblPr>
      <w:tblGrid>
        <w:gridCol w:w="896"/>
        <w:gridCol w:w="788"/>
        <w:gridCol w:w="790"/>
        <w:gridCol w:w="246"/>
        <w:gridCol w:w="700"/>
        <w:gridCol w:w="137"/>
        <w:gridCol w:w="137"/>
        <w:gridCol w:w="137"/>
        <w:gridCol w:w="137"/>
        <w:gridCol w:w="246"/>
        <w:gridCol w:w="700"/>
        <w:gridCol w:w="137"/>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9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of March 31, 2022, the total unamortized compensation cost related to all non-vested equity awards, including options, RSUs, and PRSUs was $141.3 million, which will be amortized over a weighted-average remaining requisite service period of approximately 3.2 years. As of March 31, 2022, the total unrecognized compensation expense related to the ESPP was $6.5 million, which is expected to be amortized over the next 1.9 years.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 did not record a material income tax benefit related to stock-based compensation expense and stock option exercises, during the three months ended March 31, 2022 and 2021, since the Company currently maintains a full valuation allowance against its net deferred tax assets in the jurisdictions where material stock-compensation expense charges are incurred, and stock option exercises occurred.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11.    Related Party Arrangements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previously had promissory note agreements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 The associated shares are legally outstanding and included in shares of common stock outstanding in the condensed consolidated financial statements, but were historically excluded from the Company’s net loss per common share calculations, as these shares of common stock were considered unvested until the underlying promissory notes were repaid.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On August 23, 2021, the promissory notes were paid in full, including all accrued interest. After repayment of the loan, these shares are now considered outstanding for purposes of the Company’s net loss per common share calculations to the extent the shares are vested.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12.    Income Taxes </w:t>
      </w:r>
    </w:p>
    <w:p>
      <w:pPr>
        <w:pStyle w:val="TextBody"/>
        <w:spacing w:lineRule="auto" w:line="288" w:before="0" w:after="24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computes its tax provision for interim periods by applying the estimated annual effective tax rate to year-to-date income from recurring operations and adjusting for discrete items arising in that quarter.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pPr>
      <w:r>
        <w:rPr>
          <w:rFonts w:ascii="Times New Roman;sans-serif" w:hAnsi="Times New Roman;sans-serif"/>
          <w:b w:val="false"/>
          <w:color w:val="000000"/>
          <w:sz w:val="18"/>
        </w:rPr>
        <w:t>The Company’s effective tax rates on pre-tax income wer</w:t>
      </w:r>
      <w:r>
        <w:rPr>
          <w:rFonts w:ascii="Times New Roman;sans-serif" w:hAnsi="Times New Roman;sans-serif"/>
          <w:b w:val="false"/>
          <w:color w:val="000000"/>
          <w:sz w:val="18"/>
          <w:highlight w:val="white"/>
        </w:rPr>
        <w:t>e (2.3)% and (5.0)% for the three months ended March 31, 2022 and 2021, respectively</w:t>
      </w:r>
      <w:r>
        <w:rPr>
          <w:rFonts w:ascii="Times New Roman;sans-serif" w:hAnsi="Times New Roman;sans-serif"/>
          <w:b w:val="false"/>
          <w:color w:val="000000"/>
          <w:sz w:val="18"/>
        </w:rPr>
        <w:t>. The difference between the effective tax rate and the U.S. federal statutory rate of 21% in both periods was primarily the result of foreign income taxed at different rates and changes in the U.S. valuation allowance.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maintains a full valuation allowance against the U.S. net deferred tax assets, as it believes that these deferred tax assets do not meet the more likely than not threshold.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files income tax returns in the U.S. federal jurisdiction, various state jurisdictions, and internationally. As of March 31, 2022, tax years 2011 through 2021 remain open for examination by taxing authorities. </w:t>
      </w:r>
    </w:p>
    <w:p>
      <w:pPr>
        <w:pStyle w:val="TextBody"/>
        <w:spacing w:lineRule="auto" w:line="288" w:before="0" w:after="180"/>
        <w:ind w:left="0" w:right="0" w:firstLine="360"/>
        <w:rPr/>
      </w:pPr>
      <w:r>
        <w:rPr>
          <w:rFonts w:ascii="Times New Roman;sans-serif" w:hAnsi="Times New Roman;sans-serif"/>
          <w:b w:val="false"/>
          <w:color w:val="000000"/>
          <w:sz w:val="18"/>
        </w:rPr>
        <w:t xml:space="preserve">The Company has applied ASC 740, </w:t>
      </w:r>
      <w:r>
        <w:rPr>
          <w:rFonts w:ascii="Times New Roman;sans-serif" w:hAnsi="Times New Roman;sans-serif"/>
          <w:b w:val="false"/>
          <w:i/>
          <w:color w:val="000000"/>
          <w:sz w:val="18"/>
        </w:rPr>
        <w:t xml:space="preserve">Income Taxes, </w:t>
      </w:r>
      <w:r>
        <w:rPr>
          <w:rFonts w:ascii="Times New Roman;sans-serif" w:hAnsi="Times New Roman;sans-serif"/>
          <w:b w:val="false"/>
          <w:color w:val="000000"/>
          <w:sz w:val="18"/>
        </w:rPr>
        <w:t xml:space="preserve">and has determined that it has no uncertain tax positions both during the three months ended March 31, 2022 and 2021. The Company recognizes interest and, if applicable, penalties for any uncertain tax positions. Interest and penalties are recorded as a component of income tax expense.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13.    401(k) Defined Contribution Plan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$0.3 million and $0.2 million to the 401(k) plan during each of the three months ended March 31, 2022 and 2021, respectively, which represents the current period contribution for the prior plan year. The Company may also make discretionary profit-sharing contributions. No profit-sharing contributions were made during the three months ended March 31, 2022 and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21005"/>
                <wp:effectExtent l="0" t="0" r="0" b="0"/>
                <wp:wrapNone/>
                <wp:docPr id="18" name="Frame18"/>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15</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14.    Commitments and Contingencies</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Guarantees and Indemnification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March 31, 2022 and December 31, 2021.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Litigation and Loss Contingencies</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Litigation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March 31, 2022 and December 31, 2021. </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Indirect taxes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 is subject to indirect taxation in various states and foreign jurisdictions in which it conducts business. The Company continually evaluates those jurisdictions in which indirect tax obligations exist to determine whether a loss is probable, as defined under U.S.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our business and industry. Our assessment of probability includes consideration of recent inquiries, potential or actual self-disclosure, and applicability of tax rules driven by the growth in our business. As a result of this assessment, management accrued an estimated liability of approximately $3.8 million as of December 31, 2021, reflecting the amount that the Company believes is probable and estimable. There was no change to the estimated liability as of March 31, 2022. The estimated liability is recorded within accrued expenses and other current liabilities on the Company's condensed consolidated balance sheets. Although the Company believes its indirect tax estimates and associated liabilities are reasonable, the final determination of indirect tax audits or settlements could be materially different than the amounts recorded, and such differences could be material.</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Reserve for Transaction Losses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is exposed to transaction losses including chargebacks, unauthorized credit card use, fraud associated with customer transactions and other non-fraud related losses. The Company establishes reserves for such losses based on historical trends and any specific risks identified in processing customer transactions. This reserve is included in accrued expenses and other current liabilities on the condensed consolidated balance sheets. The provision for transaction losses is included as a component of transaction expenses on the condensed consolidated statements of operations and comprehensive loss.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table below summarizes the Company’s reserve for transaction losses for the three months ended March 31, 2022 and 2021: </w:t>
      </w:r>
    </w:p>
    <w:tbl>
      <w:tblPr>
        <w:tblW w:w="5563" w:type="dxa"/>
        <w:jc w:val="center"/>
        <w:tblInd w:w="0" w:type="dxa"/>
        <w:tblCellMar>
          <w:top w:w="28" w:type="dxa"/>
          <w:left w:w="28" w:type="dxa"/>
          <w:bottom w:w="28" w:type="dxa"/>
          <w:right w:w="28" w:type="dxa"/>
        </w:tblCellMar>
      </w:tblPr>
      <w:tblGrid>
        <w:gridCol w:w="907"/>
        <w:gridCol w:w="798"/>
        <w:gridCol w:w="800"/>
        <w:gridCol w:w="246"/>
        <w:gridCol w:w="700"/>
        <w:gridCol w:w="137"/>
        <w:gridCol w:w="137"/>
        <w:gridCol w:w="137"/>
        <w:gridCol w:w="137"/>
        <w:gridCol w:w="246"/>
        <w:gridCol w:w="700"/>
        <w:gridCol w:w="137"/>
        <w:gridCol w:w="109"/>
        <w:gridCol w:w="109"/>
        <w:gridCol w:w="109"/>
        <w:gridCol w:w="154"/>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balance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transaction losses</w:t>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7,576 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Losses incurred, net of recoveries</w:t>
            </w:r>
          </w:p>
        </w:tc>
        <w:tc>
          <w:tcPr>
            <w:tcW w:w="9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(8,047)</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Ending balance</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1005"/>
                <wp:effectExtent l="0" t="0" r="0" b="0"/>
                <wp:wrapNone/>
                <wp:docPr id="19" name="Frame19"/>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16</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15.    Accrued Expenses &amp; Other Current Liabilities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consisted of the following:</w:t>
      </w:r>
    </w:p>
    <w:tbl>
      <w:tblPr>
        <w:tblW w:w="4698" w:type="dxa"/>
        <w:jc w:val="center"/>
        <w:tblInd w:w="0" w:type="dxa"/>
        <w:tblCellMar>
          <w:top w:w="28" w:type="dxa"/>
          <w:left w:w="28" w:type="dxa"/>
          <w:bottom w:w="28" w:type="dxa"/>
          <w:right w:w="28" w:type="dxa"/>
        </w:tblCellMar>
      </w:tblPr>
      <w:tblGrid>
        <w:gridCol w:w="810"/>
        <w:gridCol w:w="711"/>
        <w:gridCol w:w="714"/>
        <w:gridCol w:w="196"/>
        <w:gridCol w:w="646"/>
        <w:gridCol w:w="109"/>
        <w:gridCol w:w="109"/>
        <w:gridCol w:w="109"/>
        <w:gridCol w:w="109"/>
        <w:gridCol w:w="233"/>
        <w:gridCol w:w="769"/>
        <w:gridCol w:w="183"/>
      </w:tblGrid>
      <w:tr>
        <w:trPr/>
        <w:tc>
          <w:tcPr>
            <w:tcW w:w="81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2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settlement liability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ESPP employee contributions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transaction expense</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marketing expense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10,788 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 for transaction losses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benefits</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66,683 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80" w:after="180"/>
        <w:ind w:left="0" w:right="0" w:firstLine="144"/>
        <w:rPr>
          <w:rFonts w:ascii="Times New Roman;sans-serif" w:hAnsi="Times New Roman;sans-serif"/>
          <w:b/>
          <w:color w:val="000000"/>
          <w:sz w:val="18"/>
        </w:rPr>
      </w:pPr>
      <w:r>
        <w:rPr>
          <w:rFonts w:ascii="Times New Roman;sans-serif" w:hAnsi="Times New Roman;sans-serif"/>
          <w:b/>
          <w:color w:val="000000"/>
          <w:sz w:val="18"/>
        </w:rPr>
        <w:t>16.    Segment and Geographical Information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table presents the Company’s revenue disaggregated by primary geographical location:</w:t>
      </w:r>
    </w:p>
    <w:tbl>
      <w:tblPr>
        <w:tblW w:w="4183" w:type="dxa"/>
        <w:jc w:val="center"/>
        <w:tblInd w:w="0" w:type="dxa"/>
        <w:tblCellMar>
          <w:top w:w="28" w:type="dxa"/>
          <w:left w:w="28" w:type="dxa"/>
          <w:bottom w:w="28" w:type="dxa"/>
          <w:right w:w="28" w:type="dxa"/>
        </w:tblCellMar>
      </w:tblPr>
      <w:tblGrid>
        <w:gridCol w:w="407"/>
        <w:gridCol w:w="358"/>
        <w:gridCol w:w="359"/>
        <w:gridCol w:w="218"/>
        <w:gridCol w:w="819"/>
        <w:gridCol w:w="121"/>
        <w:gridCol w:w="121"/>
        <w:gridCol w:w="121"/>
        <w:gridCol w:w="121"/>
        <w:gridCol w:w="218"/>
        <w:gridCol w:w="718"/>
        <w:gridCol w:w="121"/>
        <w:gridCol w:w="109"/>
        <w:gridCol w:w="109"/>
        <w:gridCol w:w="109"/>
        <w:gridCol w:w="154"/>
      </w:tblGrid>
      <w:tr>
        <w:trPr/>
        <w:tc>
          <w:tcPr>
            <w:tcW w:w="407"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71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1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5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99,357 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Canada</w:t>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17,279 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11,081 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 of world</w:t>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19,378 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136,014 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is attributed to the country in which the sending customer is located. </w:t>
      </w:r>
    </w:p>
    <w:tbl>
      <w:tblPr>
        <w:tblW w:w="714" w:type="dxa"/>
        <w:jc w:val="left"/>
        <w:tblInd w:w="0" w:type="dxa"/>
        <w:tblCellMar>
          <w:top w:w="28" w:type="dxa"/>
          <w:left w:w="28" w:type="dxa"/>
          <w:bottom w:w="28" w:type="dxa"/>
          <w:right w:w="28" w:type="dxa"/>
        </w:tblCellMar>
      </w:tblPr>
      <w:tblGrid>
        <w:gridCol w:w="124"/>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hanging="216"/>
        <w:rPr>
          <w:rFonts w:ascii="Times New Roman;sans-serif" w:hAnsi="Times New Roman;sans-serif"/>
          <w:b/>
          <w:color w:val="000000"/>
          <w:sz w:val="18"/>
        </w:rPr>
      </w:pPr>
      <w:r>
        <w:rPr>
          <w:rFonts w:ascii="Times New Roman;sans-serif" w:hAnsi="Times New Roman;sans-serif"/>
          <w:b/>
          <w:color w:val="000000"/>
          <w:sz w:val="18"/>
        </w:rPr>
        <w:t>17.    Subsequent Events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On May 4, 2022, the Company amended and renewed the lease for its corporate headquarters in Seattle, Washington. This renewal will commence on January 1, 2023 and expire on June 30, 2025. Total incremental estimated cash payments that will be made over the course of this lease agreement approximate $6 million.</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1005"/>
                <wp:effectExtent l="0" t="0" r="0" b="0"/>
                <wp:wrapNone/>
                <wp:docPr id="20" name="Frame20"/>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17</w:t>
                      </w:r>
                    </w:p>
                  </w:txbxContent>
                </v:textbox>
              </v:rect>
            </w:pict>
          </mc:Fallback>
        </mc:AlternateContent>
      </w:r>
    </w:p>
    <w:p>
      <w:pPr>
        <w:pStyle w:val="TextBody"/>
        <w:spacing w:lineRule="auto" w:line="288" w:before="0" w:after="180"/>
        <w:rPr/>
      </w:pPr>
      <w:hyperlink w:anchor="ia61f5f549cc04155b1c59bb766cccfa1_7">
        <w:r>
          <w:rPr>
            <w:rStyle w:val="InternetLink"/>
            <w:rFonts w:ascii="Times New Roman;sans-serif" w:hAnsi="Times New Roman;sans-serif"/>
            <w:b w:val="false"/>
            <w:color w:val="0000FF"/>
            <w:sz w:val="18"/>
            <w:u w:val="single"/>
          </w:rPr>
          <w:t>Table of Contents</w:t>
        </w:r>
      </w:hyperlink>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2. Management’s Discussion and Analysis of Financial Condition and Results of Operations</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 xml:space="preserve">You should read the following discussion and analysis of our financial condition and results of operations together with our condensed consolidated financial statements and the related notes appearing elsewhere in this Quarterly Report on Form 10-Q and our audited consolidated financial statements and the related notes and the discussion under the heading "Management's Discussion and Analysis of Financial Condition and Results of Operations" included in the Annual Report on Form 10-K for the year ended December 31, 2021.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Overview</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Remitly is a leading digital financial services provider for immigrants and their families in over 160 countries around the world.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Our differentiated approach to addressing the complexity of cross-border remittances and financial services is comprised of four core elements: </w:t>
      </w:r>
    </w:p>
    <w:p>
      <w:pPr>
        <w:pStyle w:val="TextBody"/>
        <w:spacing w:lineRule="auto" w:line="288" w:before="0" w:after="180"/>
        <w:ind w:left="0" w:right="0" w:hanging="360"/>
        <w:rPr/>
      </w:pPr>
      <w:r>
        <w:rPr>
          <w:color w:val="000000"/>
        </w:rPr>
        <w:t>•</w:t>
      </w:r>
      <w:r>
        <w:rPr>
          <w:rFonts w:ascii="Times New Roman;sans-serif" w:hAnsi="Times New Roman;sans-serif"/>
          <w:b/>
          <w:color w:val="000000"/>
          <w:sz w:val="18"/>
        </w:rPr>
        <w:t>Providing a simple and reliable way of sending money with our mobile-centric suite of products.</w:t>
      </w:r>
      <w:r>
        <w:rPr>
          <w:color w:val="000000"/>
        </w:rPr>
        <w:t xml:space="preserve"> </w:t>
      </w:r>
      <w:r>
        <w:rPr>
          <w:rFonts w:ascii="Times New Roman;sans-serif" w:hAnsi="Times New Roman;sans-serif"/>
          <w:b w:val="false"/>
          <w:color w:val="000000"/>
          <w:sz w:val="18"/>
        </w:rPr>
        <w:t>Today, over 90% of our customers engage with Remitly on their mobile phones, shifting what traditionally required an in-person interaction, including waiting in line to speak with an agent to the palm of their hands. As of March 31, 2022, our mobile app had a 4.9 iOS App Store rating with more than 685,000 reviewers and a 4.8 Android Google Play rating with more than 360,000 reviewers. We have achieved this level of engagement and these high ratings by designing mobile-centric products that make the customer experience simple and convenient and give our customers complete peace of mind.</w:t>
      </w:r>
    </w:p>
    <w:p>
      <w:pPr>
        <w:pStyle w:val="TextBody"/>
        <w:spacing w:lineRule="auto" w:line="288" w:before="0" w:after="180"/>
        <w:ind w:left="0" w:right="0" w:hanging="360"/>
        <w:rPr/>
      </w:pPr>
      <w:r>
        <w:rPr>
          <w:color w:val="000000"/>
        </w:rPr>
        <w:t>•</w:t>
      </w:r>
      <w:r>
        <w:rPr>
          <w:rFonts w:ascii="Times New Roman;sans-serif" w:hAnsi="Times New Roman;sans-serif"/>
          <w:b/>
          <w:color w:val="000000"/>
          <w:sz w:val="18"/>
        </w:rPr>
        <w:t>Conveniently putting money safely in the hands of our customers’ families, wherever they are, by relying on our global network</w:t>
      </w:r>
      <w:r>
        <w:rPr>
          <w:rFonts w:ascii="Times New Roman;sans-serif" w:hAnsi="Times New Roman;sans-serif"/>
          <w:b w:val="false"/>
          <w:color w:val="000000"/>
          <w:sz w:val="18"/>
        </w:rPr>
        <w:t>. As of March 31, 2022, our global network of funding and disbursement partnerships enables us to complete money transfers in over 2,300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We have partner relationships with global banks and leading global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within minutes to more than 3.7 billion bank accounts, over 690 million mobile wallets, and over 395,000 cash pickup locations. These partner relationships help drive a better customer experience, including faster transfers, higher acceptance rates, and enhanced reliability.</w:t>
      </w:r>
    </w:p>
    <w:p>
      <w:pPr>
        <w:pStyle w:val="TextBody"/>
        <w:spacing w:lineRule="auto" w:line="288" w:before="0" w:after="180"/>
        <w:ind w:left="0" w:right="0" w:hanging="360"/>
        <w:rPr/>
      </w:pPr>
      <w:r>
        <w:rPr>
          <w:color w:val="000000"/>
        </w:rPr>
        <w:t>•</w:t>
      </w:r>
      <w:r>
        <w:rPr>
          <w:rFonts w:ascii="Times New Roman;sans-serif" w:hAnsi="Times New Roman;sans-serif"/>
          <w:b/>
          <w:color w:val="000000"/>
          <w:sz w:val="18"/>
        </w:rPr>
        <w:t>Creating trusted and personalized experiences with our localization expertise at scale</w:t>
      </w:r>
      <w:r>
        <w:rPr>
          <w:rFonts w:ascii="Times New Roman;sans-serif" w:hAnsi="Times New Roman;sans-serif"/>
          <w:b w:val="false"/>
          <w:color w:val="000000"/>
          <w:sz w:val="18"/>
        </w:rPr>
        <w:t>. We believe our expertise in localizing our marketing, products, and 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14 native languages, and we provide peace of mind with our global customer support team. Additionally, for disbursement of funds, we partner with local brands that are among the most trusted and recognized by our customers and their families.</w:t>
      </w:r>
    </w:p>
    <w:p>
      <w:pPr>
        <w:pStyle w:val="TextBody"/>
        <w:spacing w:lineRule="auto" w:line="288" w:before="0" w:after="180"/>
        <w:ind w:left="0" w:right="0" w:hanging="360"/>
        <w:rPr/>
      </w:pPr>
      <w:r>
        <w:rPr>
          <w:color w:val="000000"/>
        </w:rPr>
        <w:t>•</w:t>
      </w:r>
      <w:r>
        <w:rPr>
          <w:rFonts w:ascii="Times New Roman;sans-serif" w:hAnsi="Times New Roman;sans-serif"/>
          <w:b/>
          <w:color w:val="000000"/>
          <w:sz w:val="18"/>
        </w:rPr>
        <w:t>Using our data-driven approach to better serve our customers and provide more value</w:t>
      </w:r>
      <w:r>
        <w:rPr>
          <w:rFonts w:ascii="Times New Roman;sans-serif" w:hAnsi="Times New Roman;sans-serif"/>
          <w:b w:val="false"/>
          <w:color w:val="000000"/>
          <w:sz w:val="18"/>
        </w:rPr>
        <w:t xml:space="preserve">. We have a data-driven approach to how we grow our business, 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 </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Our Revenue Model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For our remittance business, which represents the vast majority of our revenue today, we generate revenue from transaction fees charged to customers who are sending remittances and foreign exchange spreads applied to the customer’s principal.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Transaction fees vary based on the corridor, the currency in which funds are delivered to the recipient, the funding method a customer chooses (e.g., ACH, credit card, debit card, etc.), and the amount of the customer’s principal.</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1005"/>
                <wp:effectExtent l="0" t="0" r="0" b="0"/>
                <wp:wrapNone/>
                <wp:docPr id="21" name="Frame21"/>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18</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as an investment in our long-term relationship with customers.</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Initial Public Offering and Private Placement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 September 2021, the Company completed its IPO, in which the Company issued and sold 7,000,000 shares of its common stock at $43.00 per share. Concurrently, 5,162,777 shares were sold by certain of our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Key Business Metrics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Active customers” is defined as the number of distinct customers that have successfully completed at least one remittance transaction using Remitly during a given calendar quarter. We identify customers through unique account numbers.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 by us.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active customers are measured on a quarterly basis, the data for the full-year periods for active customers is not meaningful, and therefore both metrics are only presented on a quarterly basis herein.</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Active Customers</w:t>
      </w:r>
    </w:p>
    <w:tbl>
      <w:tblPr>
        <w:tblW w:w="4043" w:type="dxa"/>
        <w:jc w:val="left"/>
        <w:tblInd w:w="0" w:type="dxa"/>
        <w:tblCellMar>
          <w:top w:w="28" w:type="dxa"/>
          <w:left w:w="28" w:type="dxa"/>
          <w:bottom w:w="28" w:type="dxa"/>
          <w:right w:w="28" w:type="dxa"/>
        </w:tblCellMar>
      </w:tblPr>
      <w:tblGrid>
        <w:gridCol w:w="488"/>
        <w:gridCol w:w="430"/>
        <w:gridCol w:w="432"/>
        <w:gridCol w:w="386"/>
        <w:gridCol w:w="259"/>
        <w:gridCol w:w="259"/>
        <w:gridCol w:w="259"/>
        <w:gridCol w:w="259"/>
        <w:gridCol w:w="259"/>
        <w:gridCol w:w="386"/>
        <w:gridCol w:w="259"/>
        <w:gridCol w:w="367"/>
      </w:tblGrid>
      <w:tr>
        <w:trPr/>
        <w:tc>
          <w:tcPr>
            <w:tcW w:w="488"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7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135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customers</w:t>
            </w:r>
          </w:p>
        </w:tc>
        <w:tc>
          <w:tcPr>
            <w:tcW w:w="6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2,136 </w:t>
            </w:r>
          </w:p>
        </w:tc>
        <w:tc>
          <w:tcPr>
            <w:tcW w:w="3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believe that the number of our active customers is an important indicator of customer engagement and the overall growth of our business.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Active customers increased to approximately 3.0 million, or 42% growth, for the three months ended March 31, 2022, compared to the three months ended March 31, 2021. This increase was primarily due to an increase in new customers, driven by investments in our mobile platform and marketing spend, our focus on customer experience, and continued expansion of our global disbursement network.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 xml:space="preserve">Send Volume </w:t>
      </w:r>
    </w:p>
    <w:tbl>
      <w:tblPr>
        <w:tblW w:w="3490" w:type="dxa"/>
        <w:jc w:val="left"/>
        <w:tblInd w:w="0" w:type="dxa"/>
        <w:tblCellMar>
          <w:top w:w="28" w:type="dxa"/>
          <w:left w:w="28" w:type="dxa"/>
          <w:bottom w:w="28" w:type="dxa"/>
          <w:right w:w="28" w:type="dxa"/>
        </w:tblCellMar>
      </w:tblPr>
      <w:tblGrid>
        <w:gridCol w:w="380"/>
        <w:gridCol w:w="333"/>
        <w:gridCol w:w="336"/>
        <w:gridCol w:w="228"/>
        <w:gridCol w:w="649"/>
        <w:gridCol w:w="127"/>
        <w:gridCol w:w="127"/>
        <w:gridCol w:w="127"/>
        <w:gridCol w:w="127"/>
        <w:gridCol w:w="228"/>
        <w:gridCol w:w="649"/>
        <w:gridCol w:w="179"/>
      </w:tblGrid>
      <w:tr>
        <w:trPr/>
        <w:tc>
          <w:tcPr>
            <w:tcW w:w="380"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360"/>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r>
      <w:tr>
        <w:trPr/>
        <w:tc>
          <w:tcPr>
            <w:tcW w:w="10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Send volume</w:t>
            </w:r>
          </w:p>
        </w:tc>
        <w:tc>
          <w:tcPr>
            <w:tcW w:w="2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6,094 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send volume to assess the scale of remittances sent using our platform. Our customers mostly send from the United States, Canada, United Kingdom, other countries in Europe, and Australia. The recipients are located in over 150 countries across the globe; the largest receive countries include India, Mexico, and the Philippines.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Send volume increased approximately 43% to $6.1 billion for the three months ended March 31, 2022, compared to $4.3 billion for the three months ended March 31, 2021. This increase was primarily due to the growth of active customers, which increased 42% over the same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1005"/>
                <wp:effectExtent l="0" t="0" r="0" b="0"/>
                <wp:wrapNone/>
                <wp:docPr id="22" name="Frame22"/>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19</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Key Factors Affecting Our Performance</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 xml:space="preserve">Ability to Retain Our Customers and Maintain High Customer Engagement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Our send volume is primarily driven by existing customers who regularly use our remittance product to send money home. We believe our mobile-first products and superior customer experience encourage high retention and repeat usage, which are important drivers of our performance.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We measure active customers to monitor the growth and performance of our customer base. The majority of our active customers send money for recurring, non-discretionary needs multiple times per month, providing a reoccurring revenue stream with high visibility and predictability.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Ability to Attract New Customers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plan to continue to acquire new customers through digital marketing channels and word-of-mouth referrals from existing customers. We will also explore new customer acquisition channels. Given the nature of our business, new customer acquisition may negatively impact net loss and Adjusted EBITDA in the initial period, while positively impacting net loss and Adjusted EBITDA in subsequent periods.</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Ability to Maintain Efficient Customer Acquisition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Our ability to efficiently acquire customers is critical to our growth and attractive customer economics. Online marketing competition, our ability to effectively target the right demographic, and competitor pricing will impact our customer acquisition strategy.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have a history of successfully monitoring customer acquisitions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includes digital advertising costs. Given competition in the digital advertising marketplace, we have observed recent increases in customer acquisition costs. We expect customer acquisition costs to increase in 2022.</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Corridor Mix</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Our business is global and certain attributes of our business vary by corridor such as send amount, customer funding sources, and transaction frequency.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Seasonality</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 a quarter and the day of week that the last day of the quarter falls on may also introduce variability in our results, working capital balances, or cash flows.</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 xml:space="preserve">Ability to Invest in Our Technology Platform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 term growth.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Ability to Manage Risk and Fraud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These models and processes allow us to achieve and maintain fraud loss rates within desired guardrails, as well as tailor our risk models to target other illegitimate activity.</w:t>
      </w:r>
    </w:p>
    <w:p>
      <w:pPr>
        <w:pStyle w:val="TextBody"/>
        <w:spacing w:before="0" w:after="180"/>
        <w:ind w:left="0" w:right="0" w:firstLine="360"/>
        <w:rPr/>
      </w:pPr>
      <w:r>
        <w:rPr/>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1005"/>
                <wp:effectExtent l="0" t="0" r="0" b="0"/>
                <wp:wrapNone/>
                <wp:docPr id="23" name="Frame23"/>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20</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 xml:space="preserve">Macroeconomic and Geopolitical Changes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Global macroeconomic and geopolitical factors, including immigration, trade and regulatory policies, the conflict in Ukraine, unemployment, inflation,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Impact of the COVID-19 Pandemic</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a result of the COVID-19 pandemic, our business, and the digital financial services industry in general, saw accelerated growth, as digital remittances increasingly became the choice of senders and receivers; however, we also experienced disruptions. In response to the COVID-19 pandemic, government authorities and businesses globally implemented varying levels of travel restrictions, border closures, quarantines, shelter-in-place and lockdown orders, mask and social distancing requirements, and business limitations and shutdowns, which contributed to a variety of changes to consumer behavior as well as to government and business practices. As a result, we observed that consumer behavior evolved rapidly to favor forms of commerce that do not require in-person interactions, with acceleration in the shift to digital and contactless forms of payment. During 2020 and 2021, this led to rapid customer, transaction, and revenue growth for our business. We have experienced a stabilization in growth in 2022, primarily as a result of recent macroeconomic conditions, and specifically considering rising inflation and labor shortages. It remains unclear to what extent these conditions will impact our customers’ behavior in the future.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In some cases, pandemic related measures also negatively impacted Remitly, including disruptions to workforce stability during 2020 and 2021. However, certain operating expenses during those years grew more slowly than usual due to reduced business travel and the virtualization or cancellation of events. These operating expenses will, and have begun to, return to normal growth levels as pandemic restrictions are lifted. We expect that our operating costs will increase during the remainder of 2022 as business travel and other events resume.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full extent to which the COVID-19 pandemic will directly or indirectly impact our business, results of operations, cash flows, and financial condition will depend on future developments that are highly uncertain and cannot be accurately predicted, particularly if new variants of the virus emerge. While we expect the trend towards increased use of digital payments to continue, its velocity may also abate as conditions change. In addition, the impact from new variants and other factors arising from the COVID-19 pandemic could adversely impact the use of our services by our customers, the ability of our employees to perform work, and our business generally, which could have a material adverse impact on our operating and financial results.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Throughout the COVID-19 pandemic, the Company has remained focused on serving its customers and communities, as well as the well-being of its employees.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Components of Results of Operations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Revenue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Costs and expenses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 xml:space="preserve">Transaction Expenses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Transaction expenses include fees paid to disbursement partners for paying funds to the recipient, provisions for transaction losses, fees paid to payment processors for funding transactions, bad debt expense, chargebacks, fraud prevention, and compliance tools. </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 xml:space="preserve">Reserve for Transaction Losses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 is exposed to transaction losses including chargebacks, unauthorized credit card use, fraud associated with customer transactions and other non-fraud related losses. The Company establishes reserves for such losses based on historical trends and any specific risks identified in processing customer transactions. This reserve is included in accrued expenses and other current liabilities on the condensed consolidated balance sheets. The provision for transaction losses is included as a component of transaction expenses in the condensed consolidated statements of operations. </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Customer Support and Operations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 support and operations expenses consist primarily of personnel-related expenses associated with the Company’s customer support and operations organization, including salaries, benefits, and stock-based compensation expense, as well as third-party costs for customer support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1005"/>
                <wp:effectExtent l="0" t="0" r="0" b="0"/>
                <wp:wrapNone/>
                <wp:docPr id="24" name="Frame24"/>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Marketing</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Technology and Development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predominantly for use by the Company’s technology and development teams. Technology and development expenses also include product and engineering teams used to support the development of both internal infrastructure and internal-use software, to the extent such costs don't qualify for capitalization.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 In fiscal year 2022, as we invest in our platform to expand our offerings, improve the user experience, and drive geographic expansion, we expect technology and development expense to increase as a percentage of revenue.</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General and Administrative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expenses consist primarily of personnel-related expenses for the Company’s finance, legal, human resources, facilities, and administrative personnel, including salaries, benefits and stock-based compensation expense. General and administrative expenses also include professional services fees, software subscriptions, facilities, indirect taxes, and other corporate expenses.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a result of the closing of our IPO, 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have also invested in additional headcount to support both public company costs and to support our growth initiatives. </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 includes depreciation on property and equipment and leasehold improvements, as well as the amortization of internal-use software costs and amortization of intangible assets.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Interest Income</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Interest income consists primarily of interest income earned on our cash and cash equivalents.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Interest Expense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Interest expense consists primarily of the interest expense on our borrowings.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Other Income (Expense), net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Other income (expense), net primarily consists of foreign exchange gains and losses.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Provision for Income Taxes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for the foreseeable future as it is more likely than not that the assets will not be realized based on our history of losses.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1005"/>
                <wp:effectExtent l="0" t="0" r="0" b="0"/>
                <wp:wrapNone/>
                <wp:docPr id="25" name="Frame25"/>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Results of Operations</w:t>
      </w:r>
    </w:p>
    <w:p>
      <w:pPr>
        <w:pStyle w:val="TextBody"/>
        <w:spacing w:lineRule="auto" w:line="288" w:before="0" w:after="180"/>
        <w:rPr>
          <w:rFonts w:ascii="Times New Roman;sans-serif" w:hAnsi="Times New Roman;sans-serif"/>
          <w:b/>
          <w:i/>
          <w:color w:val="000000"/>
          <w:sz w:val="18"/>
        </w:rPr>
      </w:pPr>
      <w:r>
        <w:rPr>
          <w:rFonts w:ascii="Times New Roman;sans-serif" w:hAnsi="Times New Roman;sans-serif"/>
          <w:b/>
          <w:i/>
          <w:color w:val="000000"/>
          <w:sz w:val="18"/>
        </w:rPr>
        <w:t>Comparison of the three months ended March 31, 2022 and 2021</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Revenue</w:t>
      </w:r>
    </w:p>
    <w:tbl>
      <w:tblPr>
        <w:tblW w:w="6389" w:type="dxa"/>
        <w:jc w:val="left"/>
        <w:tblInd w:w="0" w:type="dxa"/>
        <w:tblCellMar>
          <w:top w:w="28" w:type="dxa"/>
          <w:left w:w="28" w:type="dxa"/>
          <w:bottom w:w="28" w:type="dxa"/>
          <w:right w:w="28" w:type="dxa"/>
        </w:tblCellMar>
      </w:tblPr>
      <w:tblGrid>
        <w:gridCol w:w="597"/>
        <w:gridCol w:w="525"/>
        <w:gridCol w:w="527"/>
        <w:gridCol w:w="202"/>
        <w:gridCol w:w="762"/>
        <w:gridCol w:w="112"/>
        <w:gridCol w:w="112"/>
        <w:gridCol w:w="112"/>
        <w:gridCol w:w="112"/>
        <w:gridCol w:w="202"/>
        <w:gridCol w:w="668"/>
        <w:gridCol w:w="112"/>
        <w:gridCol w:w="109"/>
        <w:gridCol w:w="109"/>
        <w:gridCol w:w="109"/>
        <w:gridCol w:w="196"/>
        <w:gridCol w:w="646"/>
        <w:gridCol w:w="109"/>
        <w:gridCol w:w="109"/>
        <w:gridCol w:w="109"/>
        <w:gridCol w:w="109"/>
        <w:gridCol w:w="165"/>
        <w:gridCol w:w="166"/>
        <w:gridCol w:w="410"/>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136,014 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Revenue increased $45.0 million, or 49%, to $136.0 million for the three months ended March 31, 2022. This increase was primarily driven by growth in send volume, which increased $1.8 billion, or 43%, to $6.1 billion for the three months ended March 31, 2022, compared to $4.3 billion for the three months ended March 31, 2021, reflecting an increase in active customers who sent the same average principal compared to the first quarter in 2021.</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Transaction Expenses</w:t>
      </w:r>
    </w:p>
    <w:tbl>
      <w:tblPr>
        <w:tblW w:w="6894" w:type="dxa"/>
        <w:jc w:val="left"/>
        <w:tblInd w:w="0" w:type="dxa"/>
        <w:tblCellMar>
          <w:top w:w="28" w:type="dxa"/>
          <w:left w:w="28" w:type="dxa"/>
          <w:bottom w:w="28" w:type="dxa"/>
          <w:right w:w="28" w:type="dxa"/>
        </w:tblCellMar>
      </w:tblPr>
      <w:tblGrid>
        <w:gridCol w:w="733"/>
        <w:gridCol w:w="645"/>
        <w:gridCol w:w="647"/>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65"/>
        <w:gridCol w:w="166"/>
        <w:gridCol w:w="410"/>
      </w:tblGrid>
      <w:tr>
        <w:trPr/>
        <w:tc>
          <w:tcPr>
            <w:tcW w:w="73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Transaction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56,263 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41,110 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highlight w:val="white"/>
        </w:rPr>
        <w:t xml:space="preserve">Transaction expenses increased $15.2 million, or 37%, to $56.3 million for the three months ended March 31, 2022, </w:t>
      </w:r>
      <w:r>
        <w:rPr>
          <w:rFonts w:ascii="Times New Roman;sans-serif" w:hAnsi="Times New Roman;sans-serif"/>
          <w:b w:val="false"/>
          <w:color w:val="000000"/>
          <w:sz w:val="18"/>
        </w:rPr>
        <w:t xml:space="preserve">compared to $41.1 million, for the three months ended March 31, 2021. The increase was primarily due to an $11.2 million increase in direct costs associated with processing a higher volume of our customers’ remittance transactions and the disbursement of our customers’ funds to their recipients, a $3.0 million increase in fraud and other losses largely driven by growth in new customers and send volume, and a $1.0 million increase in other transaction expenses, primarily related to software and tools that support our compliance and risk operations.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transaction expenses declined to 41% for the three months ended March 31, 2022 as compared to 45% for the three months ended March 31, 2021 primarily due to better economics with partners driven by increasing scale and additional direct partner integrations, which have resulted in lower transaction expenses as a percentage of revenue year over year.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Customer Support and Operations Expenses</w:t>
      </w:r>
    </w:p>
    <w:tbl>
      <w:tblPr>
        <w:tblW w:w="7164" w:type="dxa"/>
        <w:jc w:val="left"/>
        <w:tblInd w:w="0" w:type="dxa"/>
        <w:tblCellMar>
          <w:top w:w="28" w:type="dxa"/>
          <w:left w:w="28" w:type="dxa"/>
          <w:bottom w:w="28" w:type="dxa"/>
          <w:right w:w="28" w:type="dxa"/>
        </w:tblCellMar>
      </w:tblPr>
      <w:tblGrid>
        <w:gridCol w:w="896"/>
        <w:gridCol w:w="788"/>
        <w:gridCol w:w="791"/>
        <w:gridCol w:w="196"/>
        <w:gridCol w:w="646"/>
        <w:gridCol w:w="256"/>
        <w:gridCol w:w="109"/>
        <w:gridCol w:w="109"/>
        <w:gridCol w:w="109"/>
        <w:gridCol w:w="196"/>
        <w:gridCol w:w="556"/>
        <w:gridCol w:w="256"/>
        <w:gridCol w:w="109"/>
        <w:gridCol w:w="109"/>
        <w:gridCol w:w="109"/>
        <w:gridCol w:w="196"/>
        <w:gridCol w:w="556"/>
        <w:gridCol w:w="109"/>
        <w:gridCol w:w="109"/>
        <w:gridCol w:w="109"/>
        <w:gridCol w:w="109"/>
        <w:gridCol w:w="165"/>
        <w:gridCol w:w="166"/>
        <w:gridCol w:w="410"/>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highlight w:val="white"/>
        </w:rPr>
        <w:t xml:space="preserve">Customer support and operations expenses increased $5.2 million, or 61%, for the three months ended March 31, 2022, compared to the three months ended </w:t>
      </w:r>
      <w:r>
        <w:rPr>
          <w:rFonts w:ascii="Times New Roman;sans-serif" w:hAnsi="Times New Roman;sans-serif"/>
          <w:b w:val="false"/>
          <w:color w:val="000000"/>
          <w:sz w:val="18"/>
        </w:rPr>
        <w:t>March 31, 2021. The increase was primarily driven by a $2.3 million increase in third-party customer support costs, a $2.1 million increase in internal personnel costs at our sites in the Philippines, Nicaragua and Ireland that support customer operations, and a $0.8 million increase in software and telephony costs as we supported more active customers.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customer support and operations expenses increased to 10% for the three months ended March 31, 2022 from 9% for the three months ended March 31, 2021, due to the impact of the COVID-19 pandemic in the prior year, which impacted our staffing levels and created delays in our efforts to expand our customer support teams. We continue to invest in customer support and operations teams to support our customers’ experience.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Marketing Expenses</w:t>
      </w:r>
    </w:p>
    <w:tbl>
      <w:tblPr>
        <w:tblW w:w="6894" w:type="dxa"/>
        <w:jc w:val="left"/>
        <w:tblInd w:w="0" w:type="dxa"/>
        <w:tblCellMar>
          <w:top w:w="28" w:type="dxa"/>
          <w:left w:w="28" w:type="dxa"/>
          <w:bottom w:w="28" w:type="dxa"/>
          <w:right w:w="28" w:type="dxa"/>
        </w:tblCellMar>
      </w:tblPr>
      <w:tblGrid>
        <w:gridCol w:w="733"/>
        <w:gridCol w:w="645"/>
        <w:gridCol w:w="647"/>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165"/>
        <w:gridCol w:w="166"/>
        <w:gridCol w:w="410"/>
      </w:tblGrid>
      <w:tr>
        <w:trPr/>
        <w:tc>
          <w:tcPr>
            <w:tcW w:w="73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40,621 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highlight w:val="white"/>
        </w:rPr>
        <w:t>Marketing expenses increased $14.5 million, or 56%, for the three months ended March 31, 2022, compared to the three months ended March 31, 2021</w:t>
      </w:r>
      <w:r>
        <w:rPr>
          <w:rFonts w:ascii="Times New Roman;sans-serif" w:hAnsi="Times New Roman;sans-serif"/>
          <w:b w:val="false"/>
          <w:color w:val="000000"/>
          <w:sz w:val="18"/>
        </w:rPr>
        <w:t xml:space="preserve">, due primarily to an increase of $11.6 million in direct marketing expense, including online and offline marketing spend and promotion costs to acquire new customers. Personnel-related costs increased by $1.3 million driven by a 38% increase in marketing headcount compared to the same period in 2021, as well as a $0.7 million increase in stock-based compensation expense. The increase in marketing expenses was also driven by a $0.9 million increase in other indirect marketing, professional fees, software, and employee-related costs.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1005"/>
                <wp:effectExtent l="0" t="0" r="0" b="0"/>
                <wp:wrapNone/>
                <wp:docPr id="26" name="Frame26"/>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23</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a percent of revenue, marketing expenses increased to 30% for the three months ended March 31, 2022, from 29% for the three months ended March 31, 2021, due to growth in new customers, as well as higher customer acquisition costs, as our marketing spend was mostly dedicated to acquiring new customers.</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Technology and Development Expenses</w:t>
      </w:r>
    </w:p>
    <w:tbl>
      <w:tblPr>
        <w:tblW w:w="7194" w:type="dxa"/>
        <w:jc w:val="left"/>
        <w:tblInd w:w="0" w:type="dxa"/>
        <w:tblCellMar>
          <w:top w:w="28" w:type="dxa"/>
          <w:left w:w="28" w:type="dxa"/>
          <w:bottom w:w="28" w:type="dxa"/>
          <w:right w:w="28" w:type="dxa"/>
        </w:tblCellMar>
      </w:tblPr>
      <w:tblGrid>
        <w:gridCol w:w="798"/>
        <w:gridCol w:w="702"/>
        <w:gridCol w:w="705"/>
        <w:gridCol w:w="196"/>
        <w:gridCol w:w="646"/>
        <w:gridCol w:w="271"/>
        <w:gridCol w:w="109"/>
        <w:gridCol w:w="109"/>
        <w:gridCol w:w="109"/>
        <w:gridCol w:w="196"/>
        <w:gridCol w:w="646"/>
        <w:gridCol w:w="271"/>
        <w:gridCol w:w="109"/>
        <w:gridCol w:w="109"/>
        <w:gridCol w:w="109"/>
        <w:gridCol w:w="196"/>
        <w:gridCol w:w="646"/>
        <w:gridCol w:w="109"/>
        <w:gridCol w:w="109"/>
        <w:gridCol w:w="109"/>
        <w:gridCol w:w="109"/>
        <w:gridCol w:w="210"/>
        <w:gridCol w:w="211"/>
        <w:gridCol w:w="410"/>
      </w:tblGrid>
      <w:tr>
        <w:trPr/>
        <w:tc>
          <w:tcPr>
            <w:tcW w:w="79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highlight w:val="white"/>
        </w:rPr>
        <w:t>Technology and development expenses increased $11.9 million, or 103%</w:t>
      </w:r>
      <w:r>
        <w:rPr>
          <w:color w:val="000000"/>
        </w:rPr>
        <w:t xml:space="preserve"> </w:t>
      </w:r>
      <w:r>
        <w:rPr>
          <w:rFonts w:ascii="Times New Roman;sans-serif" w:hAnsi="Times New Roman;sans-serif"/>
          <w:b w:val="false"/>
          <w:color w:val="000000"/>
          <w:sz w:val="18"/>
        </w:rPr>
        <w:t>for the three months ended March 31, 2022, compared to the three months ended March 31, 2021. The increase was driven by $6.2 million in personnel-related expenses resulting from a 53% increase in headcount compared to the same period in 2021, as well as a $3.5 million increase in stock-based compensation expense. The increase in technology and development expense was also driven by a $1.4 million increase in software costs for employee tools and cloud services due to growth in headcount and volume of transactions, $0.3 million increase in professional fees, $0.3 million increase in other employee-related expenses and $0.2 million increase in facilities costs.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a percentage of revenue, technology and development expenses increased to 17% for the three months ended March 31, 2022, from 13% for the three months ended March 31, 2021, primarily driven by an increase in headcount and related stock-based compensation expense, as we continue to invest in enhancements to our platform, expanded offerings, and geographic expansion.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General and Administrative Expenses</w:t>
      </w:r>
    </w:p>
    <w:tbl>
      <w:tblPr>
        <w:tblW w:w="6984" w:type="dxa"/>
        <w:jc w:val="left"/>
        <w:tblInd w:w="0" w:type="dxa"/>
        <w:tblCellMar>
          <w:top w:w="28" w:type="dxa"/>
          <w:left w:w="28" w:type="dxa"/>
          <w:bottom w:w="28" w:type="dxa"/>
          <w:right w:w="28" w:type="dxa"/>
        </w:tblCellMar>
      </w:tblPr>
      <w:tblGrid>
        <w:gridCol w:w="733"/>
        <w:gridCol w:w="645"/>
        <w:gridCol w:w="647"/>
        <w:gridCol w:w="196"/>
        <w:gridCol w:w="646"/>
        <w:gridCol w:w="256"/>
        <w:gridCol w:w="109"/>
        <w:gridCol w:w="109"/>
        <w:gridCol w:w="109"/>
        <w:gridCol w:w="196"/>
        <w:gridCol w:w="646"/>
        <w:gridCol w:w="256"/>
        <w:gridCol w:w="109"/>
        <w:gridCol w:w="109"/>
        <w:gridCol w:w="109"/>
        <w:gridCol w:w="196"/>
        <w:gridCol w:w="646"/>
        <w:gridCol w:w="109"/>
        <w:gridCol w:w="109"/>
        <w:gridCol w:w="109"/>
        <w:gridCol w:w="109"/>
        <w:gridCol w:w="210"/>
        <w:gridCol w:w="211"/>
        <w:gridCol w:w="410"/>
      </w:tblGrid>
      <w:tr>
        <w:trPr/>
        <w:tc>
          <w:tcPr>
            <w:tcW w:w="73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02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total revenue</w:t>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highlight w:val="white"/>
        </w:rPr>
        <w:t xml:space="preserve">General and administrative expenses increased $12.5 million, or 115%, for the three months ended March 31, 2022, compared to the three months ended </w:t>
      </w:r>
      <w:r>
        <w:rPr>
          <w:rFonts w:ascii="Times New Roman;sans-serif" w:hAnsi="Times New Roman;sans-serif"/>
          <w:b w:val="false"/>
          <w:color w:val="000000"/>
          <w:sz w:val="18"/>
        </w:rPr>
        <w:t>March 31, 2021. This increase was primarily driven by a $3.9 million increase in personnel-related costs due to a 71% increase in general and administrative headcount compared to the same period in the prior year, as well as a $3.8 million increase in stock-based compensation expense. The increase in general and administrative expenses was also due to a $2.9 million increase in professional, regulatory, and corporate fees to support our operations as a public company, a $1.4 million increase to other employee-related and facilities costs, and $0.5 million increase to other operating expenses.</w:t>
      </w:r>
    </w:p>
    <w:p>
      <w:pPr>
        <w:pStyle w:val="TextBody"/>
        <w:spacing w:lineRule="auto" w:line="288" w:before="0" w:after="180"/>
        <w:ind w:left="0" w:right="0" w:firstLine="360"/>
        <w:rPr/>
      </w:pPr>
      <w:r>
        <w:rPr>
          <w:rFonts w:ascii="Times New Roman;sans-serif" w:hAnsi="Times New Roman;sans-serif"/>
          <w:b w:val="false"/>
          <w:color w:val="000000"/>
          <w:sz w:val="18"/>
          <w:highlight w:val="white"/>
        </w:rPr>
        <w:t xml:space="preserve">As a percent of revenue, general and administrative expenses increased to 17% for the three months ended March 31, 2022, from 12% for the three months ended </w:t>
      </w:r>
      <w:r>
        <w:rPr>
          <w:rFonts w:ascii="Times New Roman;sans-serif" w:hAnsi="Times New Roman;sans-serif"/>
          <w:b w:val="false"/>
          <w:color w:val="000000"/>
          <w:sz w:val="18"/>
        </w:rPr>
        <w:t xml:space="preserve">March 31, 2021, due to an increase in headcount to scale the organization to support our growth initiatives and ongoing public company costs, as well as a related increase in stock-based compensation expense.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Depreciation and Amortization</w:t>
      </w:r>
    </w:p>
    <w:tbl>
      <w:tblPr>
        <w:tblW w:w="6810" w:type="dxa"/>
        <w:jc w:val="left"/>
        <w:tblInd w:w="0" w:type="dxa"/>
        <w:tblCellMar>
          <w:top w:w="28" w:type="dxa"/>
          <w:left w:w="28" w:type="dxa"/>
          <w:bottom w:w="28" w:type="dxa"/>
          <w:right w:w="28" w:type="dxa"/>
        </w:tblCellMar>
      </w:tblPr>
      <w:tblGrid>
        <w:gridCol w:w="831"/>
        <w:gridCol w:w="730"/>
        <w:gridCol w:w="733"/>
        <w:gridCol w:w="200"/>
        <w:gridCol w:w="569"/>
        <w:gridCol w:w="262"/>
        <w:gridCol w:w="111"/>
        <w:gridCol w:w="111"/>
        <w:gridCol w:w="111"/>
        <w:gridCol w:w="200"/>
        <w:gridCol w:w="569"/>
        <w:gridCol w:w="262"/>
        <w:gridCol w:w="109"/>
        <w:gridCol w:w="109"/>
        <w:gridCol w:w="109"/>
        <w:gridCol w:w="196"/>
        <w:gridCol w:w="421"/>
        <w:gridCol w:w="109"/>
        <w:gridCol w:w="109"/>
        <w:gridCol w:w="109"/>
        <w:gridCol w:w="109"/>
        <w:gridCol w:w="165"/>
        <w:gridCol w:w="166"/>
        <w:gridCol w:w="410"/>
      </w:tblGrid>
      <w:tr>
        <w:trPr/>
        <w:tc>
          <w:tcPr>
            <w:tcW w:w="831"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2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29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revenue</w:t>
            </w:r>
          </w:p>
        </w:tc>
        <w:tc>
          <w:tcPr>
            <w:tcW w:w="7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62"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18"/>
          <w:highlight w:val="white"/>
        </w:rPr>
        <w:t>Depreciation and amortization increased $0.3 million, or 22%, fo</w:t>
      </w:r>
      <w:r>
        <w:rPr>
          <w:rFonts w:ascii="Times New Roman;sans-serif" w:hAnsi="Times New Roman;sans-serif"/>
          <w:b w:val="false"/>
          <w:color w:val="000000"/>
          <w:sz w:val="18"/>
        </w:rPr>
        <w:t>r the three months ended March 31, 2022, compared to the three months ended March 31, 2021. This increase is mostly due to an increase in depreciation for internally developed software and computers.</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Interest Income</w:t>
      </w:r>
    </w:p>
    <w:tbl>
      <w:tblPr>
        <w:tblW w:w="6096" w:type="dxa"/>
        <w:jc w:val="left"/>
        <w:tblInd w:w="0" w:type="dxa"/>
        <w:tblCellMar>
          <w:top w:w="28" w:type="dxa"/>
          <w:left w:w="28" w:type="dxa"/>
          <w:bottom w:w="28" w:type="dxa"/>
          <w:right w:w="28" w:type="dxa"/>
        </w:tblCellMar>
      </w:tblPr>
      <w:tblGrid>
        <w:gridCol w:w="597"/>
        <w:gridCol w:w="525"/>
        <w:gridCol w:w="527"/>
        <w:gridCol w:w="311"/>
        <w:gridCol w:w="526"/>
        <w:gridCol w:w="173"/>
        <w:gridCol w:w="173"/>
        <w:gridCol w:w="173"/>
        <w:gridCol w:w="173"/>
        <w:gridCol w:w="311"/>
        <w:gridCol w:w="383"/>
        <w:gridCol w:w="173"/>
        <w:gridCol w:w="109"/>
        <w:gridCol w:w="109"/>
        <w:gridCol w:w="109"/>
        <w:gridCol w:w="212"/>
        <w:gridCol w:w="359"/>
        <w:gridCol w:w="120"/>
        <w:gridCol w:w="109"/>
        <w:gridCol w:w="109"/>
        <w:gridCol w:w="109"/>
        <w:gridCol w:w="206"/>
        <w:gridCol w:w="206"/>
        <w:gridCol w:w="294"/>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1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tc>
        <w:tc>
          <w:tcPr>
            <w:tcW w:w="1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Interest income increased by an immaterial amount for the three month period ended March 31, 2022, compared to the three months ended March 31, 2021.</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1005"/>
                <wp:effectExtent l="0" t="0" r="0" b="0"/>
                <wp:wrapNone/>
                <wp:docPr id="27" name="Frame27"/>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Interest Expense</w:t>
      </w:r>
    </w:p>
    <w:tbl>
      <w:tblPr>
        <w:tblW w:w="6130" w:type="dxa"/>
        <w:jc w:val="left"/>
        <w:tblInd w:w="0" w:type="dxa"/>
        <w:tblCellMar>
          <w:top w:w="28" w:type="dxa"/>
          <w:left w:w="28" w:type="dxa"/>
          <w:bottom w:w="28" w:type="dxa"/>
          <w:right w:w="28" w:type="dxa"/>
        </w:tblCellMar>
      </w:tblPr>
      <w:tblGrid>
        <w:gridCol w:w="597"/>
        <w:gridCol w:w="525"/>
        <w:gridCol w:w="527"/>
        <w:gridCol w:w="243"/>
        <w:gridCol w:w="617"/>
        <w:gridCol w:w="135"/>
        <w:gridCol w:w="135"/>
        <w:gridCol w:w="135"/>
        <w:gridCol w:w="135"/>
        <w:gridCol w:w="243"/>
        <w:gridCol w:w="617"/>
        <w:gridCol w:w="135"/>
        <w:gridCol w:w="109"/>
        <w:gridCol w:w="109"/>
        <w:gridCol w:w="109"/>
        <w:gridCol w:w="212"/>
        <w:gridCol w:w="359"/>
        <w:gridCol w:w="120"/>
        <w:gridCol w:w="109"/>
        <w:gridCol w:w="109"/>
        <w:gridCol w:w="109"/>
        <w:gridCol w:w="165"/>
        <w:gridCol w:w="166"/>
        <w:gridCol w:w="410"/>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Interest expense increased by an immaterial amount for the three month period ended March 31, 2022, as compared to the three month period ended March 31, 2021.</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Other Income, Net</w:t>
      </w:r>
    </w:p>
    <w:tbl>
      <w:tblPr>
        <w:tblW w:w="6314" w:type="dxa"/>
        <w:jc w:val="left"/>
        <w:tblInd w:w="0" w:type="dxa"/>
        <w:tblCellMar>
          <w:top w:w="28" w:type="dxa"/>
          <w:left w:w="28" w:type="dxa"/>
          <w:bottom w:w="28" w:type="dxa"/>
          <w:right w:w="28" w:type="dxa"/>
        </w:tblCellMar>
      </w:tblPr>
      <w:tblGrid>
        <w:gridCol w:w="597"/>
        <w:gridCol w:w="525"/>
        <w:gridCol w:w="527"/>
        <w:gridCol w:w="245"/>
        <w:gridCol w:w="528"/>
        <w:gridCol w:w="136"/>
        <w:gridCol w:w="136"/>
        <w:gridCol w:w="136"/>
        <w:gridCol w:w="136"/>
        <w:gridCol w:w="245"/>
        <w:gridCol w:w="697"/>
        <w:gridCol w:w="136"/>
        <w:gridCol w:w="109"/>
        <w:gridCol w:w="109"/>
        <w:gridCol w:w="109"/>
        <w:gridCol w:w="196"/>
        <w:gridCol w:w="496"/>
        <w:gridCol w:w="109"/>
        <w:gridCol w:w="109"/>
        <w:gridCol w:w="109"/>
        <w:gridCol w:w="109"/>
        <w:gridCol w:w="203"/>
        <w:gridCol w:w="203"/>
        <w:gridCol w:w="409"/>
      </w:tblGrid>
      <w:tr>
        <w:trPr/>
        <w:tc>
          <w:tcPr>
            <w:tcW w:w="597"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r>
      <w:tr>
        <w:trPr/>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6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9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0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6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Other income, net, decreased $0.8 million for the three month period ended March 31, 2022, as compared to the three month period ended March 31, 2021, primarily due to foreign exchange remeasurements on transactions associated with high-volume balance sheet balances, and reduced variability in the related currencies, as compared to prior year.</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Provision for Income Taxes</w:t>
      </w:r>
    </w:p>
    <w:tbl>
      <w:tblPr>
        <w:tblW w:w="6544" w:type="dxa"/>
        <w:jc w:val="left"/>
        <w:tblInd w:w="0" w:type="dxa"/>
        <w:tblCellMar>
          <w:top w:w="28" w:type="dxa"/>
          <w:left w:w="28" w:type="dxa"/>
          <w:bottom w:w="28" w:type="dxa"/>
          <w:right w:w="28" w:type="dxa"/>
        </w:tblCellMar>
      </w:tblPr>
      <w:tblGrid>
        <w:gridCol w:w="733"/>
        <w:gridCol w:w="645"/>
        <w:gridCol w:w="647"/>
        <w:gridCol w:w="264"/>
        <w:gridCol w:w="568"/>
        <w:gridCol w:w="147"/>
        <w:gridCol w:w="147"/>
        <w:gridCol w:w="147"/>
        <w:gridCol w:w="147"/>
        <w:gridCol w:w="264"/>
        <w:gridCol w:w="568"/>
        <w:gridCol w:w="147"/>
        <w:gridCol w:w="109"/>
        <w:gridCol w:w="109"/>
        <w:gridCol w:w="109"/>
        <w:gridCol w:w="196"/>
        <w:gridCol w:w="421"/>
        <w:gridCol w:w="109"/>
        <w:gridCol w:w="109"/>
        <w:gridCol w:w="109"/>
        <w:gridCol w:w="109"/>
        <w:gridCol w:w="165"/>
        <w:gridCol w:w="166"/>
        <w:gridCol w:w="409"/>
      </w:tblGrid>
      <w:tr>
        <w:trPr/>
        <w:tc>
          <w:tcPr>
            <w:tcW w:w="73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r>
      <w:tr>
        <w:trPr/>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0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(dollars in thousands)</w:t>
            </w:r>
          </w:p>
        </w:tc>
        <w:tc>
          <w:tcPr>
            <w:tcW w:w="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02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provision for income taxes increased by $0.2 million, or 43%, for the three months ended March 31, 2022 compared to the three months ended March 31, 2021, due to an increase in taxable income for our international entities.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Non-GAAP Financial Measures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We use Adjusted EBITDA, a non-GAAP financial measure to supplement net loss. Adjusted EBITDA is calculated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and v) non-cash stock-based compensation expense, net, as well as vi) non-cash charges associated with our donation of common stock in connection with our Pledge 1% commitment.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Our goal is not to maximize Adjusted EBITDA in any given quarter, but to drive revenue growth with investments that generate long-term value. Adjusted EBITDA is a key output measure used by our management to evaluate our operating performance, inform future operating plans, and make strategic long term decisions, including those relating to operating expenses and the allocation of internal resources.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Adjusted EBITDA has limitations as a financial measure, should be considered as supplemental in nature, and is not meant as a substitute for the related financial information prepared in accordance with GAAP. These limitations include the following:</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18"/>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18"/>
        </w:rPr>
        <w:t>Adjusted EBITDA does not reflect changes in, or cash requirements for, our working capital needs;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18"/>
        </w:rPr>
        <w:t>Adjusted EBITDA does not reflect the effect of income taxes that may represent a reduction in cash available to us;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18"/>
        </w:rPr>
        <w:t>Adjusted EBITDA does not reflect the effect of gains and losses from the remeasurement of foreign currency assets and liabilities into their functional currency;</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18"/>
        </w:rPr>
        <w:t>Adjusted EBITDA excludes non-cash charges associated with the donation of our common stock in connection with our Pledge 1% commitment, which is recorded in general and administrative expense;</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other companies, including companies in our industry, may calculate Adjusted EBITDA differently from how we calculate this measure or not at all, which reduces its usefulness as a comparative measure.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1005"/>
                <wp:effectExtent l="0" t="0" r="0" b="0"/>
                <wp:wrapNone/>
                <wp:docPr id="28" name="Frame28"/>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25</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table sets forth a reconciliation of net loss to Adjusted EBITDA, the most directly comparable financial measure prepared in accordance with GAAP, for each of the periods indicated:</w:t>
      </w:r>
    </w:p>
    <w:tbl>
      <w:tblPr>
        <w:tblW w:w="5545" w:type="dxa"/>
        <w:jc w:val="center"/>
        <w:tblInd w:w="0" w:type="dxa"/>
        <w:tblCellMar>
          <w:top w:w="28" w:type="dxa"/>
          <w:left w:w="28" w:type="dxa"/>
          <w:bottom w:w="28" w:type="dxa"/>
          <w:right w:w="28" w:type="dxa"/>
        </w:tblCellMar>
      </w:tblPr>
      <w:tblGrid>
        <w:gridCol w:w="1057"/>
        <w:gridCol w:w="930"/>
        <w:gridCol w:w="937"/>
        <w:gridCol w:w="220"/>
        <w:gridCol w:w="811"/>
        <w:gridCol w:w="122"/>
        <w:gridCol w:w="122"/>
        <w:gridCol w:w="122"/>
        <w:gridCol w:w="122"/>
        <w:gridCol w:w="220"/>
        <w:gridCol w:w="709"/>
        <w:gridCol w:w="173"/>
      </w:tblGrid>
      <w:tr>
        <w:trPr/>
        <w:tc>
          <w:tcPr>
            <w:tcW w:w="105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1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(23,310)</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1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expenses</w:t>
            </w:r>
          </w:p>
        </w:tc>
        <w:tc>
          <w:tcPr>
            <w:tcW w:w="10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(gain) loss</w:t>
            </w:r>
          </w:p>
        </w:tc>
        <w:tc>
          <w:tcPr>
            <w:tcW w:w="10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w:t>
            </w:r>
          </w:p>
        </w:tc>
        <w:tc>
          <w:tcPr>
            <w:tcW w:w="17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10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9,594 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1,522 </w:t>
            </w:r>
          </w:p>
        </w:tc>
        <w:tc>
          <w:tcPr>
            <w:tcW w:w="1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115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102"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(12,063)</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(5,805)</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Adjusted EBITDA of $(12.1) million for the three months ended March 31, 2022, declined 107.8% compared to $(5.8) million for the three months ended March 31, 2021. Although we have continued to experience growth, this has been partially offset by higher processing and customer support costs, investments in customer acquisition and our technology platform, and other general and administrative expenses, including costs to support our growth initiatives and operate as a public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Liquidity and Capital Resources</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Sources of Liquidity and Material Future Cash Requirements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have financed our operations and capital expenditures primarily through cash generated from operations including transaction fees and foreign exchange spreads, sales of our redeemable convertible preferred stock, proceeds from our IPO and concurrent private placement, and our $250.0 million New Revolving Credit Facility, which we entered into in September 2021, as well as our prior 2020 Credit Agreement. We had unused borrowing capacity of $231.1 million on our New Revolving Credit Facility as of March 31, 2022. As of March 31, 2022 and December 31, 2021, our principal sources of liquidity were cash and cash equivalents of $444.6 million and $403.3 million, respectively, and funds available under the New Revolving Credit Facility and our previous revolving credit facility, respectively.</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increase during 2022 to support the continued growth of our business, including increased investments in our technology to support product improvements, new product development, and geographic expansion, as well as ongoing operating costs as a public company. We also routinely enter into marketing and advertising contracts, as well as software and other service arrangements, that can include minimum purchase quantities, requiring us to utilize cash on hand to fulfill these amounts. Refer to “Contractual Obligations and Commitments” discussed further below.</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following table shows a summary of our cash flows for the periods presented:</w:t>
      </w:r>
    </w:p>
    <w:tbl>
      <w:tblPr>
        <w:tblW w:w="4796" w:type="dxa"/>
        <w:jc w:val="left"/>
        <w:tblInd w:w="0" w:type="dxa"/>
        <w:tblCellMar>
          <w:top w:w="28" w:type="dxa"/>
          <w:left w:w="28" w:type="dxa"/>
          <w:bottom w:w="28" w:type="dxa"/>
          <w:right w:w="28" w:type="dxa"/>
        </w:tblCellMar>
      </w:tblPr>
      <w:tblGrid>
        <w:gridCol w:w="853"/>
        <w:gridCol w:w="750"/>
        <w:gridCol w:w="752"/>
        <w:gridCol w:w="210"/>
        <w:gridCol w:w="694"/>
        <w:gridCol w:w="117"/>
        <w:gridCol w:w="117"/>
        <w:gridCol w:w="117"/>
        <w:gridCol w:w="117"/>
        <w:gridCol w:w="210"/>
        <w:gridCol w:w="694"/>
        <w:gridCol w:w="165"/>
      </w:tblGrid>
      <w:tr>
        <w:trPr/>
        <w:tc>
          <w:tcPr>
            <w:tcW w:w="853"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0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62,916 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(10,874)</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069"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1005"/>
                <wp:effectExtent l="0" t="0" r="0" b="0"/>
                <wp:wrapNone/>
                <wp:docPr id="29" name="Frame29"/>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26</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Cash Flows</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Operating Activities</w:t>
      </w:r>
    </w:p>
    <w:p>
      <w:pPr>
        <w:pStyle w:val="TextBody"/>
        <w:spacing w:lineRule="auto" w:line="288" w:before="0" w:after="180"/>
        <w:ind w:left="0" w:right="0" w:firstLine="36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For the three months ended March 31, 2022, net cash provided by operating activities was $40.3 million, which primarily consisted of favorable changes in our operating assets and liabilities of $52.4 million, partially offset by a net loss of $23.3 million, and excluding $11.2 million of non-cash charges included within net loss for the period. The main driver for the favorable change in operating assets and liabilities was a decrease in disbursement prefunding of $62.5 million, which related to a higher than average balance as of the prior period end to fund disbursement partners for expected send volume over a long holiday weekend. This was partially offset by an increase of $14.5 million in customer funds receivable due to timing of cash receipts from customers.</w:t>
      </w:r>
    </w:p>
    <w:p>
      <w:pPr>
        <w:pStyle w:val="TextBody"/>
        <w:spacing w:lineRule="auto" w:line="288" w:before="0" w:after="180"/>
        <w:ind w:left="0" w:right="0" w:firstLine="36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For the three months ended March 31, 2021, net cash provided by operating activities was $62.9 million, which primarily consisted of changes in our operating assets and liabilities of $67.9 million offset by net loss of $7.8 million. The main drivers for the change in operating assets and liabilities were a decrease in disbursement prefunding of $34.4 million due to seasonality of the business, an increase in customer liabilities of $48.4 million due to growth in our business and timing of disbursements, offset by an increase in customer receivables of $11.3 million in line with the growth in our business, and timing of cash settlement. </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Investing Activities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Cash used in investing activities consists primarily of purchases of property and equipment and capitalization of internal-use software.</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 was $1.6 million for the three months ended March 31, 2022 and $1.2 million for the three months ended March 31, 2021, primarily related to purchases of property and equipment to support the increase in headcount, and capitalization of internal use software costs.</w:t>
      </w:r>
    </w:p>
    <w:p>
      <w:pPr>
        <w:pStyle w:val="TextBody"/>
        <w:spacing w:lineRule="auto" w:line="288" w:before="0" w:after="180"/>
        <w:ind w:left="0" w:right="0" w:firstLine="360"/>
        <w:rPr>
          <w:rFonts w:ascii="Times New Roman;sans-serif" w:hAnsi="Times New Roman;sans-serif"/>
          <w:b w:val="false"/>
          <w:i/>
          <w:color w:val="000000"/>
          <w:sz w:val="18"/>
        </w:rPr>
      </w:pPr>
      <w:r>
        <w:rPr>
          <w:rFonts w:ascii="Times New Roman;sans-serif" w:hAnsi="Times New Roman;sans-serif"/>
          <w:b w:val="false"/>
          <w:i/>
          <w:color w:val="000000"/>
          <w:sz w:val="18"/>
        </w:rPr>
        <w:t>Financing Activities</w:t>
      </w:r>
    </w:p>
    <w:p>
      <w:pPr>
        <w:pStyle w:val="TextBody"/>
        <w:spacing w:lineRule="auto" w:line="288" w:before="0" w:after="180"/>
        <w:ind w:left="0" w:right="0" w:firstLine="360"/>
        <w:rPr/>
      </w:pPr>
      <w:r>
        <w:rPr>
          <w:rFonts w:ascii="Times New Roman;sans-serif" w:hAnsi="Times New Roman;sans-serif"/>
          <w:b w:val="false"/>
          <w:color w:val="000000"/>
          <w:sz w:val="18"/>
          <w:highlight w:val="white"/>
        </w:rPr>
        <w:t>Cash provided by financing activities consists primarily of proceeds from the exercise of stock options, as well as previous issuances of redeemable convertible preferred stock. Cash used in financing activities historically consisted of repayments of our revolving credit facility borrowings</w:t>
      </w:r>
      <w:r>
        <w:rPr>
          <w:rFonts w:ascii="Times New Roman;sans-serif" w:hAnsi="Times New Roman;sans-serif"/>
          <w:b w:val="false"/>
          <w:color w:val="000000"/>
          <w:sz w:val="18"/>
        </w:rPr>
        <w:t xml:space="preserve">.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 for the three months ended March 31, 2022 of $2.6 million was driven by proceeds from the exercise of stock options of $2.6 million.</w:t>
      </w:r>
    </w:p>
    <w:p>
      <w:pPr>
        <w:pStyle w:val="TextBody"/>
        <w:spacing w:lineRule="auto" w:line="288" w:before="0" w:after="180"/>
        <w:ind w:left="0" w:right="0" w:firstLine="360"/>
        <w:rPr>
          <w:rFonts w:ascii="Times New Roman;sans-serif" w:hAnsi="Times New Roman;sans-serif"/>
          <w:b w:val="false"/>
          <w:color w:val="000000"/>
          <w:sz w:val="18"/>
          <w:highlight w:val="white"/>
        </w:rPr>
      </w:pPr>
      <w:r>
        <w:rPr>
          <w:rFonts w:ascii="Times New Roman;sans-serif" w:hAnsi="Times New Roman;sans-serif"/>
          <w:b w:val="false"/>
          <w:color w:val="000000"/>
          <w:sz w:val="18"/>
          <w:highlight w:val="white"/>
        </w:rPr>
        <w:t xml:space="preserve">Net cash used in financing activities for the three months ended March 31, 2021 of $10.9 million was primarily driven by the issuance of Series F redeemable convertible preferred stock, net of issuance costs of $3.0 million, offset by $15.0 million of repayments of our Revolving Credit Facility borrowings to meet our working capital needs.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Contractual Obligations and Commitments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Our principal commitments consist of standby letters of credits, long-term leases, and other purchase commitments entered into in the normal course of business. In addition, we routinely enter into marketing and advertising contracts, as well as software or other service arrangements, that contractually obligate us to purchase services in the near term, including minimum service quantities, unless we give notice of cancellation based on the applicable terms of the agreements. Most contracts are typically cancelable within a period of less than one year. Changes in our business needs, contractual cancellation provisions, fluctuating interest rates, and other factors may result in actual payments differing from the estimates. We cannot provide certainty regarding the timing and amounts of these payments.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There were no material changes outside of the ordinary course of business in the Company’s commitments and contingencies during the three months ended March 31, 2022 from the contractual obligations and contingencies disclosed in “Management's Discussion and Analysis of Financial Condition and Results of Operations”, as well as the lease commitments disclosed within Note 17. “Subsequent Events”, set forth in our Annual Report on Form 10-K for the year ended December 31, 2021. Also refer to Note 14. “Commitments and Contingencies” to our condensed consolidated financial statements included in Part I, Item 1 of this Quarterly Report on Form 10-Q.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Off-Balance Sheet Arrangements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2022, we had no off-balance sheet arrangements that have, or are reasonably likely to have, a current or future material effect on our condensed consolidated financial condition, results of operations, liquidity, capital expenditures, or capital resources.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Critical Accounting Policies and Estimates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The Company’s condensed consolidated financial statements and accompanying notes included in this Quarterly Report on Form 10-Q are prepared in accordance with GAAP. The preparation of these condensed consolidated financial statements requires management to make estimates,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1005"/>
                <wp:effectExtent l="0" t="0" r="0" b="0"/>
                <wp:wrapNone/>
                <wp:docPr id="30" name="Frame30"/>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27</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judgements and assumptions that affect the reported amounts of assets, liabilities, revenue and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There have been no material changes to the Company’s critical accounting policies and estimates as compared to those described in “Management’s Discussion and Analysis of Financial Condition and Results of Operations” set forth in our Annual Report on Form 10-K for the year ended December 31,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Recently Issued Accounting Pronouncements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See Note 2, “Basis of Presentation and Summary of Significant Accounting Policies”, in the notes to the Company’s condensed consolidated financial statements included in Part I, Item 1 of this Quarterly Report on Form 10-Q for a discussion of recent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JOBS Act</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condensed consolidated financial statements may not be comparable to companies that comply with the new or revised accounting pronouncements as of public company effective dates. We expect to use the extended transition period for any new or revised accounting standards during the period in which we remain an emerging growth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3: Quantitative and Qualitative Disclosures About Market Risk</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Market risk is the potential for economic losses to be incurred on market risk sensitive instruments arising from adverse changes in market factors such as interest rates, foreign currency exchange rates, and equity investment risk. Management establishes and oversees the implementation of policies governing our investing, and funding, and foreign currency activities in order to mitigate market risks. We monitor risk exposures on an ongoing basis.</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Credit Risk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have a limited number of pay-in payment processors and therefore we are exposed to credit risk relating to those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Foreign Currency Exchange Rate Risk</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Given the nature of our business, we are exposed to foreign exchange rate risk in a number of ways. Our principal exposure to foreign exchange rate risk includes: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While the majority of our revenue and expenses are denominated in the U.S. dollar, certain of our international operations are conducted in foreign currencies, a significant portion of which occur in Canada, the United Kingdom, and Europe. Changes in the relative value of the U.S. dollar to other currencies may affect revenue and other operating results as expressed in U.S. dollars.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As of March 31, 2022 and December 31, 2021,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$8.7 million and $11.6 million, respectively, based on our unhedged exposure to foreign currency at that date. There are inherent limitations in this sensitivity analysis, primarily due to the following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1005"/>
                <wp:effectExtent l="0" t="0" r="0" b="0"/>
                <wp:wrapNone/>
                <wp:docPr id="31" name="Frame31"/>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28</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March 31, 2022 as shown in this sensitivity analysis is lower when compared to December 31, 2021, as the disbursement prefunding balance on December 31, 2021 was $119.6 million due to the need to fund transactions to be paid out over the upcoming long holiday weekend, versus $57.2 million as of March 31, 2022.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 xml:space="preserve">Item 4. Controls and Procedures </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Evaluation of Disclosure Controls and Procedures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 </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Based on such evaluation, and in consideration of the material weaknesses in our internal control over financial reporting described below, our Chief Executive Officer and Chief Financial Officer concluded that, as of the end of the period covered by this Quarterly Report on Form 10-Q,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Internal Control Over Financial Reporting</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 the course of preparing our financial statements,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 material weaknesses are as follows: We did not design and maintain effective controls over certain information technology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This material weakness contributed to the following additional material weakness: we did not design and maintain effective controls over segregation of duties in journal entries. More specifically, certain personnel had the ability to prepare and post journal entries without an independent review performed by someone without this ability.</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These material weaknesses did not result in a misstatement to the condensed consolidated financial statement periods covered by this Quarterly Report on Form 10-Q. However, the material weakness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condensed consolidated financial statements that would not be prevented or detected.</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As of the date of this Quarterly Report on Form 10-Q, these remain material weaknesses and we are in the process of remediating them. In order to remediate these material weaknesses, we have taken and plan to take the following actions:</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1005"/>
                <wp:effectExtent l="0" t="0" r="0" b="0"/>
                <wp:wrapNone/>
                <wp:docPr id="32" name="Frame32"/>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29</w:t>
                      </w:r>
                    </w:p>
                  </w:txbxContent>
                </v:textbox>
              </v:rect>
            </w:pict>
          </mc:Fallback>
        </mc:AlternateContent>
      </w:r>
    </w:p>
    <w:p>
      <w:pPr>
        <w:pStyle w:val="TextBody"/>
        <w:spacing w:before="0" w:after="180"/>
        <w:ind w:left="0" w:right="0" w:firstLine="360"/>
        <w:rPr/>
      </w:pPr>
      <w:r>
        <w:rPr/>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Developing enhanced risk assessment procedures and monitoring controls related to changes in the financial reporting system.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Implementing comprehensive access control protocols to implement restrictions on user and privileged access to the affected financial reporting system.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Implementing controls to review and monitor user access.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18"/>
        </w:rPr>
        <w:t>Establishing additional controls over the preparation and review of journal entries.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We have concluded that these material weaknesses in our internal control over financial reporting occurred because, prior to the effectiveness of our initial public offering, we were a private company and did not have the necessary business processes and related internal controls necessary to satisfy the accounting and financial reporting requirements of a public company.</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Changes in Internal Control over Financial Reporting</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Except for the remediation efforts noted above, there were no changes to our internal control over financial reporting that occurred during the quarter ended March 31, 2022 that have materially affected, or are reasonably likely to materially affect, our internal control over financial reporting.</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1005"/>
                <wp:effectExtent l="0" t="0" r="0" b="0"/>
                <wp:wrapNone/>
                <wp:docPr id="33" name="Frame33"/>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30</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1. Legal Proceedings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 xml:space="preserve">In the normal course of business, the Company occasionally becomes involved in various legal proceedings. In the opinion of management, any liability from such proceedings would not have a material adverse effect on the business or financial condition of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1A. Risk Factors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In addition to the other information set forth in this Quarterly Report on Form 10-Q, you should carefully consider the factors discussed in Part I, Item 1A, “Risk Factors,” in our Annual Report on Form 10-K for the year ended December 31, 2021,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2. Unregistered Sales of Equity Securities and Use of Proceeds</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Recent Sales of Unregistered Equity Securities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None.</w:t>
      </w:r>
    </w:p>
    <w:p>
      <w:pPr>
        <w:pStyle w:val="TextBody"/>
        <w:spacing w:lineRule="auto" w:line="288" w:before="0" w:after="180"/>
        <w:ind w:left="0" w:right="0" w:firstLine="360"/>
        <w:rPr>
          <w:rFonts w:ascii="Times New Roman;sans-serif" w:hAnsi="Times New Roman;sans-serif"/>
          <w:b/>
          <w:i/>
          <w:color w:val="000000"/>
          <w:sz w:val="18"/>
        </w:rPr>
      </w:pPr>
      <w:r>
        <w:rPr>
          <w:rFonts w:ascii="Times New Roman;sans-serif" w:hAnsi="Times New Roman;sans-serif"/>
          <w:b/>
          <w:i/>
          <w:color w:val="000000"/>
          <w:sz w:val="18"/>
        </w:rPr>
        <w:t>Issuer Purchase of Equity Securities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3. Defaults Upon Senior Securities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4. Mine Safety Disclosures</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18"/>
        </w:rPr>
      </w:pPr>
      <w:r>
        <w:rPr>
          <w:rFonts w:ascii="Times New Roman;sans-serif" w:hAnsi="Times New Roman;sans-serif"/>
          <w:b/>
          <w:color w:val="000000"/>
          <w:sz w:val="18"/>
        </w:rPr>
        <w:t>Item 5. Other Information</w:t>
      </w:r>
    </w:p>
    <w:p>
      <w:pPr>
        <w:pStyle w:val="TextBody"/>
        <w:spacing w:lineRule="auto" w:line="288" w:before="0" w:after="180"/>
        <w:ind w:left="0" w:right="0" w:firstLine="360"/>
        <w:rPr>
          <w:rFonts w:ascii="Times New Roman;sans-serif" w:hAnsi="Times New Roman;sans-serif"/>
          <w:b w:val="false"/>
          <w:color w:val="000000"/>
          <w:sz w:val="18"/>
        </w:rPr>
      </w:pPr>
      <w:r>
        <w:rPr>
          <w:rFonts w:ascii="Times New Roman;sans-serif" w:hAnsi="Times New Roman;sans-serif"/>
          <w:b w:val="false"/>
          <w:color w:val="000000"/>
          <w:sz w:val="18"/>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1005"/>
                <wp:effectExtent l="0" t="0" r="0" b="0"/>
                <wp:wrapNone/>
                <wp:docPr id="34" name="Frame34"/>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xbxContent>
                </v:textbox>
              </v:rect>
            </w:pict>
          </mc:Fallback>
        </mc:AlternateContent>
      </w:r>
    </w:p>
    <w:p>
      <w:pPr>
        <w:pStyle w:val="TextBody"/>
        <w:spacing w:before="0" w:after="180"/>
        <w:ind w:left="0" w:right="0" w:firstLine="360"/>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Item 6. Exhibits</w:t>
      </w:r>
    </w:p>
    <w:tbl>
      <w:tblPr>
        <w:tblW w:w="10205" w:type="dxa"/>
        <w:jc w:val="left"/>
        <w:tblInd w:w="0" w:type="dxa"/>
        <w:tblCellMar>
          <w:top w:w="28" w:type="dxa"/>
          <w:left w:w="28" w:type="dxa"/>
          <w:bottom w:w="28" w:type="dxa"/>
          <w:right w:w="28" w:type="dxa"/>
        </w:tblCellMar>
      </w:tblPr>
      <w:tblGrid>
        <w:gridCol w:w="313"/>
        <w:gridCol w:w="276"/>
        <w:gridCol w:w="277"/>
        <w:gridCol w:w="109"/>
        <w:gridCol w:w="109"/>
        <w:gridCol w:w="109"/>
        <w:gridCol w:w="1782"/>
        <w:gridCol w:w="1655"/>
        <w:gridCol w:w="1673"/>
        <w:gridCol w:w="310"/>
        <w:gridCol w:w="310"/>
        <w:gridCol w:w="311"/>
        <w:gridCol w:w="191"/>
        <w:gridCol w:w="191"/>
        <w:gridCol w:w="157"/>
        <w:gridCol w:w="248"/>
        <w:gridCol w:w="239"/>
        <w:gridCol w:w="163"/>
        <w:gridCol w:w="225"/>
        <w:gridCol w:w="225"/>
        <w:gridCol w:w="226"/>
        <w:gridCol w:w="340"/>
        <w:gridCol w:w="340"/>
        <w:gridCol w:w="426"/>
      </w:tblGrid>
      <w:tr>
        <w:trPr/>
        <w:tc>
          <w:tcPr>
            <w:tcW w:w="31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655" w:type="dxa"/>
            <w:tcBorders/>
            <w:shd w:fill="auto" w:val="clear"/>
            <w:vAlign w:val="center"/>
          </w:tcPr>
          <w:p>
            <w:pPr>
              <w:pStyle w:val="TableContents"/>
              <w:spacing w:before="0" w:after="283"/>
              <w:rPr>
                <w:sz w:val="4"/>
                <w:szCs w:val="4"/>
              </w:rPr>
            </w:pPr>
            <w:r>
              <w:rPr>
                <w:sz w:val="4"/>
                <w:szCs w:val="4"/>
              </w:rPr>
            </w:r>
          </w:p>
        </w:tc>
        <w:tc>
          <w:tcPr>
            <w:tcW w:w="167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1" w:type="dxa"/>
            <w:gridSpan w:val="12"/>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Description</w:t>
            </w:r>
          </w:p>
        </w:tc>
        <w:tc>
          <w:tcPr>
            <w:tcW w:w="93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Filed Herewith</w:t>
            </w:r>
          </w:p>
        </w:tc>
        <w:tc>
          <w:tcPr>
            <w:tcW w:w="5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65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110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2">
              <w:r>
                <w:rPr>
                  <w:rStyle w:val="InternetLink"/>
                  <w:rFonts w:ascii="Times New Roman;sans-serif" w:hAnsi="Times New Roman;sans-serif"/>
                  <w:b w:val="false"/>
                  <w:color w:val="0000FF"/>
                  <w:sz w:val="18"/>
                  <w:u w:val="single"/>
                </w:rPr>
                <w:t>Amended and Restated Certificate of Incorporation</w:t>
              </w:r>
            </w:hyperlink>
          </w:p>
        </w:tc>
        <w:tc>
          <w:tcPr>
            <w:tcW w:w="9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r:id="rId3">
              <w:r>
                <w:rPr>
                  <w:rStyle w:val="InternetLink"/>
                  <w:rFonts w:ascii="Times New Roman;sans-serif" w:hAnsi="Times New Roman;sans-serif"/>
                  <w:b w:val="false"/>
                  <w:color w:val="0000FF"/>
                  <w:sz w:val="18"/>
                  <w:u w:val="single"/>
                </w:rPr>
                <w:t>Restated Bylaws</w:t>
              </w:r>
            </w:hyperlink>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65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001-40822</w:t>
            </w:r>
          </w:p>
        </w:tc>
        <w:tc>
          <w:tcPr>
            <w:tcW w:w="67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10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November 12, 2021</w:t>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rely1q22-exhibit311.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rely1q22-exhibit312.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rely1q22-exhibit321.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rely1q22-exhibit322.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(the instance document does not appear in the Interactive Data File because its XBRL tags are embedded within the Inline XBRL document).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0"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rFonts w:ascii="Times New Roman;sans-serif" w:hAnsi="Times New Roman;sans-serif"/>
          <w:b w:val="false"/>
          <w:i/>
          <w:color w:val="000000"/>
          <w:sz w:val="18"/>
        </w:rPr>
      </w:pPr>
      <w:r>
        <w:rPr>
          <w:rFonts w:ascii="Times New Roman;sans-serif" w:hAnsi="Times New Roman;sans-serif"/>
          <w:b w:val="false"/>
          <w:i/>
          <w:color w:val="000000"/>
          <w:sz w:val="18"/>
        </w:rPr>
        <w:t>* 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1005"/>
                <wp:effectExtent l="0" t="0" r="0" b="0"/>
                <wp:wrapNone/>
                <wp:docPr id="35" name="Frame35"/>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32</w:t>
                      </w:r>
                    </w:p>
                  </w:txbxContent>
                </v:textbox>
              </v:rect>
            </w:pict>
          </mc:Fallback>
        </mc:AlternateConten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SIGNATURES</w:t>
      </w:r>
    </w:p>
    <w:p>
      <w:pPr>
        <w:pStyle w:val="TextBody"/>
        <w:spacing w:lineRule="auto" w:line="288" w:before="0" w:after="180"/>
        <w:rPr>
          <w:rFonts w:ascii="Times New Roman;sans-serif" w:hAnsi="Times New Roman;sans-serif"/>
          <w:b w:val="false"/>
          <w:color w:val="000000"/>
          <w:sz w:val="18"/>
        </w:rPr>
      </w:pPr>
      <w:r>
        <w:rPr>
          <w:rFonts w:ascii="Times New Roman;sans-serif" w:hAnsi="Times New Roman;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spacing w:before="0" w:after="180"/>
        <w:ind w:left="0" w:right="0" w:firstLine="360"/>
        <w:rPr/>
      </w:pPr>
      <w:r>
        <w:rPr/>
      </w:r>
    </w:p>
    <w:tbl>
      <w:tblPr>
        <w:tblW w:w="6022" w:type="dxa"/>
        <w:jc w:val="left"/>
        <w:tblInd w:w="0" w:type="dxa"/>
        <w:tblCellMar>
          <w:top w:w="28" w:type="dxa"/>
          <w:left w:w="28" w:type="dxa"/>
          <w:bottom w:w="28" w:type="dxa"/>
          <w:right w:w="28" w:type="dxa"/>
        </w:tblCellMar>
      </w:tblPr>
      <w:tblGrid>
        <w:gridCol w:w="195"/>
        <w:gridCol w:w="171"/>
        <w:gridCol w:w="173"/>
        <w:gridCol w:w="369"/>
        <w:gridCol w:w="369"/>
        <w:gridCol w:w="372"/>
        <w:gridCol w:w="120"/>
        <w:gridCol w:w="120"/>
        <w:gridCol w:w="120"/>
        <w:gridCol w:w="1103"/>
        <w:gridCol w:w="1103"/>
        <w:gridCol w:w="1108"/>
        <w:gridCol w:w="109"/>
        <w:gridCol w:w="109"/>
        <w:gridCol w:w="109"/>
        <w:gridCol w:w="109"/>
        <w:gridCol w:w="109"/>
        <w:gridCol w:w="154"/>
      </w:tblGrid>
      <w:tr>
        <w:trPr/>
        <w:tc>
          <w:tcPr>
            <w:tcW w:w="195"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Remitly Global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Date: </w:t>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12, 2022</w:t>
            </w:r>
          </w:p>
        </w:tc>
        <w:tc>
          <w:tcPr>
            <w:tcW w:w="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31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Matthew Oppenheimer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Matthew Oppenheimer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11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May 12, 2022</w:t>
            </w:r>
          </w:p>
        </w:tc>
        <w:tc>
          <w:tcPr>
            <w:tcW w:w="3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314"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 Susanna Morgan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Susanna Morgan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(Principal Financial and Accounting Officer)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1005"/>
                <wp:effectExtent l="0" t="0" r="0" b="0"/>
                <wp:wrapNone/>
                <wp:docPr id="36" name="Frame36"/>
                <a:graphic xmlns:a="http://schemas.openxmlformats.org/drawingml/2006/main">
                  <a:graphicData uri="http://schemas.microsoft.com/office/word/2010/wordprocessingShape">
                    <wps:wsp>
                      <wps:cNvSpPr txBox="1"/>
                      <wps:spPr>
                        <a:xfrm>
                          <a:off x="0" y="0"/>
                          <a:ext cx="6480175" cy="421005"/>
                        </a:xfrm>
                        <a:prstGeom prst="rect"/>
                      </wps:spPr>
                      <wps:txb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jc w:val="center"/>
                        <w:rPr/>
                      </w:pPr>
                      <w:r>
                        <w:rPr/>
                      </w:r>
                    </w:p>
                    <w:p>
                      <w:pPr>
                        <w:pStyle w:val="TextBody"/>
                        <w:spacing w:lineRule="auto" w:line="288"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400" w:before="0" w:after="240"/>
        <w:rPr>
          <w:rFonts w:ascii="Times New Roman;sans-serif" w:hAnsi="Times New Roman;sans-serif"/>
          <w:b w:val="false"/>
          <w:color w:val="000000"/>
          <w:sz w:val="20"/>
        </w:rPr>
      </w:pPr>
      <w:r>
        <w:rPr>
          <w:rFonts w:ascii="Times New Roman;sans-serif" w:hAnsi="Times New Roman;sans-serif"/>
          <w:b w:val="false"/>
          <w:color w:val="000000"/>
          <w:sz w:val="20"/>
        </w:rPr>
        <w:t>I, Matthew Oppenheimer, certify that:</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542" w:type="dxa"/>
        <w:jc w:val="left"/>
        <w:tblInd w:w="0" w:type="dxa"/>
        <w:tblCellMar>
          <w:top w:w="28" w:type="dxa"/>
          <w:left w:w="28" w:type="dxa"/>
          <w:bottom w:w="28" w:type="dxa"/>
          <w:right w:w="28" w:type="dxa"/>
        </w:tblCellMar>
      </w:tblPr>
      <w:tblGrid>
        <w:gridCol w:w="124"/>
        <w:gridCol w:w="109"/>
        <w:gridCol w:w="109"/>
        <w:gridCol w:w="574"/>
        <w:gridCol w:w="574"/>
        <w:gridCol w:w="577"/>
        <w:gridCol w:w="725"/>
        <w:gridCol w:w="725"/>
        <w:gridCol w:w="10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OR 15d-14(a) OF THE SECURITIES EXCHANGE ACT OF 1934, AS ADOPTED PURSUANT TO SECTION 302 OF</w:t>
      </w:r>
    </w:p>
    <w:p>
      <w:pPr>
        <w:pStyle w:val="TextBody"/>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Susanna Morgan, certify that:</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Remitly Global, Inc.;</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5832" w:type="dxa"/>
        <w:jc w:val="left"/>
        <w:tblInd w:w="0" w:type="dxa"/>
        <w:tblCellMar>
          <w:top w:w="28" w:type="dxa"/>
          <w:left w:w="28" w:type="dxa"/>
          <w:bottom w:w="28" w:type="dxa"/>
          <w:right w:w="28" w:type="dxa"/>
        </w:tblCellMar>
      </w:tblPr>
      <w:tblGrid>
        <w:gridCol w:w="124"/>
        <w:gridCol w:w="109"/>
        <w:gridCol w:w="109"/>
        <w:gridCol w:w="574"/>
        <w:gridCol w:w="574"/>
        <w:gridCol w:w="577"/>
        <w:gridCol w:w="1103"/>
        <w:gridCol w:w="1103"/>
        <w:gridCol w:w="15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Susanna Morgan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Susanna Morgan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spacing w:before="0" w:after="240"/>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333"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333"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333" w:before="0" w:after="240"/>
        <w:rPr>
          <w:rFonts w:ascii="Times New Roman;sans-serif" w:hAnsi="Times New Roman;sans-serif"/>
          <w:b w:val="false"/>
          <w:color w:val="000000"/>
          <w:sz w:val="20"/>
        </w:rPr>
      </w:pPr>
      <w:r>
        <w:rPr>
          <w:rFonts w:ascii="Times New Roman;sans-serif" w:hAnsi="Times New Roman;sans-serif"/>
          <w:b w:val="false"/>
          <w:color w:val="000000"/>
          <w:sz w:val="20"/>
        </w:rPr>
        <w:t>I, Matthew Oppenheimer, Chief Executive Officer of Remitly Global, Inc. (the “Company”), do hereby certify, pursuant to 18 U.S.C. Section 1350, as adopted pursuant to Section 906 of the Sarbanes-Oxley Act of 2002, that to the best of my knowledge:</w:t>
      </w:r>
    </w:p>
    <w:p>
      <w:pPr>
        <w:pStyle w:val="TextBody"/>
        <w:spacing w:lineRule="auto" w:line="333" w:before="0" w:after="240"/>
        <w:ind w:left="0" w:right="0" w:hanging="360"/>
        <w:rPr/>
      </w:pPr>
      <w:r>
        <w:rPr>
          <w:color w:val="000000"/>
        </w:rPr>
        <w:t>•</w:t>
      </w:r>
      <w:r>
        <w:rPr>
          <w:rFonts w:ascii="Times New Roman;sans-serif" w:hAnsi="Times New Roman;sans-serif"/>
          <w:b w:val="false"/>
          <w:color w:val="000000"/>
          <w:sz w:val="20"/>
        </w:rPr>
        <w:t>the Quarterly Report on Form 10-Q of the Company for the fiscal quarter ended March 31, 2022 (the “Report”) fully complies with the requirements of Section 13(a) or 15(d) of the Securities Exchange Act of 1934, as amended; and</w:t>
      </w:r>
    </w:p>
    <w:p>
      <w:pPr>
        <w:pStyle w:val="TextBody"/>
        <w:spacing w:lineRule="auto" w:line="333" w:before="0" w:after="240"/>
        <w:ind w:left="0" w:right="0" w:hanging="360"/>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4542" w:type="dxa"/>
        <w:jc w:val="left"/>
        <w:tblInd w:w="0" w:type="dxa"/>
        <w:tblCellMar>
          <w:top w:w="28" w:type="dxa"/>
          <w:left w:w="28" w:type="dxa"/>
          <w:bottom w:w="28" w:type="dxa"/>
          <w:right w:w="28" w:type="dxa"/>
        </w:tblCellMar>
      </w:tblPr>
      <w:tblGrid>
        <w:gridCol w:w="124"/>
        <w:gridCol w:w="109"/>
        <w:gridCol w:w="109"/>
        <w:gridCol w:w="574"/>
        <w:gridCol w:w="574"/>
        <w:gridCol w:w="577"/>
        <w:gridCol w:w="725"/>
        <w:gridCol w:w="725"/>
        <w:gridCol w:w="102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Oppenheimer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Oppenheimer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spacing w:before="120" w:after="240"/>
        <w:rPr/>
      </w:pPr>
      <w:r>
        <w:rPr/>
      </w:r>
    </w:p>
    <w:p>
      <w:pPr>
        <w:pStyle w:val="TextBody"/>
        <w:spacing w:before="0" w:after="24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400"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400"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spacing w:lineRule="auto" w:line="400" w:before="0" w:after="24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 Susanna Morgan, Chief Financial Officer of Remitly Global, Inc. (the “Company”), do hereby certify, pursuant to 18 U.S.C. Section 1350, as adopted pursuant to Section 906 of the Sarbanes-Oxley Act of 2002, that to the best of my knowledge:</w:t>
      </w:r>
    </w:p>
    <w:p>
      <w:pPr>
        <w:pStyle w:val="TextBody"/>
        <w:spacing w:lineRule="auto" w:line="333" w:before="0" w:after="240"/>
        <w:ind w:left="0" w:right="0" w:hanging="360"/>
        <w:rPr/>
      </w:pPr>
      <w:r>
        <w:rPr>
          <w:color w:val="000000"/>
        </w:rPr>
        <w:t>•</w:t>
      </w:r>
      <w:r>
        <w:rPr>
          <w:rFonts w:ascii="Times New Roman;sans-serif" w:hAnsi="Times New Roman;sans-serif"/>
          <w:b w:val="false"/>
          <w:color w:val="000000"/>
          <w:sz w:val="20"/>
        </w:rPr>
        <w:t>the Quarterly Report on Form 10-Q of the Company for the fiscal quarter ended March 31, 2022 (the “Report”) fully complies with the requirements of Section 13(a) or 15(d) of the Securities Exchange Act of 1934, as amended; and</w:t>
      </w:r>
    </w:p>
    <w:p>
      <w:pPr>
        <w:pStyle w:val="TextBody"/>
        <w:spacing w:lineRule="auto" w:line="333" w:before="0" w:after="240"/>
        <w:ind w:left="0" w:right="0" w:hanging="360"/>
        <w:rPr/>
      </w:pPr>
      <w:r>
        <w:rPr>
          <w:color w:val="000000"/>
        </w:rPr>
        <w:t>•</w:t>
      </w:r>
      <w:r>
        <w:rPr>
          <w:rFonts w:ascii="Times New Roman;sans-serif" w:hAnsi="Times New Roman;sans-serif"/>
          <w:b w:val="false"/>
          <w:color w:val="000000"/>
          <w:sz w:val="20"/>
        </w:rPr>
        <w:t>the information contained in the Report fairly presents, in all material respects, the financial condition and results of operations of the Company for the periods presented therein.</w:t>
      </w:r>
    </w:p>
    <w:tbl>
      <w:tblPr>
        <w:tblW w:w="5832" w:type="dxa"/>
        <w:jc w:val="left"/>
        <w:tblInd w:w="0" w:type="dxa"/>
        <w:tblCellMar>
          <w:top w:w="28" w:type="dxa"/>
          <w:left w:w="28" w:type="dxa"/>
          <w:bottom w:w="28" w:type="dxa"/>
          <w:right w:w="28" w:type="dxa"/>
        </w:tblCellMar>
      </w:tblPr>
      <w:tblGrid>
        <w:gridCol w:w="124"/>
        <w:gridCol w:w="109"/>
        <w:gridCol w:w="109"/>
        <w:gridCol w:w="574"/>
        <w:gridCol w:w="574"/>
        <w:gridCol w:w="577"/>
        <w:gridCol w:w="1103"/>
        <w:gridCol w:w="1103"/>
        <w:gridCol w:w="155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155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12, 2022</w:t>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Susanna Morgan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Susanna Morgan</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spacing w:before="120" w:after="24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2170/000178217021000011/exhibit33-remitlyglobalxpu.htm" TargetMode="External"/><Relationship Id="rId3" Type="http://schemas.openxmlformats.org/officeDocument/2006/relationships/hyperlink" Target="https://www.sec.gov/Archives/edgar/data/0001782170/000178217021000011/exhibit34-remitlyglobalxpu.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21448</Words>
  <CharactersWithSpaces>141445</CharactersWithSpaces>
  <Paragraphs>1734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