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523875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52070</wp:posOffset>
            </wp:positionV>
            <wp:extent cx="1388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63500</wp:posOffset>
            </wp:positionV>
            <wp:extent cx="13887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63" w:lineRule="exact"/>
        <w:rPr>
          <w:sz w:val="24"/>
          <w:szCs w:val="24"/>
          <w:color w:val="auto"/>
        </w:rPr>
      </w:pPr>
    </w:p>
    <w:p>
      <w:pPr>
        <w:ind w:right="2840" w:firstLine="8"/>
        <w:spacing w:after="0" w:line="469" w:lineRule="auto"/>
        <w:tabs>
          <w:tab w:leader="none" w:pos="189"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June 30, 2023</w:t>
      </w:r>
    </w:p>
    <w:p>
      <w:pPr>
        <w:spacing w:after="0"/>
        <w:rPr>
          <w:sz w:val="20"/>
          <w:szCs w:val="20"/>
          <w:color w:val="auto"/>
        </w:rPr>
      </w:pPr>
      <w:r>
        <w:rPr>
          <w:rFonts w:ascii="Arial" w:cs="Arial" w:eastAsia="Arial" w:hAnsi="Arial"/>
          <w:sz w:val="16"/>
          <w:szCs w:val="16"/>
          <w:color w:val="auto"/>
        </w:rPr>
        <w:t>OR</w:t>
      </w:r>
    </w:p>
    <w:p>
      <w:pPr>
        <w:spacing w:after="0" w:line="163" w:lineRule="exact"/>
        <w:rPr>
          <w:sz w:val="24"/>
          <w:szCs w:val="24"/>
          <w:color w:val="auto"/>
        </w:rPr>
      </w:pPr>
    </w:p>
    <w:p>
      <w:pPr>
        <w:ind w:left="200" w:hanging="192"/>
        <w:spacing w:after="0"/>
        <w:tabs>
          <w:tab w:leader="none" w:pos="2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001-40822</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Remitly Global, Inc.</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95250</wp:posOffset>
            </wp:positionV>
            <wp:extent cx="13887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332" w:lineRule="exact"/>
        <w:rPr>
          <w:sz w:val="24"/>
          <w:szCs w:val="24"/>
          <w:color w:val="auto"/>
        </w:rPr>
      </w:pPr>
    </w:p>
    <w:tbl>
      <w:tblPr>
        <w:tblLayout w:type="fixed"/>
        <w:tblInd w:w="1360" w:type="dxa"/>
        <w:tblCellMar>
          <w:top w:w="0" w:type="dxa"/>
          <w:left w:w="0" w:type="dxa"/>
          <w:bottom w:w="0" w:type="dxa"/>
          <w:right w:w="0" w:type="dxa"/>
        </w:tblCellMar>
      </w:tblPr>
      <w:tr>
        <w:trPr>
          <w:trHeight w:val="210"/>
        </w:trPr>
        <w:tc>
          <w:tcPr>
            <w:tcW w:w="328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3"/>
              </w:rPr>
              <w:t>Delaware</w:t>
            </w:r>
          </w:p>
        </w:tc>
        <w:tc>
          <w:tcPr>
            <w:tcW w:w="1220" w:type="dxa"/>
            <w:vAlign w:val="bottom"/>
            <w:gridSpan w:val="2"/>
          </w:tcPr>
          <w:p>
            <w:pPr>
              <w:jc w:val="center"/>
              <w:ind w:left="659"/>
              <w:spacing w:after="0"/>
              <w:rPr>
                <w:sz w:val="20"/>
                <w:szCs w:val="20"/>
                <w:color w:val="auto"/>
              </w:rPr>
            </w:pPr>
            <w:r>
              <w:rPr>
                <w:rFonts w:ascii="Arial" w:cs="Arial" w:eastAsia="Arial" w:hAnsi="Arial"/>
                <w:sz w:val="16"/>
                <w:szCs w:val="16"/>
                <w:b w:val="1"/>
                <w:bCs w:val="1"/>
                <w:color w:val="auto"/>
                <w:w w:val="89"/>
              </w:rPr>
              <w:t>7372</w:t>
            </w:r>
          </w:p>
        </w:tc>
        <w:tc>
          <w:tcPr>
            <w:tcW w:w="860" w:type="dxa"/>
            <w:vAlign w:val="bottom"/>
          </w:tcPr>
          <w:p>
            <w:pPr>
              <w:spacing w:after="0"/>
              <w:rPr>
                <w:sz w:val="18"/>
                <w:szCs w:val="18"/>
                <w:color w:val="auto"/>
              </w:rPr>
            </w:pPr>
          </w:p>
        </w:tc>
        <w:tc>
          <w:tcPr>
            <w:tcW w:w="3180" w:type="dxa"/>
            <w:vAlign w:val="bottom"/>
          </w:tcPr>
          <w:p>
            <w:pPr>
              <w:jc w:val="center"/>
              <w:ind w:left="381"/>
              <w:spacing w:after="0"/>
              <w:rPr>
                <w:sz w:val="20"/>
                <w:szCs w:val="20"/>
                <w:color w:val="auto"/>
              </w:rPr>
            </w:pPr>
            <w:r>
              <w:rPr>
                <w:rFonts w:ascii="Arial" w:cs="Arial" w:eastAsia="Arial" w:hAnsi="Arial"/>
                <w:sz w:val="16"/>
                <w:szCs w:val="16"/>
                <w:b w:val="1"/>
                <w:bCs w:val="1"/>
                <w:color w:val="auto"/>
                <w:w w:val="88"/>
              </w:rPr>
              <w:t>83-2301143</w:t>
            </w:r>
          </w:p>
        </w:tc>
      </w:tr>
      <w:tr>
        <w:trPr>
          <w:trHeight w:val="239"/>
        </w:trPr>
        <w:tc>
          <w:tcPr>
            <w:tcW w:w="3280" w:type="dxa"/>
            <w:vAlign w:val="bottom"/>
            <w:gridSpan w:val="2"/>
          </w:tcPr>
          <w:p>
            <w:pPr>
              <w:jc w:val="center"/>
              <w:ind w:right="580"/>
              <w:spacing w:after="0"/>
              <w:rPr>
                <w:sz w:val="20"/>
                <w:szCs w:val="20"/>
                <w:color w:val="auto"/>
              </w:rPr>
            </w:pPr>
            <w:r>
              <w:rPr>
                <w:rFonts w:ascii="Arial" w:cs="Arial" w:eastAsia="Arial" w:hAnsi="Arial"/>
                <w:sz w:val="16"/>
                <w:szCs w:val="16"/>
                <w:color w:val="auto"/>
                <w:w w:val="94"/>
              </w:rPr>
              <w:t>(State or other jurisdiction of</w:t>
            </w:r>
          </w:p>
        </w:tc>
        <w:tc>
          <w:tcPr>
            <w:tcW w:w="2080" w:type="dxa"/>
            <w:vAlign w:val="bottom"/>
            <w:gridSpan w:val="3"/>
          </w:tcPr>
          <w:p>
            <w:pPr>
              <w:jc w:val="center"/>
              <w:ind w:right="100"/>
              <w:spacing w:after="0"/>
              <w:rPr>
                <w:sz w:val="20"/>
                <w:szCs w:val="20"/>
                <w:color w:val="auto"/>
              </w:rPr>
            </w:pPr>
            <w:r>
              <w:rPr>
                <w:rFonts w:ascii="Arial" w:cs="Arial" w:eastAsia="Arial" w:hAnsi="Arial"/>
                <w:sz w:val="16"/>
                <w:szCs w:val="16"/>
                <w:color w:val="auto"/>
                <w:w w:val="93"/>
              </w:rPr>
              <w:t>(Primary Standard Industrial</w:t>
            </w:r>
          </w:p>
        </w:tc>
        <w:tc>
          <w:tcPr>
            <w:tcW w:w="3180" w:type="dxa"/>
            <w:vAlign w:val="bottom"/>
          </w:tcPr>
          <w:p>
            <w:pPr>
              <w:jc w:val="center"/>
              <w:ind w:left="381"/>
              <w:spacing w:after="0"/>
              <w:rPr>
                <w:sz w:val="20"/>
                <w:szCs w:val="20"/>
                <w:color w:val="auto"/>
              </w:rPr>
            </w:pPr>
            <w:r>
              <w:rPr>
                <w:rFonts w:ascii="Arial" w:cs="Arial" w:eastAsia="Arial" w:hAnsi="Arial"/>
                <w:sz w:val="16"/>
                <w:szCs w:val="16"/>
                <w:color w:val="auto"/>
                <w:w w:val="95"/>
              </w:rPr>
              <w:t>(I.R.S. Employer</w:t>
            </w:r>
          </w:p>
        </w:tc>
      </w:tr>
      <w:tr>
        <w:trPr>
          <w:trHeight w:val="206"/>
        </w:trPr>
        <w:tc>
          <w:tcPr>
            <w:tcW w:w="3280" w:type="dxa"/>
            <w:vAlign w:val="bottom"/>
            <w:gridSpan w:val="2"/>
          </w:tcPr>
          <w:p>
            <w:pPr>
              <w:jc w:val="center"/>
              <w:ind w:right="580"/>
              <w:spacing w:after="0"/>
              <w:rPr>
                <w:sz w:val="20"/>
                <w:szCs w:val="20"/>
                <w:color w:val="auto"/>
              </w:rPr>
            </w:pPr>
            <w:r>
              <w:rPr>
                <w:rFonts w:ascii="Arial" w:cs="Arial" w:eastAsia="Arial" w:hAnsi="Arial"/>
                <w:sz w:val="16"/>
                <w:szCs w:val="16"/>
                <w:color w:val="auto"/>
                <w:w w:val="93"/>
              </w:rPr>
              <w:t>incorporation or organization)</w:t>
            </w:r>
          </w:p>
        </w:tc>
        <w:tc>
          <w:tcPr>
            <w:tcW w:w="2080" w:type="dxa"/>
            <w:vAlign w:val="bottom"/>
            <w:gridSpan w:val="3"/>
          </w:tcPr>
          <w:p>
            <w:pPr>
              <w:jc w:val="center"/>
              <w:ind w:right="100"/>
              <w:spacing w:after="0"/>
              <w:rPr>
                <w:sz w:val="20"/>
                <w:szCs w:val="20"/>
                <w:color w:val="auto"/>
              </w:rPr>
            </w:pPr>
            <w:r>
              <w:rPr>
                <w:rFonts w:ascii="Arial" w:cs="Arial" w:eastAsia="Arial" w:hAnsi="Arial"/>
                <w:sz w:val="16"/>
                <w:szCs w:val="16"/>
                <w:color w:val="auto"/>
                <w:w w:val="93"/>
              </w:rPr>
              <w:t>Classification Code Number)</w:t>
            </w:r>
          </w:p>
        </w:tc>
        <w:tc>
          <w:tcPr>
            <w:tcW w:w="3180" w:type="dxa"/>
            <w:vAlign w:val="bottom"/>
          </w:tcPr>
          <w:p>
            <w:pPr>
              <w:jc w:val="center"/>
              <w:ind w:left="361"/>
              <w:spacing w:after="0"/>
              <w:rPr>
                <w:sz w:val="20"/>
                <w:szCs w:val="20"/>
                <w:color w:val="auto"/>
              </w:rPr>
            </w:pPr>
            <w:r>
              <w:rPr>
                <w:rFonts w:ascii="Arial" w:cs="Arial" w:eastAsia="Arial" w:hAnsi="Arial"/>
                <w:sz w:val="16"/>
                <w:szCs w:val="16"/>
                <w:color w:val="auto"/>
                <w:w w:val="95"/>
              </w:rPr>
              <w:t>Identification Number)</w:t>
            </w:r>
          </w:p>
        </w:tc>
      </w:tr>
      <w:tr>
        <w:trPr>
          <w:trHeight w:val="182"/>
        </w:trPr>
        <w:tc>
          <w:tcPr>
            <w:tcW w:w="3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180" w:type="dxa"/>
            <w:vAlign w:val="bottom"/>
          </w:tcPr>
          <w:p>
            <w:pPr>
              <w:spacing w:after="0"/>
              <w:rPr>
                <w:sz w:val="15"/>
                <w:szCs w:val="15"/>
                <w:color w:val="auto"/>
              </w:rPr>
            </w:pPr>
          </w:p>
        </w:tc>
      </w:tr>
      <w:tr>
        <w:trPr>
          <w:trHeight w:val="405"/>
        </w:trPr>
        <w:tc>
          <w:tcPr>
            <w:tcW w:w="3280" w:type="dxa"/>
            <w:vAlign w:val="bottom"/>
            <w:tcBorders>
              <w:bottom w:val="single" w:sz="8" w:color="auto"/>
            </w:tcBorders>
            <w:gridSpan w:val="2"/>
          </w:tcPr>
          <w:p>
            <w:pPr>
              <w:ind w:left="500"/>
              <w:spacing w:after="0"/>
              <w:rPr>
                <w:sz w:val="20"/>
                <w:szCs w:val="20"/>
                <w:color w:val="auto"/>
              </w:rPr>
            </w:pPr>
            <w:r>
              <w:rPr>
                <w:rFonts w:ascii="Arial" w:cs="Arial" w:eastAsia="Arial" w:hAnsi="Arial"/>
                <w:sz w:val="16"/>
                <w:szCs w:val="16"/>
                <w:b w:val="1"/>
                <w:bCs w:val="1"/>
                <w:color w:val="auto"/>
                <w:w w:val="93"/>
              </w:rPr>
              <w:t>1111 Third Avenue, Suite 2100  Seattle,</w:t>
            </w:r>
          </w:p>
        </w:tc>
        <w:tc>
          <w:tcPr>
            <w:tcW w:w="10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WA</w:t>
            </w:r>
          </w:p>
        </w:tc>
        <w:tc>
          <w:tcPr>
            <w:tcW w:w="1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jc w:val="right"/>
              <w:ind w:right="1741"/>
              <w:spacing w:after="0"/>
              <w:rPr>
                <w:sz w:val="20"/>
                <w:szCs w:val="20"/>
                <w:color w:val="auto"/>
              </w:rPr>
            </w:pPr>
            <w:r>
              <w:rPr>
                <w:rFonts w:ascii="Arial" w:cs="Arial" w:eastAsia="Arial" w:hAnsi="Arial"/>
                <w:sz w:val="16"/>
                <w:szCs w:val="16"/>
                <w:b w:val="1"/>
                <w:bCs w:val="1"/>
                <w:color w:val="auto"/>
              </w:rPr>
              <w:t>98101</w:t>
            </w:r>
          </w:p>
        </w:tc>
      </w:tr>
      <w:tr>
        <w:trPr>
          <w:trHeight w:val="191"/>
        </w:trPr>
        <w:tc>
          <w:tcPr>
            <w:tcW w:w="5360" w:type="dxa"/>
            <w:vAlign w:val="bottom"/>
            <w:gridSpan w:val="5"/>
          </w:tcPr>
          <w:p>
            <w:pPr>
              <w:ind w:left="1000"/>
              <w:spacing w:after="0"/>
              <w:rPr>
                <w:sz w:val="20"/>
                <w:szCs w:val="20"/>
                <w:color w:val="auto"/>
              </w:rPr>
            </w:pPr>
            <w:r>
              <w:rPr>
                <w:rFonts w:ascii="Arial" w:cs="Arial" w:eastAsia="Arial" w:hAnsi="Arial"/>
                <w:sz w:val="14"/>
                <w:szCs w:val="14"/>
                <w:color w:val="auto"/>
              </w:rPr>
              <w:t>(Address of Principal Executive Offices)</w:t>
            </w:r>
          </w:p>
        </w:tc>
        <w:tc>
          <w:tcPr>
            <w:tcW w:w="3180" w:type="dxa"/>
            <w:vAlign w:val="bottom"/>
          </w:tcPr>
          <w:p>
            <w:pPr>
              <w:jc w:val="center"/>
              <w:ind w:right="781"/>
              <w:spacing w:after="0"/>
              <w:rPr>
                <w:sz w:val="20"/>
                <w:szCs w:val="20"/>
                <w:color w:val="auto"/>
              </w:rPr>
            </w:pPr>
            <w:r>
              <w:rPr>
                <w:rFonts w:ascii="Arial" w:cs="Arial" w:eastAsia="Arial" w:hAnsi="Arial"/>
                <w:sz w:val="14"/>
                <w:szCs w:val="14"/>
                <w:color w:val="auto"/>
                <w:w w:val="96"/>
              </w:rPr>
              <w:t>(Zip Code)</w:t>
            </w:r>
          </w:p>
        </w:tc>
      </w:tr>
    </w:tbl>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16"/>
          <w:szCs w:val="16"/>
          <w:u w:val="single" w:color="auto"/>
          <w:color w:val="auto"/>
        </w:rPr>
        <w:t>(888) 736-4859</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63"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4480" w:type="dxa"/>
            <w:vAlign w:val="bottom"/>
            <w:gridSpan w:val="5"/>
          </w:tcPr>
          <w:p>
            <w:pPr>
              <w:jc w:val="center"/>
              <w:ind w:left="7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3440" w:type="dxa"/>
            <w:vAlign w:val="bottom"/>
          </w:tcPr>
          <w:p>
            <w:pPr>
              <w:spacing w:after="0"/>
              <w:rPr>
                <w:sz w:val="18"/>
                <w:szCs w:val="18"/>
                <w:color w:val="auto"/>
              </w:rPr>
            </w:pPr>
          </w:p>
        </w:tc>
      </w:tr>
      <w:tr>
        <w:trPr>
          <w:trHeight w:val="270"/>
        </w:trPr>
        <w:tc>
          <w:tcPr>
            <w:tcW w:w="3280" w:type="dxa"/>
            <w:vAlign w:val="bottom"/>
            <w:tcBorders>
              <w:bottom w:val="single" w:sz="8" w:color="auto"/>
            </w:tcBorders>
          </w:tcPr>
          <w:p>
            <w:pPr>
              <w:jc w:val="center"/>
              <w:ind w:left="279"/>
              <w:spacing w:after="0"/>
              <w:rPr>
                <w:sz w:val="20"/>
                <w:szCs w:val="20"/>
                <w:color w:val="auto"/>
              </w:rPr>
            </w:pPr>
            <w:r>
              <w:rPr>
                <w:rFonts w:ascii="Arial" w:cs="Arial" w:eastAsia="Arial" w:hAnsi="Arial"/>
                <w:sz w:val="16"/>
                <w:szCs w:val="16"/>
                <w:color w:val="auto"/>
                <w:w w:val="90"/>
              </w:rPr>
              <w:t>Title of each class</w:t>
            </w:r>
          </w:p>
        </w:tc>
        <w:tc>
          <w:tcPr>
            <w:tcW w:w="36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1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4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0"/>
              </w:rPr>
              <w:t>Name of each exchange on which registered</w:t>
            </w:r>
          </w:p>
        </w:tc>
      </w:tr>
      <w:tr>
        <w:trPr>
          <w:trHeight w:val="223"/>
        </w:trPr>
        <w:tc>
          <w:tcPr>
            <w:tcW w:w="3280" w:type="dxa"/>
            <w:vAlign w:val="bottom"/>
          </w:tcPr>
          <w:p>
            <w:pPr>
              <w:jc w:val="center"/>
              <w:ind w:left="259"/>
              <w:spacing w:after="0"/>
              <w:rPr>
                <w:sz w:val="20"/>
                <w:szCs w:val="20"/>
                <w:color w:val="auto"/>
              </w:rPr>
            </w:pPr>
            <w:r>
              <w:rPr>
                <w:rFonts w:ascii="Arial" w:cs="Arial" w:eastAsia="Arial" w:hAnsi="Arial"/>
                <w:sz w:val="16"/>
                <w:szCs w:val="16"/>
                <w:color w:val="auto"/>
                <w:w w:val="91"/>
              </w:rPr>
              <w:t>Common Stock, $0.0001 par value</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80" w:type="dxa"/>
            <w:vAlign w:val="bottom"/>
            <w:gridSpan w:val="3"/>
          </w:tcPr>
          <w:p>
            <w:pPr>
              <w:jc w:val="center"/>
              <w:ind w:right="340"/>
              <w:spacing w:after="0"/>
              <w:rPr>
                <w:sz w:val="20"/>
                <w:szCs w:val="20"/>
                <w:color w:val="auto"/>
              </w:rPr>
            </w:pPr>
            <w:r>
              <w:rPr>
                <w:rFonts w:ascii="Arial" w:cs="Arial" w:eastAsia="Arial" w:hAnsi="Arial"/>
                <w:sz w:val="16"/>
                <w:szCs w:val="16"/>
                <w:color w:val="auto"/>
                <w:w w:val="95"/>
              </w:rPr>
              <w:t>RELY</w:t>
            </w:r>
          </w:p>
        </w:tc>
        <w:tc>
          <w:tcPr>
            <w:tcW w:w="3440" w:type="dxa"/>
            <w:vAlign w:val="bottom"/>
          </w:tcPr>
          <w:p>
            <w:pPr>
              <w:jc w:val="center"/>
              <w:ind w:right="99"/>
              <w:spacing w:after="0"/>
              <w:rPr>
                <w:sz w:val="20"/>
                <w:szCs w:val="20"/>
                <w:color w:val="auto"/>
              </w:rPr>
            </w:pPr>
            <w:r>
              <w:rPr>
                <w:rFonts w:ascii="Arial" w:cs="Arial" w:eastAsia="Arial" w:hAnsi="Arial"/>
                <w:sz w:val="16"/>
                <w:szCs w:val="16"/>
                <w:color w:val="auto"/>
                <w:w w:val="92"/>
              </w:rPr>
              <w:t>The Nasdaq Global Select Market</w:t>
            </w:r>
          </w:p>
        </w:tc>
      </w:tr>
    </w:tbl>
    <w:p>
      <w:pPr>
        <w:spacing w:after="0" w:line="21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45" w:lineRule="exact"/>
        <w:rPr>
          <w:sz w:val="24"/>
          <w:szCs w:val="24"/>
          <w:color w:val="auto"/>
        </w:rPr>
      </w:pPr>
    </w:p>
    <w:p>
      <w:pPr>
        <w:ind w:right="200"/>
        <w:spacing w:after="0" w:line="209" w:lineRule="exact"/>
        <w:rPr>
          <w:sz w:val="20"/>
          <w:szCs w:val="20"/>
          <w:color w:val="auto"/>
        </w:rPr>
      </w:pPr>
      <w:r>
        <w:rPr>
          <w:rFonts w:ascii="Arial" w:cs="Arial" w:eastAsia="Arial" w:hAnsi="Arial"/>
          <w:sz w:val="16"/>
          <w:szCs w:val="16"/>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9" w:lineRule="exact"/>
        <w:rPr>
          <w:sz w:val="24"/>
          <w:szCs w:val="24"/>
          <w:color w:val="auto"/>
        </w:rPr>
      </w:pPr>
    </w:p>
    <w:p>
      <w:pPr>
        <w:ind w:right="380"/>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9" w:lineRule="exact"/>
        <w:rPr>
          <w:sz w:val="24"/>
          <w:szCs w:val="24"/>
          <w:color w:val="auto"/>
        </w:rPr>
      </w:pPr>
    </w:p>
    <w:p>
      <w:pPr>
        <w:ind w:right="10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8" w:lineRule="exact"/>
        <w:rPr>
          <w:sz w:val="24"/>
          <w:szCs w:val="24"/>
          <w:color w:val="auto"/>
        </w:rPr>
      </w:pPr>
    </w:p>
    <w:tbl>
      <w:tblPr>
        <w:tblLayout w:type="fixed"/>
        <w:tblInd w:w="1140" w:type="dxa"/>
        <w:tblCellMar>
          <w:top w:w="0" w:type="dxa"/>
          <w:left w:w="0" w:type="dxa"/>
          <w:bottom w:w="0" w:type="dxa"/>
          <w:right w:w="0" w:type="dxa"/>
        </w:tblCellMar>
      </w:tblPr>
      <w:tr>
        <w:trPr>
          <w:trHeight w:val="272"/>
        </w:trPr>
        <w:tc>
          <w:tcPr>
            <w:tcW w:w="2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60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rPr>
              <w:t>☒</w:t>
            </w:r>
          </w:p>
        </w:tc>
        <w:tc>
          <w:tcPr>
            <w:tcW w:w="3060" w:type="dxa"/>
            <w:vAlign w:val="bottom"/>
          </w:tcPr>
          <w:p>
            <w:pPr>
              <w:ind w:left="140"/>
              <w:spacing w:after="0"/>
              <w:rPr>
                <w:sz w:val="20"/>
                <w:szCs w:val="20"/>
                <w:color w:val="auto"/>
              </w:rPr>
            </w:pPr>
            <w:r>
              <w:rPr>
                <w:rFonts w:ascii="Arial" w:cs="Arial" w:eastAsia="Arial" w:hAnsi="Arial"/>
                <w:sz w:val="16"/>
                <w:szCs w:val="16"/>
                <w:color w:val="auto"/>
              </w:rPr>
              <w:t>Accelerated filer</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2760" w:type="dxa"/>
            <w:vAlign w:val="bottom"/>
          </w:tcPr>
          <w:p>
            <w:pPr>
              <w:spacing w:after="0"/>
              <w:rPr>
                <w:sz w:val="20"/>
                <w:szCs w:val="20"/>
                <w:color w:val="auto"/>
              </w:rPr>
            </w:pPr>
            <w:r>
              <w:rPr>
                <w:rFonts w:ascii="Arial" w:cs="Arial" w:eastAsia="Arial" w:hAnsi="Arial"/>
                <w:sz w:val="16"/>
                <w:szCs w:val="16"/>
                <w:color w:val="auto"/>
              </w:rPr>
              <w:t>Non-accelerated filer</w:t>
            </w:r>
          </w:p>
        </w:tc>
        <w:tc>
          <w:tcPr>
            <w:tcW w:w="160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rPr>
              <w:t>☐</w:t>
            </w:r>
          </w:p>
        </w:tc>
        <w:tc>
          <w:tcPr>
            <w:tcW w:w="3060" w:type="dxa"/>
            <w:vAlign w:val="bottom"/>
          </w:tcPr>
          <w:p>
            <w:pPr>
              <w:ind w:left="140"/>
              <w:spacing w:after="0"/>
              <w:rPr>
                <w:sz w:val="20"/>
                <w:szCs w:val="20"/>
                <w:color w:val="auto"/>
              </w:rPr>
            </w:pPr>
            <w:r>
              <w:rPr>
                <w:rFonts w:ascii="Arial" w:cs="Arial" w:eastAsia="Arial" w:hAnsi="Arial"/>
                <w:sz w:val="16"/>
                <w:szCs w:val="16"/>
                <w:color w:val="auto"/>
              </w:rPr>
              <w:t>Smaller reporting company</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60" w:type="dxa"/>
            <w:vAlign w:val="bottom"/>
          </w:tcPr>
          <w:p>
            <w:pPr>
              <w:ind w:left="140"/>
              <w:spacing w:after="0"/>
              <w:rPr>
                <w:sz w:val="20"/>
                <w:szCs w:val="20"/>
                <w:color w:val="auto"/>
              </w:rPr>
            </w:pPr>
            <w:r>
              <w:rPr>
                <w:rFonts w:ascii="Arial" w:cs="Arial" w:eastAsia="Arial" w:hAnsi="Arial"/>
                <w:sz w:val="16"/>
                <w:szCs w:val="16"/>
                <w:color w:val="auto"/>
              </w:rPr>
              <w:t>Emerging growth company</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0" w:lineRule="exact"/>
        <w:rPr>
          <w:sz w:val="24"/>
          <w:szCs w:val="24"/>
          <w:color w:val="auto"/>
        </w:rPr>
      </w:pPr>
    </w:p>
    <w:p>
      <w:pPr>
        <w:spacing w:after="0" w:line="337" w:lineRule="exact"/>
        <w:rPr>
          <w:sz w:val="24"/>
          <w:szCs w:val="24"/>
          <w:color w:val="auto"/>
        </w:rPr>
      </w:pPr>
    </w:p>
    <w:p>
      <w:pPr>
        <w:ind w:right="56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0" w:lineRule="exact"/>
        <w:rPr>
          <w:sz w:val="24"/>
          <w:szCs w:val="24"/>
          <w:color w:val="auto"/>
        </w:rPr>
      </w:pPr>
    </w:p>
    <w:p>
      <w:pPr>
        <w:ind w:right="2980"/>
        <w:spacing w:after="0" w:line="299"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1, 2023, the registrant had 181,198,646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 w:name="page2"/>
    <w:bookmarkEnd w:id="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820" w:type="dxa"/>
            <w:vAlign w:val="bottom"/>
            <w:gridSpan w:val="21"/>
          </w:tcPr>
          <w:p>
            <w:pPr>
              <w:spacing w:after="0"/>
              <w:rPr>
                <w:sz w:val="20"/>
                <w:szCs w:val="20"/>
                <w:color w:val="auto"/>
              </w:rPr>
            </w:pPr>
            <w:r>
              <w:rPr>
                <w:rFonts w:ascii="Arial" w:cs="Arial" w:eastAsia="Arial" w:hAnsi="Arial"/>
                <w:sz w:val="16"/>
                <w:szCs w:val="16"/>
                <w:b w:val="1"/>
                <w:bCs w:val="1"/>
                <w:color w:val="auto"/>
              </w:rPr>
              <w:t>TABLE OF CONTENTS</w:t>
            </w:r>
          </w:p>
        </w:tc>
        <w:tc>
          <w:tcPr>
            <w:tcW w:w="2240" w:type="dxa"/>
            <w:vAlign w:val="bottom"/>
          </w:tcPr>
          <w:p>
            <w:pPr>
              <w:jc w:val="center"/>
              <w:ind w:left="1719"/>
              <w:spacing w:after="0"/>
              <w:rPr>
                <w:sz w:val="20"/>
                <w:szCs w:val="20"/>
                <w:color w:val="auto"/>
              </w:rPr>
            </w:pPr>
            <w:r>
              <w:rPr>
                <w:rFonts w:ascii="Arial" w:cs="Arial" w:eastAsia="Arial" w:hAnsi="Arial"/>
                <w:sz w:val="14"/>
                <w:szCs w:val="14"/>
                <w:b w:val="1"/>
                <w:bCs w:val="1"/>
                <w:color w:val="auto"/>
                <w:w w:val="86"/>
              </w:rPr>
              <w:t>Page(s)</w:t>
            </w:r>
          </w:p>
        </w:tc>
        <w:tc>
          <w:tcPr>
            <w:tcW w:w="0" w:type="dxa"/>
            <w:vAlign w:val="bottom"/>
          </w:tcPr>
          <w:p>
            <w:pPr>
              <w:spacing w:after="0"/>
              <w:rPr>
                <w:sz w:val="1"/>
                <w:szCs w:val="1"/>
                <w:color w:val="auto"/>
              </w:rPr>
            </w:pPr>
          </w:p>
        </w:tc>
      </w:tr>
      <w:tr>
        <w:trPr>
          <w:trHeight w:val="243"/>
        </w:trPr>
        <w:tc>
          <w:tcPr>
            <w:tcW w:w="8820" w:type="dxa"/>
            <w:vAlign w:val="bottom"/>
            <w:gridSpan w:val="21"/>
          </w:tcPr>
          <w:p>
            <w:pPr>
              <w:spacing w:after="0"/>
              <w:rPr>
                <w:sz w:val="20"/>
                <w:szCs w:val="20"/>
                <w:color w:val="auto"/>
              </w:rPr>
            </w:pPr>
            <w:r>
              <w:rPr>
                <w:rFonts w:ascii="Arial" w:cs="Arial" w:eastAsia="Arial" w:hAnsi="Arial"/>
                <w:sz w:val="16"/>
                <w:szCs w:val="16"/>
                <w:b w:val="1"/>
                <w:bCs w:val="1"/>
                <w:color w:val="auto"/>
              </w:rPr>
              <w:t>Special Note Regarding Forward-Looking Statements</w:t>
            </w:r>
          </w:p>
        </w:tc>
        <w:tc>
          <w:tcPr>
            <w:tcW w:w="2240" w:type="dxa"/>
            <w:vAlign w:val="bottom"/>
          </w:tcPr>
          <w:p>
            <w:pPr>
              <w:jc w:val="center"/>
              <w:ind w:left="1719"/>
              <w:spacing w:after="0"/>
              <w:rPr>
                <w:sz w:val="20"/>
                <w:szCs w:val="20"/>
                <w:color w:val="auto"/>
              </w:rPr>
            </w:pPr>
            <w:r>
              <w:rPr>
                <w:rFonts w:ascii="Arial" w:cs="Arial" w:eastAsia="Arial" w:hAnsi="Arial"/>
                <w:sz w:val="16"/>
                <w:szCs w:val="16"/>
                <w:color w:val="auto"/>
              </w:rPr>
              <w:t>ii</w:t>
            </w:r>
          </w:p>
        </w:tc>
        <w:tc>
          <w:tcPr>
            <w:tcW w:w="0" w:type="dxa"/>
            <w:vAlign w:val="bottom"/>
          </w:tcPr>
          <w:p>
            <w:pPr>
              <w:spacing w:after="0"/>
              <w:rPr>
                <w:sz w:val="1"/>
                <w:szCs w:val="1"/>
                <w:color w:val="auto"/>
              </w:rPr>
            </w:pPr>
          </w:p>
        </w:tc>
      </w:tr>
      <w:tr>
        <w:trPr>
          <w:trHeight w:val="527"/>
        </w:trPr>
        <w:tc>
          <w:tcPr>
            <w:tcW w:w="100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7820" w:type="dxa"/>
            <w:vAlign w:val="bottom"/>
            <w:gridSpan w:val="20"/>
          </w:tcPr>
          <w:p>
            <w:pPr>
              <w:spacing w:after="0"/>
              <w:rPr>
                <w:sz w:val="20"/>
                <w:szCs w:val="20"/>
                <w:color w:val="auto"/>
              </w:rPr>
            </w:pPr>
            <w:r>
              <w:rPr>
                <w:rFonts w:ascii="Arial" w:cs="Arial" w:eastAsia="Arial" w:hAnsi="Arial"/>
                <w:sz w:val="16"/>
                <w:szCs w:val="16"/>
                <w:b w:val="1"/>
                <w:bCs w:val="1"/>
                <w:color w:val="auto"/>
              </w:rPr>
              <w:t>Financial Information</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0" w:type="dxa"/>
            <w:vAlign w:val="bottom"/>
          </w:tcPr>
          <w:p>
            <w:pPr>
              <w:spacing w:after="0"/>
              <w:rPr>
                <w:sz w:val="20"/>
                <w:szCs w:val="20"/>
                <w:color w:val="auto"/>
              </w:rPr>
            </w:pPr>
            <w:r>
              <w:rPr>
                <w:rFonts w:ascii="Arial" w:cs="Arial" w:eastAsia="Arial" w:hAnsi="Arial"/>
                <w:sz w:val="16"/>
                <w:szCs w:val="16"/>
                <w:color w:val="auto"/>
              </w:rPr>
              <w:t>Item 1.</w:t>
            </w:r>
          </w:p>
        </w:tc>
        <w:tc>
          <w:tcPr>
            <w:tcW w:w="1360" w:type="dxa"/>
            <w:vAlign w:val="bottom"/>
            <w:tcBorders>
              <w:bottom w:val="single" w:sz="8" w:color="3051F2"/>
            </w:tcBorders>
            <w:gridSpan w:val="5"/>
          </w:tcPr>
          <w:p>
            <w:pPr>
              <w:spacing w:after="0"/>
              <w:rPr>
                <w:sz w:val="20"/>
                <w:szCs w:val="20"/>
                <w:color w:val="auto"/>
              </w:rPr>
            </w:pPr>
            <w:r>
              <w:rPr>
                <w:rFonts w:ascii="Arial" w:cs="Arial" w:eastAsia="Arial" w:hAnsi="Arial"/>
                <w:sz w:val="16"/>
                <w:szCs w:val="16"/>
                <w:color w:val="3051F2"/>
                <w:w w:val="89"/>
              </w:rPr>
              <w:t>Financial Statements</w:t>
            </w:r>
          </w:p>
        </w:tc>
        <w:tc>
          <w:tcPr>
            <w:tcW w:w="6460" w:type="dxa"/>
            <w:vAlign w:val="bottom"/>
            <w:gridSpan w:val="15"/>
          </w:tcPr>
          <w:p>
            <w:pPr>
              <w:spacing w:after="0"/>
              <w:rPr>
                <w:sz w:val="18"/>
                <w:szCs w:val="18"/>
                <w:color w:val="auto"/>
              </w:rPr>
            </w:pPr>
          </w:p>
        </w:tc>
        <w:tc>
          <w:tcPr>
            <w:tcW w:w="2240" w:type="dxa"/>
            <w:vAlign w:val="bottom"/>
          </w:tcPr>
          <w:p>
            <w:pPr>
              <w:jc w:val="center"/>
              <w:ind w:left="1719"/>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36"/>
        </w:trPr>
        <w:tc>
          <w:tcPr>
            <w:tcW w:w="1000" w:type="dxa"/>
            <w:vAlign w:val="bottom"/>
          </w:tcPr>
          <w:p>
            <w:pPr>
              <w:spacing w:after="0"/>
              <w:rPr>
                <w:sz w:val="20"/>
                <w:szCs w:val="20"/>
                <w:color w:val="auto"/>
              </w:rPr>
            </w:pPr>
          </w:p>
        </w:tc>
        <w:tc>
          <w:tcPr>
            <w:tcW w:w="7820" w:type="dxa"/>
            <w:vAlign w:val="bottom"/>
            <w:gridSpan w:val="20"/>
          </w:tcPr>
          <w:p>
            <w:pPr>
              <w:spacing w:after="0"/>
              <w:rPr>
                <w:sz w:val="20"/>
                <w:szCs w:val="20"/>
                <w:color w:val="auto"/>
              </w:rPr>
            </w:pPr>
            <w:r>
              <w:rPr>
                <w:rFonts w:ascii="Arial" w:cs="Arial" w:eastAsia="Arial" w:hAnsi="Arial"/>
                <w:sz w:val="16"/>
                <w:szCs w:val="16"/>
                <w:color w:val="3051F2"/>
              </w:rPr>
              <w:t>Condensed Consolidated Balance Sheets as of June 30, 2023 and December 31, 2022</w:t>
            </w:r>
          </w:p>
        </w:tc>
        <w:tc>
          <w:tcPr>
            <w:tcW w:w="2240" w:type="dxa"/>
            <w:vAlign w:val="bottom"/>
          </w:tcPr>
          <w:p>
            <w:pPr>
              <w:jc w:val="center"/>
              <w:ind w:left="1719"/>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00" w:type="dxa"/>
            <w:vAlign w:val="bottom"/>
            <w:gridSpan w:val="2"/>
            <w:shd w:val="clear" w:color="auto" w:fill="3051F2"/>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4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740" w:type="dxa"/>
            <w:vAlign w:val="bottom"/>
            <w:shd w:val="clear" w:color="auto" w:fill="3051F2"/>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spacing w:after="0"/>
              <w:rPr>
                <w:sz w:val="19"/>
                <w:szCs w:val="19"/>
                <w:color w:val="auto"/>
              </w:rPr>
            </w:pPr>
          </w:p>
        </w:tc>
        <w:tc>
          <w:tcPr>
            <w:tcW w:w="7820" w:type="dxa"/>
            <w:vAlign w:val="bottom"/>
            <w:gridSpan w:val="20"/>
          </w:tcPr>
          <w:p>
            <w:pPr>
              <w:spacing w:after="0"/>
              <w:rPr>
                <w:sz w:val="20"/>
                <w:szCs w:val="20"/>
                <w:color w:val="auto"/>
              </w:rPr>
            </w:pPr>
            <w:r>
              <w:rPr>
                <w:rFonts w:ascii="Arial" w:cs="Arial" w:eastAsia="Arial" w:hAnsi="Arial"/>
                <w:sz w:val="16"/>
                <w:szCs w:val="16"/>
                <w:color w:val="3051F2"/>
                <w:w w:val="98"/>
              </w:rPr>
              <w:t>Condensed Consolidated Statements of Operations for the three and six months ended June 30, 2023 and 2022</w:t>
            </w:r>
          </w:p>
        </w:tc>
        <w:tc>
          <w:tcPr>
            <w:tcW w:w="2240" w:type="dxa"/>
            <w:vAlign w:val="bottom"/>
          </w:tcPr>
          <w:p>
            <w:pPr>
              <w:jc w:val="center"/>
              <w:ind w:left="1719"/>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00" w:type="dxa"/>
            <w:vAlign w:val="bottom"/>
            <w:gridSpan w:val="2"/>
            <w:shd w:val="clear" w:color="auto" w:fill="3051F2"/>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1500" w:type="dxa"/>
            <w:vAlign w:val="bottom"/>
            <w:gridSpan w:val="3"/>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740" w:type="dxa"/>
            <w:vAlign w:val="bottom"/>
            <w:shd w:val="clear" w:color="auto" w:fill="3051F2"/>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780" w:type="dxa"/>
            <w:vAlign w:val="bottom"/>
            <w:shd w:val="clear" w:color="auto" w:fill="3051F2"/>
          </w:tcPr>
          <w:p>
            <w:pPr>
              <w:spacing w:after="0" w:line="20" w:lineRule="exact"/>
              <w:rPr>
                <w:sz w:val="1"/>
                <w:szCs w:val="1"/>
                <w:color w:val="auto"/>
              </w:rPr>
            </w:pPr>
          </w:p>
        </w:tc>
        <w:tc>
          <w:tcPr>
            <w:tcW w:w="580" w:type="dxa"/>
            <w:vAlign w:val="bottom"/>
            <w:shd w:val="clear" w:color="auto" w:fill="3051F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spacing w:after="0"/>
              <w:rPr>
                <w:sz w:val="19"/>
                <w:szCs w:val="19"/>
                <w:color w:val="auto"/>
              </w:rPr>
            </w:pPr>
          </w:p>
        </w:tc>
        <w:tc>
          <w:tcPr>
            <w:tcW w:w="7820" w:type="dxa"/>
            <w:vAlign w:val="bottom"/>
            <w:tcBorders>
              <w:bottom w:val="single" w:sz="8" w:color="3051F2"/>
            </w:tcBorders>
            <w:gridSpan w:val="20"/>
          </w:tcPr>
          <w:p>
            <w:pPr>
              <w:spacing w:after="0"/>
              <w:rPr>
                <w:sz w:val="20"/>
                <w:szCs w:val="20"/>
                <w:color w:val="auto"/>
              </w:rPr>
            </w:pPr>
            <w:r>
              <w:rPr>
                <w:rFonts w:ascii="Arial" w:cs="Arial" w:eastAsia="Arial" w:hAnsi="Arial"/>
                <w:sz w:val="16"/>
                <w:szCs w:val="16"/>
                <w:color w:val="3051F2"/>
                <w:w w:val="90"/>
              </w:rPr>
              <w:t>Condensed Consolidated Statements of Comprehensive Loss for the three and six months ended June 30, 2023 and 2022</w:t>
            </w:r>
          </w:p>
        </w:tc>
        <w:tc>
          <w:tcPr>
            <w:tcW w:w="2240" w:type="dxa"/>
            <w:vAlign w:val="bottom"/>
          </w:tcPr>
          <w:p>
            <w:pPr>
              <w:jc w:val="center"/>
              <w:ind w:left="1719"/>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7820" w:type="dxa"/>
            <w:vAlign w:val="bottom"/>
            <w:gridSpan w:val="20"/>
          </w:tcPr>
          <w:p>
            <w:pPr>
              <w:spacing w:after="0"/>
              <w:rPr>
                <w:sz w:val="20"/>
                <w:szCs w:val="20"/>
                <w:color w:val="auto"/>
              </w:rPr>
            </w:pPr>
            <w:r>
              <w:rPr>
                <w:rFonts w:ascii="Arial" w:cs="Arial" w:eastAsia="Arial" w:hAnsi="Arial"/>
                <w:sz w:val="16"/>
                <w:szCs w:val="16"/>
                <w:color w:val="3051F2"/>
                <w:w w:val="90"/>
              </w:rPr>
              <w:t xml:space="preserve">Condensed Consolidated Statements of Stockholders’ Equity for the three </w:t>
            </w:r>
            <w:r>
              <w:rPr>
                <w:rFonts w:ascii="Arial" w:cs="Arial" w:eastAsia="Arial" w:hAnsi="Arial"/>
                <w:sz w:val="16"/>
                <w:szCs w:val="16"/>
                <w:color w:val="0000FF"/>
                <w:w w:val="90"/>
              </w:rPr>
              <w:t>and six</w:t>
            </w:r>
            <w:r>
              <w:rPr>
                <w:rFonts w:ascii="Arial" w:cs="Arial" w:eastAsia="Arial" w:hAnsi="Arial"/>
                <w:sz w:val="16"/>
                <w:szCs w:val="16"/>
                <w:color w:val="3051F2"/>
                <w:w w:val="90"/>
              </w:rPr>
              <w:t xml:space="preserve"> months ended June 30, 2023 and 2022</w:t>
            </w:r>
          </w:p>
        </w:tc>
        <w:tc>
          <w:tcPr>
            <w:tcW w:w="2240" w:type="dxa"/>
            <w:vAlign w:val="bottom"/>
          </w:tcPr>
          <w:p>
            <w:pPr>
              <w:jc w:val="center"/>
              <w:ind w:left="1719"/>
              <w:spacing w:after="0"/>
              <w:rPr>
                <w:sz w:val="20"/>
                <w:szCs w:val="20"/>
                <w:color w:val="auto"/>
              </w:rPr>
            </w:pPr>
            <w:r>
              <w:rPr>
                <w:rFonts w:ascii="Arial" w:cs="Arial" w:eastAsia="Arial" w:hAnsi="Arial"/>
                <w:sz w:val="16"/>
                <w:szCs w:val="16"/>
                <w:color w:val="auto"/>
                <w:w w:val="89"/>
              </w:rPr>
              <w:t>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00" w:type="dxa"/>
            <w:vAlign w:val="bottom"/>
            <w:gridSpan w:val="2"/>
            <w:shd w:val="clear" w:color="auto" w:fill="3051F2"/>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1500" w:type="dxa"/>
            <w:vAlign w:val="bottom"/>
            <w:gridSpan w:val="3"/>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740" w:type="dxa"/>
            <w:vAlign w:val="bottom"/>
            <w:shd w:val="clear" w:color="auto" w:fill="3051F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780" w:type="dxa"/>
            <w:vAlign w:val="bottom"/>
            <w:shd w:val="clear" w:color="auto" w:fill="3051F2"/>
          </w:tcPr>
          <w:p>
            <w:pPr>
              <w:spacing w:after="0" w:line="20" w:lineRule="exact"/>
              <w:rPr>
                <w:sz w:val="1"/>
                <w:szCs w:val="1"/>
                <w:color w:val="auto"/>
              </w:rPr>
            </w:pPr>
          </w:p>
        </w:tc>
        <w:tc>
          <w:tcPr>
            <w:tcW w:w="1240" w:type="dxa"/>
            <w:vAlign w:val="bottom"/>
            <w:gridSpan w:val="2"/>
            <w:shd w:val="clear" w:color="auto" w:fill="3051F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spacing w:after="0"/>
              <w:rPr>
                <w:sz w:val="19"/>
                <w:szCs w:val="19"/>
                <w:color w:val="auto"/>
              </w:rPr>
            </w:pPr>
          </w:p>
        </w:tc>
        <w:tc>
          <w:tcPr>
            <w:tcW w:w="7820" w:type="dxa"/>
            <w:vAlign w:val="bottom"/>
            <w:gridSpan w:val="20"/>
          </w:tcPr>
          <w:p>
            <w:pPr>
              <w:spacing w:after="0"/>
              <w:rPr>
                <w:sz w:val="20"/>
                <w:szCs w:val="20"/>
                <w:color w:val="auto"/>
              </w:rPr>
            </w:pPr>
            <w:r>
              <w:rPr>
                <w:rFonts w:ascii="Arial" w:cs="Arial" w:eastAsia="Arial" w:hAnsi="Arial"/>
                <w:sz w:val="16"/>
                <w:szCs w:val="16"/>
                <w:color w:val="3051F2"/>
              </w:rPr>
              <w:t xml:space="preserve">Condensed Consolidated Statements of Cash Flows for the </w:t>
            </w:r>
            <w:r>
              <w:rPr>
                <w:rFonts w:ascii="Arial" w:cs="Arial" w:eastAsia="Arial" w:hAnsi="Arial"/>
                <w:sz w:val="16"/>
                <w:szCs w:val="16"/>
                <w:color w:val="0000FF"/>
              </w:rPr>
              <w:t>six</w:t>
            </w:r>
            <w:r>
              <w:rPr>
                <w:rFonts w:ascii="Arial" w:cs="Arial" w:eastAsia="Arial" w:hAnsi="Arial"/>
                <w:sz w:val="16"/>
                <w:szCs w:val="16"/>
                <w:color w:val="3051F2"/>
              </w:rPr>
              <w:t xml:space="preserve"> months ended June 30, 2023 and 2022</w:t>
            </w:r>
          </w:p>
        </w:tc>
        <w:tc>
          <w:tcPr>
            <w:tcW w:w="2240" w:type="dxa"/>
            <w:vAlign w:val="bottom"/>
          </w:tcPr>
          <w:p>
            <w:pPr>
              <w:jc w:val="center"/>
              <w:ind w:left="1719"/>
              <w:spacing w:after="0"/>
              <w:rPr>
                <w:sz w:val="20"/>
                <w:szCs w:val="20"/>
                <w:color w:val="auto"/>
              </w:rPr>
            </w:pPr>
            <w:r>
              <w:rPr>
                <w:rFonts w:ascii="Arial" w:cs="Arial" w:eastAsia="Arial" w:hAnsi="Arial"/>
                <w:sz w:val="16"/>
                <w:szCs w:val="16"/>
                <w:color w:val="auto"/>
                <w:w w:val="89"/>
              </w:rPr>
              <w:t>6</w:t>
            </w: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3600" w:type="dxa"/>
            <w:vAlign w:val="bottom"/>
            <w:tcBorders>
              <w:top w:val="single" w:sz="8" w:color="3051F2"/>
              <w:bottom w:val="single" w:sz="8" w:color="3051F2"/>
            </w:tcBorders>
            <w:gridSpan w:val="10"/>
          </w:tcPr>
          <w:p>
            <w:pPr>
              <w:spacing w:after="0"/>
              <w:rPr>
                <w:sz w:val="20"/>
                <w:szCs w:val="20"/>
                <w:color w:val="auto"/>
              </w:rPr>
            </w:pPr>
            <w:r>
              <w:rPr>
                <w:rFonts w:ascii="Arial" w:cs="Arial" w:eastAsia="Arial" w:hAnsi="Arial"/>
                <w:sz w:val="16"/>
                <w:szCs w:val="16"/>
                <w:color w:val="3051F2"/>
                <w:w w:val="90"/>
              </w:rPr>
              <w:t>Notes to Condensed Consolidated Financial Statements</w:t>
            </w:r>
          </w:p>
        </w:tc>
        <w:tc>
          <w:tcPr>
            <w:tcW w:w="260" w:type="dxa"/>
            <w:vAlign w:val="bottom"/>
            <w:tcBorders>
              <w:top w:val="single" w:sz="8" w:color="3051F2"/>
            </w:tcBorders>
          </w:tcPr>
          <w:p>
            <w:pPr>
              <w:spacing w:after="0"/>
              <w:rPr>
                <w:sz w:val="20"/>
                <w:szCs w:val="20"/>
                <w:color w:val="auto"/>
              </w:rPr>
            </w:pPr>
          </w:p>
        </w:tc>
        <w:tc>
          <w:tcPr>
            <w:tcW w:w="220" w:type="dxa"/>
            <w:vAlign w:val="bottom"/>
            <w:tcBorders>
              <w:top w:val="single" w:sz="8" w:color="0000FF"/>
            </w:tcBorders>
            <w:gridSpan w:val="2"/>
          </w:tcPr>
          <w:p>
            <w:pPr>
              <w:spacing w:after="0"/>
              <w:rPr>
                <w:sz w:val="20"/>
                <w:szCs w:val="20"/>
                <w:color w:val="auto"/>
              </w:rPr>
            </w:pPr>
          </w:p>
        </w:tc>
        <w:tc>
          <w:tcPr>
            <w:tcW w:w="2500" w:type="dxa"/>
            <w:vAlign w:val="bottom"/>
            <w:tcBorders>
              <w:top w:val="single" w:sz="8" w:color="3051F2"/>
            </w:tcBorders>
            <w:gridSpan w:val="5"/>
          </w:tcPr>
          <w:p>
            <w:pPr>
              <w:spacing w:after="0"/>
              <w:rPr>
                <w:sz w:val="20"/>
                <w:szCs w:val="20"/>
                <w:color w:val="auto"/>
              </w:rPr>
            </w:pPr>
          </w:p>
        </w:tc>
        <w:tc>
          <w:tcPr>
            <w:tcW w:w="1240" w:type="dxa"/>
            <w:vAlign w:val="bottom"/>
            <w:gridSpan w:val="2"/>
          </w:tcPr>
          <w:p>
            <w:pPr>
              <w:spacing w:after="0"/>
              <w:rPr>
                <w:sz w:val="20"/>
                <w:szCs w:val="20"/>
                <w:color w:val="auto"/>
              </w:rPr>
            </w:pPr>
          </w:p>
        </w:tc>
        <w:tc>
          <w:tcPr>
            <w:tcW w:w="2240" w:type="dxa"/>
            <w:vAlign w:val="bottom"/>
          </w:tcPr>
          <w:p>
            <w:pPr>
              <w:jc w:val="center"/>
              <w:ind w:left="1719"/>
              <w:spacing w:after="0"/>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223"/>
        </w:trPr>
        <w:tc>
          <w:tcPr>
            <w:tcW w:w="1000" w:type="dxa"/>
            <w:vAlign w:val="bottom"/>
          </w:tcPr>
          <w:p>
            <w:pPr>
              <w:spacing w:after="0"/>
              <w:rPr>
                <w:sz w:val="20"/>
                <w:szCs w:val="20"/>
                <w:color w:val="auto"/>
              </w:rPr>
            </w:pPr>
            <w:r>
              <w:rPr>
                <w:rFonts w:ascii="Arial" w:cs="Arial" w:eastAsia="Arial" w:hAnsi="Arial"/>
                <w:sz w:val="16"/>
                <w:szCs w:val="16"/>
                <w:color w:val="auto"/>
              </w:rPr>
              <w:t>Item 2.</w:t>
            </w:r>
          </w:p>
        </w:tc>
        <w:tc>
          <w:tcPr>
            <w:tcW w:w="7820" w:type="dxa"/>
            <w:vAlign w:val="bottom"/>
            <w:gridSpan w:val="20"/>
          </w:tcPr>
          <w:p>
            <w:pPr>
              <w:spacing w:after="0"/>
              <w:rPr>
                <w:sz w:val="20"/>
                <w:szCs w:val="20"/>
                <w:color w:val="auto"/>
              </w:rPr>
            </w:pPr>
            <w:r>
              <w:rPr>
                <w:rFonts w:ascii="Arial" w:cs="Arial" w:eastAsia="Arial" w:hAnsi="Arial"/>
                <w:sz w:val="16"/>
                <w:szCs w:val="16"/>
                <w:color w:val="3051F2"/>
              </w:rPr>
              <w:t>Management’s Discussion and Analysis of Financial Condition and Results of Operations</w:t>
            </w:r>
          </w:p>
        </w:tc>
        <w:tc>
          <w:tcPr>
            <w:tcW w:w="2240" w:type="dxa"/>
            <w:vAlign w:val="bottom"/>
          </w:tcPr>
          <w:p>
            <w:pPr>
              <w:jc w:val="center"/>
              <w:ind w:left="1719"/>
              <w:spacing w:after="0"/>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258"/>
        </w:trPr>
        <w:tc>
          <w:tcPr>
            <w:tcW w:w="1000" w:type="dxa"/>
            <w:vAlign w:val="bottom"/>
            <w:vMerge w:val="restart"/>
          </w:tcPr>
          <w:p>
            <w:pPr>
              <w:spacing w:after="0"/>
              <w:rPr>
                <w:sz w:val="20"/>
                <w:szCs w:val="20"/>
                <w:color w:val="auto"/>
              </w:rPr>
            </w:pPr>
            <w:r>
              <w:rPr>
                <w:rFonts w:ascii="Arial" w:cs="Arial" w:eastAsia="Arial" w:hAnsi="Arial"/>
                <w:sz w:val="16"/>
                <w:szCs w:val="16"/>
                <w:color w:val="auto"/>
              </w:rPr>
              <w:t>Item 3.</w:t>
            </w:r>
          </w:p>
        </w:tc>
        <w:tc>
          <w:tcPr>
            <w:tcW w:w="3920" w:type="dxa"/>
            <w:vAlign w:val="bottom"/>
            <w:tcBorders>
              <w:top w:val="single" w:sz="8" w:color="3051F2"/>
            </w:tcBorders>
            <w:gridSpan w:val="12"/>
            <w:vMerge w:val="restart"/>
          </w:tcPr>
          <w:p>
            <w:pPr>
              <w:spacing w:after="0"/>
              <w:rPr>
                <w:sz w:val="20"/>
                <w:szCs w:val="20"/>
                <w:color w:val="auto"/>
              </w:rPr>
            </w:pPr>
            <w:r>
              <w:rPr>
                <w:rFonts w:ascii="Arial" w:cs="Arial" w:eastAsia="Arial" w:hAnsi="Arial"/>
                <w:sz w:val="16"/>
                <w:szCs w:val="16"/>
                <w:color w:val="3051F2"/>
                <w:w w:val="93"/>
              </w:rPr>
              <w:t>Quantitative and Qualitative Disclosures About Market Risk</w:t>
            </w:r>
          </w:p>
        </w:tc>
        <w:tc>
          <w:tcPr>
            <w:tcW w:w="1880" w:type="dxa"/>
            <w:vAlign w:val="bottom"/>
            <w:tcBorders>
              <w:top w:val="single" w:sz="8" w:color="3051F2"/>
            </w:tcBorders>
            <w:gridSpan w:val="5"/>
            <w:vMerge w:val="restart"/>
          </w:tcPr>
          <w:p>
            <w:pPr>
              <w:spacing w:after="0"/>
              <w:rPr>
                <w:sz w:val="22"/>
                <w:szCs w:val="22"/>
                <w:color w:val="auto"/>
              </w:rPr>
            </w:pPr>
          </w:p>
        </w:tc>
        <w:tc>
          <w:tcPr>
            <w:tcW w:w="2020" w:type="dxa"/>
            <w:vAlign w:val="bottom"/>
            <w:gridSpan w:val="3"/>
            <w:vMerge w:val="restart"/>
          </w:tcPr>
          <w:p>
            <w:pPr>
              <w:spacing w:after="0"/>
              <w:rPr>
                <w:sz w:val="22"/>
                <w:szCs w:val="22"/>
                <w:color w:val="auto"/>
              </w:rPr>
            </w:pPr>
          </w:p>
        </w:tc>
        <w:tc>
          <w:tcPr>
            <w:tcW w:w="2240" w:type="dxa"/>
            <w:vAlign w:val="bottom"/>
          </w:tcPr>
          <w:p>
            <w:pPr>
              <w:jc w:val="center"/>
              <w:ind w:left="1719"/>
              <w:spacing w:after="0"/>
              <w:rPr>
                <w:sz w:val="20"/>
                <w:szCs w:val="20"/>
                <w:color w:val="auto"/>
              </w:rPr>
            </w:pPr>
            <w:r>
              <w:rPr>
                <w:rFonts w:ascii="Arial" w:cs="Arial" w:eastAsia="Arial" w:hAnsi="Arial"/>
                <w:sz w:val="16"/>
                <w:szCs w:val="16"/>
                <w:color w:val="auto"/>
                <w:w w:val="89"/>
              </w:rPr>
              <w:t>33</w:t>
            </w:r>
          </w:p>
        </w:tc>
        <w:tc>
          <w:tcPr>
            <w:tcW w:w="0" w:type="dxa"/>
            <w:vAlign w:val="bottom"/>
          </w:tcPr>
          <w:p>
            <w:pPr>
              <w:spacing w:after="0"/>
              <w:rPr>
                <w:sz w:val="1"/>
                <w:szCs w:val="1"/>
                <w:color w:val="auto"/>
              </w:rPr>
            </w:pPr>
          </w:p>
        </w:tc>
      </w:tr>
      <w:tr>
        <w:trPr>
          <w:trHeight w:val="132"/>
        </w:trPr>
        <w:tc>
          <w:tcPr>
            <w:tcW w:w="1000" w:type="dxa"/>
            <w:vAlign w:val="bottom"/>
            <w:vMerge w:val="continue"/>
          </w:tcPr>
          <w:p>
            <w:pPr>
              <w:spacing w:after="0"/>
              <w:rPr>
                <w:sz w:val="11"/>
                <w:szCs w:val="11"/>
                <w:color w:val="auto"/>
              </w:rPr>
            </w:pPr>
          </w:p>
        </w:tc>
        <w:tc>
          <w:tcPr>
            <w:tcW w:w="3920" w:type="dxa"/>
            <w:vAlign w:val="bottom"/>
            <w:tcBorders>
              <w:bottom w:val="single" w:sz="8" w:color="3051F2"/>
            </w:tcBorders>
            <w:gridSpan w:val="12"/>
            <w:vMerge w:val="continue"/>
          </w:tcPr>
          <w:p>
            <w:pPr>
              <w:spacing w:after="0"/>
              <w:rPr>
                <w:sz w:val="11"/>
                <w:szCs w:val="11"/>
                <w:color w:val="auto"/>
              </w:rPr>
            </w:pPr>
          </w:p>
        </w:tc>
        <w:tc>
          <w:tcPr>
            <w:tcW w:w="1880" w:type="dxa"/>
            <w:vAlign w:val="bottom"/>
            <w:gridSpan w:val="5"/>
            <w:vMerge w:val="continue"/>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1000" w:type="dxa"/>
            <w:vAlign w:val="bottom"/>
            <w:vMerge w:val="restart"/>
          </w:tcPr>
          <w:p>
            <w:pPr>
              <w:spacing w:after="0"/>
              <w:rPr>
                <w:sz w:val="20"/>
                <w:szCs w:val="20"/>
                <w:color w:val="auto"/>
              </w:rPr>
            </w:pPr>
            <w:r>
              <w:rPr>
                <w:rFonts w:ascii="Arial" w:cs="Arial" w:eastAsia="Arial" w:hAnsi="Arial"/>
                <w:sz w:val="16"/>
                <w:szCs w:val="16"/>
                <w:color w:val="auto"/>
              </w:rPr>
              <w:t>Item 4.</w:t>
            </w:r>
          </w:p>
        </w:tc>
        <w:tc>
          <w:tcPr>
            <w:tcW w:w="1600" w:type="dxa"/>
            <w:vAlign w:val="bottom"/>
            <w:gridSpan w:val="6"/>
            <w:vMerge w:val="restart"/>
          </w:tcPr>
          <w:p>
            <w:pPr>
              <w:spacing w:after="0"/>
              <w:rPr>
                <w:sz w:val="20"/>
                <w:szCs w:val="20"/>
                <w:color w:val="auto"/>
              </w:rPr>
            </w:pPr>
            <w:r>
              <w:rPr>
                <w:rFonts w:ascii="Arial" w:cs="Arial" w:eastAsia="Arial" w:hAnsi="Arial"/>
                <w:sz w:val="16"/>
                <w:szCs w:val="16"/>
                <w:color w:val="3051F2"/>
                <w:w w:val="89"/>
              </w:rPr>
              <w:t>Controls and Procedures</w:t>
            </w:r>
          </w:p>
        </w:tc>
        <w:tc>
          <w:tcPr>
            <w:tcW w:w="6220" w:type="dxa"/>
            <w:vAlign w:val="bottom"/>
            <w:gridSpan w:val="14"/>
            <w:vMerge w:val="restart"/>
          </w:tcPr>
          <w:p>
            <w:pPr>
              <w:spacing w:after="0"/>
              <w:rPr>
                <w:sz w:val="23"/>
                <w:szCs w:val="23"/>
                <w:color w:val="auto"/>
              </w:rPr>
            </w:pPr>
          </w:p>
        </w:tc>
        <w:tc>
          <w:tcPr>
            <w:tcW w:w="2240" w:type="dxa"/>
            <w:vAlign w:val="bottom"/>
          </w:tcPr>
          <w:p>
            <w:pPr>
              <w:jc w:val="center"/>
              <w:ind w:left="1719"/>
              <w:spacing w:after="0"/>
              <w:rPr>
                <w:sz w:val="20"/>
                <w:szCs w:val="20"/>
                <w:color w:val="auto"/>
              </w:rPr>
            </w:pPr>
            <w:r>
              <w:rPr>
                <w:rFonts w:ascii="Arial" w:cs="Arial" w:eastAsia="Arial" w:hAnsi="Arial"/>
                <w:sz w:val="16"/>
                <w:szCs w:val="16"/>
                <w:color w:val="auto"/>
                <w:w w:val="89"/>
              </w:rPr>
              <w:t>34</w:t>
            </w:r>
          </w:p>
        </w:tc>
        <w:tc>
          <w:tcPr>
            <w:tcW w:w="0" w:type="dxa"/>
            <w:vAlign w:val="bottom"/>
          </w:tcPr>
          <w:p>
            <w:pPr>
              <w:spacing w:after="0"/>
              <w:rPr>
                <w:sz w:val="1"/>
                <w:szCs w:val="1"/>
                <w:color w:val="auto"/>
              </w:rPr>
            </w:pPr>
          </w:p>
        </w:tc>
      </w:tr>
      <w:tr>
        <w:trPr>
          <w:trHeight w:val="133"/>
        </w:trPr>
        <w:tc>
          <w:tcPr>
            <w:tcW w:w="1000" w:type="dxa"/>
            <w:vAlign w:val="bottom"/>
            <w:vMerge w:val="continue"/>
          </w:tcPr>
          <w:p>
            <w:pPr>
              <w:spacing w:after="0"/>
              <w:rPr>
                <w:sz w:val="11"/>
                <w:szCs w:val="11"/>
                <w:color w:val="auto"/>
              </w:rPr>
            </w:pPr>
          </w:p>
        </w:tc>
        <w:tc>
          <w:tcPr>
            <w:tcW w:w="1600" w:type="dxa"/>
            <w:vAlign w:val="bottom"/>
            <w:tcBorders>
              <w:bottom w:val="single" w:sz="8" w:color="3051F2"/>
            </w:tcBorders>
            <w:gridSpan w:val="6"/>
            <w:vMerge w:val="continue"/>
          </w:tcPr>
          <w:p>
            <w:pPr>
              <w:spacing w:after="0"/>
              <w:rPr>
                <w:sz w:val="11"/>
                <w:szCs w:val="11"/>
                <w:color w:val="auto"/>
              </w:rPr>
            </w:pPr>
          </w:p>
        </w:tc>
        <w:tc>
          <w:tcPr>
            <w:tcW w:w="6220" w:type="dxa"/>
            <w:vAlign w:val="bottom"/>
            <w:gridSpan w:val="14"/>
            <w:vMerge w:val="continue"/>
          </w:tcPr>
          <w:p>
            <w:pPr>
              <w:spacing w:after="0"/>
              <w:rPr>
                <w:sz w:val="11"/>
                <w:szCs w:val="11"/>
                <w:color w:val="auto"/>
              </w:rPr>
            </w:pP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8"/>
        </w:trPr>
        <w:tc>
          <w:tcPr>
            <w:tcW w:w="1000" w:type="dxa"/>
            <w:vAlign w:val="bottom"/>
            <w:vMerge w:val="restart"/>
          </w:tcPr>
          <w:p>
            <w:pPr>
              <w:spacing w:after="0"/>
              <w:rPr>
                <w:sz w:val="20"/>
                <w:szCs w:val="20"/>
                <w:color w:val="auto"/>
              </w:rPr>
            </w:pPr>
            <w:r>
              <w:rPr>
                <w:rFonts w:ascii="Arial" w:cs="Arial" w:eastAsia="Arial" w:hAnsi="Arial"/>
                <w:sz w:val="16"/>
                <w:szCs w:val="16"/>
                <w:b w:val="1"/>
                <w:bCs w:val="1"/>
                <w:color w:val="auto"/>
              </w:rPr>
              <w:t>Part II</w:t>
            </w:r>
          </w:p>
        </w:tc>
        <w:tc>
          <w:tcPr>
            <w:tcW w:w="7820" w:type="dxa"/>
            <w:vAlign w:val="bottom"/>
            <w:gridSpan w:val="20"/>
            <w:vMerge w:val="restart"/>
          </w:tcPr>
          <w:p>
            <w:pPr>
              <w:spacing w:after="0"/>
              <w:rPr>
                <w:sz w:val="20"/>
                <w:szCs w:val="20"/>
                <w:color w:val="auto"/>
              </w:rPr>
            </w:pPr>
            <w:r>
              <w:rPr>
                <w:rFonts w:ascii="Arial" w:cs="Arial" w:eastAsia="Arial" w:hAnsi="Arial"/>
                <w:sz w:val="16"/>
                <w:szCs w:val="16"/>
                <w:b w:val="1"/>
                <w:bCs w:val="1"/>
                <w:color w:val="auto"/>
              </w:rPr>
              <w:t>Other Information</w:t>
            </w:r>
          </w:p>
        </w:tc>
        <w:tc>
          <w:tcPr>
            <w:tcW w:w="2240" w:type="dxa"/>
            <w:vAlign w:val="bottom"/>
          </w:tcPr>
          <w:p>
            <w:pPr>
              <w:jc w:val="center"/>
              <w:ind w:left="1719"/>
              <w:spacing w:after="0"/>
              <w:rPr>
                <w:sz w:val="20"/>
                <w:szCs w:val="20"/>
                <w:color w:val="auto"/>
              </w:rPr>
            </w:pPr>
            <w:r>
              <w:rPr>
                <w:rFonts w:ascii="Arial" w:cs="Arial" w:eastAsia="Arial" w:hAnsi="Arial"/>
                <w:sz w:val="16"/>
                <w:szCs w:val="16"/>
                <w:color w:val="auto"/>
                <w:w w:val="89"/>
              </w:rPr>
              <w:t>35</w:t>
            </w:r>
          </w:p>
        </w:tc>
        <w:tc>
          <w:tcPr>
            <w:tcW w:w="0" w:type="dxa"/>
            <w:vAlign w:val="bottom"/>
          </w:tcPr>
          <w:p>
            <w:pPr>
              <w:spacing w:after="0"/>
              <w:rPr>
                <w:sz w:val="1"/>
                <w:szCs w:val="1"/>
                <w:color w:val="auto"/>
              </w:rPr>
            </w:pPr>
          </w:p>
        </w:tc>
      </w:tr>
      <w:tr>
        <w:trPr>
          <w:trHeight w:val="162"/>
        </w:trPr>
        <w:tc>
          <w:tcPr>
            <w:tcW w:w="1000" w:type="dxa"/>
            <w:vAlign w:val="bottom"/>
            <w:vMerge w:val="continue"/>
          </w:tcPr>
          <w:p>
            <w:pPr>
              <w:spacing w:after="0"/>
              <w:rPr>
                <w:sz w:val="14"/>
                <w:szCs w:val="14"/>
                <w:color w:val="auto"/>
              </w:rPr>
            </w:pPr>
          </w:p>
        </w:tc>
        <w:tc>
          <w:tcPr>
            <w:tcW w:w="7820" w:type="dxa"/>
            <w:vAlign w:val="bottom"/>
            <w:gridSpan w:val="20"/>
            <w:vMerge w:val="continue"/>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000" w:type="dxa"/>
            <w:vAlign w:val="bottom"/>
            <w:vMerge w:val="restart"/>
          </w:tcPr>
          <w:p>
            <w:pPr>
              <w:spacing w:after="0"/>
              <w:rPr>
                <w:sz w:val="20"/>
                <w:szCs w:val="20"/>
                <w:color w:val="auto"/>
              </w:rPr>
            </w:pPr>
            <w:r>
              <w:rPr>
                <w:rFonts w:ascii="Arial" w:cs="Arial" w:eastAsia="Arial" w:hAnsi="Arial"/>
                <w:sz w:val="16"/>
                <w:szCs w:val="16"/>
                <w:color w:val="auto"/>
              </w:rPr>
              <w:t>Item 1.</w:t>
            </w:r>
          </w:p>
        </w:tc>
        <w:tc>
          <w:tcPr>
            <w:tcW w:w="7820" w:type="dxa"/>
            <w:vAlign w:val="bottom"/>
            <w:gridSpan w:val="20"/>
            <w:vMerge w:val="restart"/>
          </w:tcPr>
          <w:p>
            <w:pPr>
              <w:spacing w:after="0"/>
              <w:rPr>
                <w:sz w:val="20"/>
                <w:szCs w:val="20"/>
                <w:color w:val="auto"/>
              </w:rPr>
            </w:pPr>
            <w:r>
              <w:rPr>
                <w:rFonts w:ascii="Arial" w:cs="Arial" w:eastAsia="Arial" w:hAnsi="Arial"/>
                <w:sz w:val="16"/>
                <w:szCs w:val="16"/>
                <w:color w:val="3051F2"/>
              </w:rPr>
              <w:t>Legal Proceedings</w:t>
            </w:r>
          </w:p>
        </w:tc>
        <w:tc>
          <w:tcPr>
            <w:tcW w:w="2240" w:type="dxa"/>
            <w:vAlign w:val="bottom"/>
          </w:tcPr>
          <w:p>
            <w:pPr>
              <w:jc w:val="center"/>
              <w:ind w:left="1719"/>
              <w:spacing w:after="0"/>
              <w:rPr>
                <w:sz w:val="20"/>
                <w:szCs w:val="20"/>
                <w:color w:val="auto"/>
              </w:rPr>
            </w:pPr>
            <w:r>
              <w:rPr>
                <w:rFonts w:ascii="Arial" w:cs="Arial" w:eastAsia="Arial" w:hAnsi="Arial"/>
                <w:sz w:val="16"/>
                <w:szCs w:val="16"/>
                <w:color w:val="auto"/>
                <w:w w:val="89"/>
              </w:rPr>
              <w:t>35</w:t>
            </w:r>
          </w:p>
        </w:tc>
        <w:tc>
          <w:tcPr>
            <w:tcW w:w="0" w:type="dxa"/>
            <w:vAlign w:val="bottom"/>
          </w:tcPr>
          <w:p>
            <w:pPr>
              <w:spacing w:after="0"/>
              <w:rPr>
                <w:sz w:val="1"/>
                <w:szCs w:val="1"/>
                <w:color w:val="auto"/>
              </w:rPr>
            </w:pPr>
          </w:p>
        </w:tc>
      </w:tr>
      <w:tr>
        <w:trPr>
          <w:trHeight w:val="127"/>
        </w:trPr>
        <w:tc>
          <w:tcPr>
            <w:tcW w:w="1000" w:type="dxa"/>
            <w:vAlign w:val="bottom"/>
            <w:vMerge w:val="continue"/>
          </w:tcPr>
          <w:p>
            <w:pPr>
              <w:spacing w:after="0"/>
              <w:rPr>
                <w:sz w:val="11"/>
                <w:szCs w:val="11"/>
                <w:color w:val="auto"/>
              </w:rPr>
            </w:pPr>
          </w:p>
        </w:tc>
        <w:tc>
          <w:tcPr>
            <w:tcW w:w="7820" w:type="dxa"/>
            <w:vAlign w:val="bottom"/>
            <w:gridSpan w:val="20"/>
            <w:vMerge w:val="continue"/>
          </w:tcPr>
          <w:p>
            <w:pPr>
              <w:spacing w:after="0"/>
              <w:rPr>
                <w:sz w:val="11"/>
                <w:szCs w:val="11"/>
                <w:color w:val="auto"/>
              </w:rPr>
            </w:pP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1000" w:type="dxa"/>
            <w:vAlign w:val="bottom"/>
            <w:vMerge w:val="restart"/>
          </w:tcPr>
          <w:p>
            <w:pPr>
              <w:spacing w:after="0"/>
              <w:rPr>
                <w:sz w:val="20"/>
                <w:szCs w:val="20"/>
                <w:color w:val="auto"/>
              </w:rPr>
            </w:pPr>
            <w:r>
              <w:rPr>
                <w:rFonts w:ascii="Arial" w:cs="Arial" w:eastAsia="Arial" w:hAnsi="Arial"/>
                <w:sz w:val="16"/>
                <w:szCs w:val="16"/>
                <w:color w:val="auto"/>
              </w:rPr>
              <w:t>Item 1A.</w:t>
            </w:r>
          </w:p>
        </w:tc>
        <w:tc>
          <w:tcPr>
            <w:tcW w:w="820" w:type="dxa"/>
            <w:vAlign w:val="bottom"/>
            <w:tcBorders>
              <w:top w:val="single" w:sz="8" w:color="3051F2"/>
            </w:tcBorders>
            <w:gridSpan w:val="2"/>
            <w:vMerge w:val="restart"/>
          </w:tcPr>
          <w:p>
            <w:pPr>
              <w:spacing w:after="0"/>
              <w:rPr>
                <w:sz w:val="20"/>
                <w:szCs w:val="20"/>
                <w:color w:val="auto"/>
              </w:rPr>
            </w:pPr>
            <w:r>
              <w:rPr>
                <w:rFonts w:ascii="Arial" w:cs="Arial" w:eastAsia="Arial" w:hAnsi="Arial"/>
                <w:sz w:val="16"/>
                <w:szCs w:val="16"/>
                <w:color w:val="3051F2"/>
                <w:w w:val="89"/>
              </w:rPr>
              <w:t>Risk Factors</w:t>
            </w:r>
          </w:p>
        </w:tc>
        <w:tc>
          <w:tcPr>
            <w:tcW w:w="380" w:type="dxa"/>
            <w:vAlign w:val="bottom"/>
            <w:tcBorders>
              <w:top w:val="single" w:sz="8" w:color="3051F2"/>
            </w:tcBorders>
            <w:gridSpan w:val="2"/>
            <w:vMerge w:val="restart"/>
          </w:tcPr>
          <w:p>
            <w:pPr>
              <w:spacing w:after="0"/>
              <w:rPr>
                <w:sz w:val="23"/>
                <w:szCs w:val="23"/>
                <w:color w:val="auto"/>
              </w:rPr>
            </w:pPr>
          </w:p>
        </w:tc>
        <w:tc>
          <w:tcPr>
            <w:tcW w:w="6620" w:type="dxa"/>
            <w:vAlign w:val="bottom"/>
            <w:gridSpan w:val="16"/>
            <w:vMerge w:val="restart"/>
          </w:tcPr>
          <w:p>
            <w:pPr>
              <w:spacing w:after="0"/>
              <w:rPr>
                <w:sz w:val="23"/>
                <w:szCs w:val="23"/>
                <w:color w:val="auto"/>
              </w:rPr>
            </w:pPr>
          </w:p>
        </w:tc>
        <w:tc>
          <w:tcPr>
            <w:tcW w:w="2240" w:type="dxa"/>
            <w:vAlign w:val="bottom"/>
          </w:tcPr>
          <w:p>
            <w:pPr>
              <w:jc w:val="center"/>
              <w:ind w:left="1719"/>
              <w:spacing w:after="0"/>
              <w:rPr>
                <w:sz w:val="20"/>
                <w:szCs w:val="20"/>
                <w:color w:val="auto"/>
              </w:rPr>
            </w:pPr>
            <w:r>
              <w:rPr>
                <w:rFonts w:ascii="Arial" w:cs="Arial" w:eastAsia="Arial" w:hAnsi="Arial"/>
                <w:sz w:val="16"/>
                <w:szCs w:val="16"/>
                <w:color w:val="auto"/>
                <w:w w:val="89"/>
              </w:rPr>
              <w:t>35</w:t>
            </w:r>
          </w:p>
        </w:tc>
        <w:tc>
          <w:tcPr>
            <w:tcW w:w="0" w:type="dxa"/>
            <w:vAlign w:val="bottom"/>
          </w:tcPr>
          <w:p>
            <w:pPr>
              <w:spacing w:after="0"/>
              <w:rPr>
                <w:sz w:val="1"/>
                <w:szCs w:val="1"/>
                <w:color w:val="auto"/>
              </w:rPr>
            </w:pPr>
          </w:p>
        </w:tc>
      </w:tr>
      <w:tr>
        <w:trPr>
          <w:trHeight w:val="133"/>
        </w:trPr>
        <w:tc>
          <w:tcPr>
            <w:tcW w:w="1000" w:type="dxa"/>
            <w:vAlign w:val="bottom"/>
            <w:vMerge w:val="continue"/>
          </w:tcPr>
          <w:p>
            <w:pPr>
              <w:spacing w:after="0"/>
              <w:rPr>
                <w:sz w:val="11"/>
                <w:szCs w:val="11"/>
                <w:color w:val="auto"/>
              </w:rPr>
            </w:pPr>
          </w:p>
        </w:tc>
        <w:tc>
          <w:tcPr>
            <w:tcW w:w="820" w:type="dxa"/>
            <w:vAlign w:val="bottom"/>
            <w:tcBorders>
              <w:bottom w:val="single" w:sz="8" w:color="3051F2"/>
            </w:tcBorders>
            <w:gridSpan w:val="2"/>
            <w:vMerge w:val="continue"/>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620" w:type="dxa"/>
            <w:vAlign w:val="bottom"/>
            <w:gridSpan w:val="16"/>
            <w:vMerge w:val="continue"/>
          </w:tcPr>
          <w:p>
            <w:pPr>
              <w:spacing w:after="0"/>
              <w:rPr>
                <w:sz w:val="11"/>
                <w:szCs w:val="11"/>
                <w:color w:val="auto"/>
              </w:rPr>
            </w:pP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1000" w:type="dxa"/>
            <w:vAlign w:val="bottom"/>
            <w:vMerge w:val="restart"/>
          </w:tcPr>
          <w:p>
            <w:pPr>
              <w:spacing w:after="0"/>
              <w:rPr>
                <w:sz w:val="20"/>
                <w:szCs w:val="20"/>
                <w:color w:val="auto"/>
              </w:rPr>
            </w:pPr>
            <w:r>
              <w:rPr>
                <w:rFonts w:ascii="Arial" w:cs="Arial" w:eastAsia="Arial" w:hAnsi="Arial"/>
                <w:sz w:val="16"/>
                <w:szCs w:val="16"/>
                <w:color w:val="auto"/>
              </w:rPr>
              <w:t>Item 2.</w:t>
            </w:r>
          </w:p>
        </w:tc>
        <w:tc>
          <w:tcPr>
            <w:tcW w:w="3920" w:type="dxa"/>
            <w:vAlign w:val="bottom"/>
            <w:gridSpan w:val="12"/>
            <w:vMerge w:val="restart"/>
          </w:tcPr>
          <w:p>
            <w:pPr>
              <w:spacing w:after="0"/>
              <w:rPr>
                <w:sz w:val="20"/>
                <w:szCs w:val="20"/>
                <w:color w:val="auto"/>
              </w:rPr>
            </w:pPr>
            <w:r>
              <w:rPr>
                <w:rFonts w:ascii="Arial" w:cs="Arial" w:eastAsia="Arial" w:hAnsi="Arial"/>
                <w:sz w:val="16"/>
                <w:szCs w:val="16"/>
                <w:color w:val="3051F2"/>
                <w:w w:val="90"/>
              </w:rPr>
              <w:t>Unregistered Sales of Equity Securities and Use of Proceeds</w:t>
            </w:r>
          </w:p>
        </w:tc>
        <w:tc>
          <w:tcPr>
            <w:tcW w:w="3900" w:type="dxa"/>
            <w:vAlign w:val="bottom"/>
            <w:gridSpan w:val="8"/>
            <w:vMerge w:val="restart"/>
          </w:tcPr>
          <w:p>
            <w:pPr>
              <w:spacing w:after="0"/>
              <w:rPr>
                <w:sz w:val="22"/>
                <w:szCs w:val="22"/>
                <w:color w:val="auto"/>
              </w:rPr>
            </w:pPr>
          </w:p>
        </w:tc>
        <w:tc>
          <w:tcPr>
            <w:tcW w:w="2240" w:type="dxa"/>
            <w:vAlign w:val="bottom"/>
          </w:tcPr>
          <w:p>
            <w:pPr>
              <w:jc w:val="center"/>
              <w:ind w:left="1719"/>
              <w:spacing w:after="0"/>
              <w:rPr>
                <w:sz w:val="20"/>
                <w:szCs w:val="20"/>
                <w:color w:val="auto"/>
              </w:rPr>
            </w:pPr>
            <w:r>
              <w:rPr>
                <w:rFonts w:ascii="Arial" w:cs="Arial" w:eastAsia="Arial" w:hAnsi="Arial"/>
                <w:sz w:val="16"/>
                <w:szCs w:val="16"/>
                <w:color w:val="auto"/>
                <w:w w:val="89"/>
              </w:rPr>
              <w:t>35</w:t>
            </w:r>
          </w:p>
        </w:tc>
        <w:tc>
          <w:tcPr>
            <w:tcW w:w="0" w:type="dxa"/>
            <w:vAlign w:val="bottom"/>
          </w:tcPr>
          <w:p>
            <w:pPr>
              <w:spacing w:after="0"/>
              <w:rPr>
                <w:sz w:val="1"/>
                <w:szCs w:val="1"/>
                <w:color w:val="auto"/>
              </w:rPr>
            </w:pPr>
          </w:p>
        </w:tc>
      </w:tr>
      <w:tr>
        <w:trPr>
          <w:trHeight w:val="132"/>
        </w:trPr>
        <w:tc>
          <w:tcPr>
            <w:tcW w:w="1000" w:type="dxa"/>
            <w:vAlign w:val="bottom"/>
            <w:vMerge w:val="continue"/>
          </w:tcPr>
          <w:p>
            <w:pPr>
              <w:spacing w:after="0"/>
              <w:rPr>
                <w:sz w:val="11"/>
                <w:szCs w:val="11"/>
                <w:color w:val="auto"/>
              </w:rPr>
            </w:pPr>
          </w:p>
        </w:tc>
        <w:tc>
          <w:tcPr>
            <w:tcW w:w="3920" w:type="dxa"/>
            <w:vAlign w:val="bottom"/>
            <w:tcBorders>
              <w:bottom w:val="single" w:sz="8" w:color="3051F2"/>
            </w:tcBorders>
            <w:gridSpan w:val="12"/>
            <w:vMerge w:val="continue"/>
          </w:tcPr>
          <w:p>
            <w:pPr>
              <w:spacing w:after="0"/>
              <w:rPr>
                <w:sz w:val="11"/>
                <w:szCs w:val="11"/>
                <w:color w:val="auto"/>
              </w:rPr>
            </w:pPr>
          </w:p>
        </w:tc>
        <w:tc>
          <w:tcPr>
            <w:tcW w:w="3900" w:type="dxa"/>
            <w:vAlign w:val="bottom"/>
            <w:gridSpan w:val="8"/>
            <w:vMerge w:val="continue"/>
          </w:tcPr>
          <w:p>
            <w:pPr>
              <w:spacing w:after="0"/>
              <w:rPr>
                <w:sz w:val="11"/>
                <w:szCs w:val="11"/>
                <w:color w:val="auto"/>
              </w:rPr>
            </w:pP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1000" w:type="dxa"/>
            <w:vAlign w:val="bottom"/>
            <w:vMerge w:val="restart"/>
          </w:tcPr>
          <w:p>
            <w:pPr>
              <w:spacing w:after="0"/>
              <w:rPr>
                <w:sz w:val="20"/>
                <w:szCs w:val="20"/>
                <w:color w:val="auto"/>
              </w:rPr>
            </w:pPr>
            <w:r>
              <w:rPr>
                <w:rFonts w:ascii="Arial" w:cs="Arial" w:eastAsia="Arial" w:hAnsi="Arial"/>
                <w:sz w:val="16"/>
                <w:szCs w:val="16"/>
                <w:color w:val="auto"/>
              </w:rPr>
              <w:t>Item 3.</w:t>
            </w:r>
          </w:p>
        </w:tc>
        <w:tc>
          <w:tcPr>
            <w:tcW w:w="2100" w:type="dxa"/>
            <w:vAlign w:val="bottom"/>
            <w:gridSpan w:val="7"/>
            <w:vMerge w:val="restart"/>
          </w:tcPr>
          <w:p>
            <w:pPr>
              <w:spacing w:after="0"/>
              <w:rPr>
                <w:sz w:val="20"/>
                <w:szCs w:val="20"/>
                <w:color w:val="auto"/>
              </w:rPr>
            </w:pPr>
            <w:r>
              <w:rPr>
                <w:rFonts w:ascii="Arial" w:cs="Arial" w:eastAsia="Arial" w:hAnsi="Arial"/>
                <w:sz w:val="16"/>
                <w:szCs w:val="16"/>
                <w:color w:val="3051F2"/>
                <w:w w:val="91"/>
              </w:rPr>
              <w:t>Defaults Upon Senior Securities</w:t>
            </w:r>
          </w:p>
        </w:tc>
        <w:tc>
          <w:tcPr>
            <w:tcW w:w="5720" w:type="dxa"/>
            <w:vAlign w:val="bottom"/>
            <w:gridSpan w:val="13"/>
            <w:vMerge w:val="restart"/>
          </w:tcPr>
          <w:p>
            <w:pPr>
              <w:spacing w:after="0"/>
              <w:rPr>
                <w:sz w:val="23"/>
                <w:szCs w:val="23"/>
                <w:color w:val="auto"/>
              </w:rPr>
            </w:pPr>
          </w:p>
        </w:tc>
        <w:tc>
          <w:tcPr>
            <w:tcW w:w="2240" w:type="dxa"/>
            <w:vAlign w:val="bottom"/>
          </w:tcPr>
          <w:p>
            <w:pPr>
              <w:jc w:val="center"/>
              <w:ind w:left="1719"/>
              <w:spacing w:after="0"/>
              <w:rPr>
                <w:sz w:val="20"/>
                <w:szCs w:val="20"/>
                <w:color w:val="auto"/>
              </w:rPr>
            </w:pPr>
            <w:r>
              <w:rPr>
                <w:rFonts w:ascii="Arial" w:cs="Arial" w:eastAsia="Arial" w:hAnsi="Arial"/>
                <w:sz w:val="16"/>
                <w:szCs w:val="16"/>
                <w:color w:val="auto"/>
                <w:w w:val="89"/>
              </w:rPr>
              <w:t>35</w:t>
            </w:r>
          </w:p>
        </w:tc>
        <w:tc>
          <w:tcPr>
            <w:tcW w:w="0" w:type="dxa"/>
            <w:vAlign w:val="bottom"/>
          </w:tcPr>
          <w:p>
            <w:pPr>
              <w:spacing w:after="0"/>
              <w:rPr>
                <w:sz w:val="1"/>
                <w:szCs w:val="1"/>
                <w:color w:val="auto"/>
              </w:rPr>
            </w:pPr>
          </w:p>
        </w:tc>
      </w:tr>
      <w:tr>
        <w:trPr>
          <w:trHeight w:val="133"/>
        </w:trPr>
        <w:tc>
          <w:tcPr>
            <w:tcW w:w="1000" w:type="dxa"/>
            <w:vAlign w:val="bottom"/>
            <w:vMerge w:val="continue"/>
          </w:tcPr>
          <w:p>
            <w:pPr>
              <w:spacing w:after="0"/>
              <w:rPr>
                <w:sz w:val="11"/>
                <w:szCs w:val="11"/>
                <w:color w:val="auto"/>
              </w:rPr>
            </w:pPr>
          </w:p>
        </w:tc>
        <w:tc>
          <w:tcPr>
            <w:tcW w:w="2100" w:type="dxa"/>
            <w:vAlign w:val="bottom"/>
            <w:tcBorders>
              <w:bottom w:val="single" w:sz="8" w:color="3051F2"/>
            </w:tcBorders>
            <w:gridSpan w:val="7"/>
            <w:vMerge w:val="continue"/>
          </w:tcPr>
          <w:p>
            <w:pPr>
              <w:spacing w:after="0"/>
              <w:rPr>
                <w:sz w:val="11"/>
                <w:szCs w:val="11"/>
                <w:color w:val="auto"/>
              </w:rPr>
            </w:pPr>
          </w:p>
        </w:tc>
        <w:tc>
          <w:tcPr>
            <w:tcW w:w="5720" w:type="dxa"/>
            <w:vAlign w:val="bottom"/>
            <w:gridSpan w:val="13"/>
            <w:vMerge w:val="continue"/>
          </w:tcPr>
          <w:p>
            <w:pPr>
              <w:spacing w:after="0"/>
              <w:rPr>
                <w:sz w:val="11"/>
                <w:szCs w:val="11"/>
                <w:color w:val="auto"/>
              </w:rPr>
            </w:pP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1000" w:type="dxa"/>
            <w:vAlign w:val="bottom"/>
            <w:vMerge w:val="restart"/>
          </w:tcPr>
          <w:p>
            <w:pPr>
              <w:spacing w:after="0"/>
              <w:rPr>
                <w:sz w:val="20"/>
                <w:szCs w:val="20"/>
                <w:color w:val="auto"/>
              </w:rPr>
            </w:pPr>
            <w:r>
              <w:rPr>
                <w:rFonts w:ascii="Arial" w:cs="Arial" w:eastAsia="Arial" w:hAnsi="Arial"/>
                <w:sz w:val="16"/>
                <w:szCs w:val="16"/>
                <w:color w:val="auto"/>
              </w:rPr>
              <w:t>Item 4.</w:t>
            </w:r>
          </w:p>
        </w:tc>
        <w:tc>
          <w:tcPr>
            <w:tcW w:w="1600" w:type="dxa"/>
            <w:vAlign w:val="bottom"/>
            <w:gridSpan w:val="6"/>
            <w:vMerge w:val="restart"/>
          </w:tcPr>
          <w:p>
            <w:pPr>
              <w:spacing w:after="0"/>
              <w:rPr>
                <w:sz w:val="20"/>
                <w:szCs w:val="20"/>
                <w:color w:val="auto"/>
              </w:rPr>
            </w:pPr>
            <w:r>
              <w:rPr>
                <w:rFonts w:ascii="Arial" w:cs="Arial" w:eastAsia="Arial" w:hAnsi="Arial"/>
                <w:sz w:val="16"/>
                <w:szCs w:val="16"/>
                <w:color w:val="3051F2"/>
                <w:w w:val="92"/>
              </w:rPr>
              <w:t>Mine Safety Disclosures</w:t>
            </w:r>
          </w:p>
        </w:tc>
        <w:tc>
          <w:tcPr>
            <w:tcW w:w="6220" w:type="dxa"/>
            <w:vAlign w:val="bottom"/>
            <w:gridSpan w:val="14"/>
            <w:vMerge w:val="restart"/>
          </w:tcPr>
          <w:p>
            <w:pPr>
              <w:spacing w:after="0"/>
              <w:rPr>
                <w:sz w:val="22"/>
                <w:szCs w:val="22"/>
                <w:color w:val="auto"/>
              </w:rPr>
            </w:pPr>
          </w:p>
        </w:tc>
        <w:tc>
          <w:tcPr>
            <w:tcW w:w="2240" w:type="dxa"/>
            <w:vAlign w:val="bottom"/>
          </w:tcPr>
          <w:p>
            <w:pPr>
              <w:jc w:val="center"/>
              <w:ind w:left="1719"/>
              <w:spacing w:after="0"/>
              <w:rPr>
                <w:sz w:val="20"/>
                <w:szCs w:val="20"/>
                <w:color w:val="auto"/>
              </w:rPr>
            </w:pPr>
            <w:r>
              <w:rPr>
                <w:rFonts w:ascii="Arial" w:cs="Arial" w:eastAsia="Arial" w:hAnsi="Arial"/>
                <w:sz w:val="16"/>
                <w:szCs w:val="16"/>
                <w:color w:val="auto"/>
                <w:w w:val="89"/>
              </w:rPr>
              <w:t>35</w:t>
            </w:r>
          </w:p>
        </w:tc>
        <w:tc>
          <w:tcPr>
            <w:tcW w:w="0" w:type="dxa"/>
            <w:vAlign w:val="bottom"/>
          </w:tcPr>
          <w:p>
            <w:pPr>
              <w:spacing w:after="0"/>
              <w:rPr>
                <w:sz w:val="1"/>
                <w:szCs w:val="1"/>
                <w:color w:val="auto"/>
              </w:rPr>
            </w:pPr>
          </w:p>
        </w:tc>
      </w:tr>
      <w:tr>
        <w:trPr>
          <w:trHeight w:val="133"/>
        </w:trPr>
        <w:tc>
          <w:tcPr>
            <w:tcW w:w="1000" w:type="dxa"/>
            <w:vAlign w:val="bottom"/>
            <w:vMerge w:val="continue"/>
          </w:tcPr>
          <w:p>
            <w:pPr>
              <w:spacing w:after="0"/>
              <w:rPr>
                <w:sz w:val="11"/>
                <w:szCs w:val="11"/>
                <w:color w:val="auto"/>
              </w:rPr>
            </w:pPr>
          </w:p>
        </w:tc>
        <w:tc>
          <w:tcPr>
            <w:tcW w:w="1600" w:type="dxa"/>
            <w:vAlign w:val="bottom"/>
            <w:tcBorders>
              <w:bottom w:val="single" w:sz="8" w:color="3051F2"/>
            </w:tcBorders>
            <w:gridSpan w:val="6"/>
            <w:vMerge w:val="continue"/>
          </w:tcPr>
          <w:p>
            <w:pPr>
              <w:spacing w:after="0"/>
              <w:rPr>
                <w:sz w:val="11"/>
                <w:szCs w:val="11"/>
                <w:color w:val="auto"/>
              </w:rPr>
            </w:pPr>
          </w:p>
        </w:tc>
        <w:tc>
          <w:tcPr>
            <w:tcW w:w="6220" w:type="dxa"/>
            <w:vAlign w:val="bottom"/>
            <w:gridSpan w:val="14"/>
            <w:vMerge w:val="continue"/>
          </w:tcPr>
          <w:p>
            <w:pPr>
              <w:spacing w:after="0"/>
              <w:rPr>
                <w:sz w:val="11"/>
                <w:szCs w:val="11"/>
                <w:color w:val="auto"/>
              </w:rPr>
            </w:pP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1000" w:type="dxa"/>
            <w:vAlign w:val="bottom"/>
            <w:vMerge w:val="restart"/>
          </w:tcPr>
          <w:p>
            <w:pPr>
              <w:spacing w:after="0"/>
              <w:rPr>
                <w:sz w:val="20"/>
                <w:szCs w:val="20"/>
                <w:color w:val="auto"/>
              </w:rPr>
            </w:pPr>
            <w:r>
              <w:rPr>
                <w:rFonts w:ascii="Arial" w:cs="Arial" w:eastAsia="Arial" w:hAnsi="Arial"/>
                <w:sz w:val="16"/>
                <w:szCs w:val="16"/>
                <w:color w:val="auto"/>
              </w:rPr>
              <w:t>Item 5.</w:t>
            </w:r>
          </w:p>
        </w:tc>
        <w:tc>
          <w:tcPr>
            <w:tcW w:w="7820" w:type="dxa"/>
            <w:vAlign w:val="bottom"/>
            <w:gridSpan w:val="20"/>
            <w:vMerge w:val="restart"/>
          </w:tcPr>
          <w:p>
            <w:pPr>
              <w:spacing w:after="0"/>
              <w:rPr>
                <w:sz w:val="20"/>
                <w:szCs w:val="20"/>
                <w:color w:val="auto"/>
              </w:rPr>
            </w:pPr>
            <w:r>
              <w:rPr>
                <w:rFonts w:ascii="Arial" w:cs="Arial" w:eastAsia="Arial" w:hAnsi="Arial"/>
                <w:sz w:val="16"/>
                <w:szCs w:val="16"/>
                <w:color w:val="3051F2"/>
              </w:rPr>
              <w:t>Other Information</w:t>
            </w:r>
          </w:p>
        </w:tc>
        <w:tc>
          <w:tcPr>
            <w:tcW w:w="2240" w:type="dxa"/>
            <w:vAlign w:val="bottom"/>
          </w:tcPr>
          <w:p>
            <w:pPr>
              <w:jc w:val="center"/>
              <w:ind w:left="1719"/>
              <w:spacing w:after="0"/>
              <w:rPr>
                <w:sz w:val="20"/>
                <w:szCs w:val="20"/>
                <w:color w:val="auto"/>
              </w:rPr>
            </w:pPr>
            <w:r>
              <w:rPr>
                <w:rFonts w:ascii="Arial" w:cs="Arial" w:eastAsia="Arial" w:hAnsi="Arial"/>
                <w:sz w:val="16"/>
                <w:szCs w:val="16"/>
                <w:color w:val="auto"/>
                <w:w w:val="89"/>
              </w:rPr>
              <w:t>35</w:t>
            </w:r>
          </w:p>
        </w:tc>
        <w:tc>
          <w:tcPr>
            <w:tcW w:w="0" w:type="dxa"/>
            <w:vAlign w:val="bottom"/>
          </w:tcPr>
          <w:p>
            <w:pPr>
              <w:spacing w:after="0"/>
              <w:rPr>
                <w:sz w:val="1"/>
                <w:szCs w:val="1"/>
                <w:color w:val="auto"/>
              </w:rPr>
            </w:pPr>
          </w:p>
        </w:tc>
      </w:tr>
      <w:tr>
        <w:trPr>
          <w:trHeight w:val="128"/>
        </w:trPr>
        <w:tc>
          <w:tcPr>
            <w:tcW w:w="1000" w:type="dxa"/>
            <w:vAlign w:val="bottom"/>
            <w:vMerge w:val="continue"/>
          </w:tcPr>
          <w:p>
            <w:pPr>
              <w:spacing w:after="0"/>
              <w:rPr>
                <w:sz w:val="11"/>
                <w:szCs w:val="11"/>
                <w:color w:val="auto"/>
              </w:rPr>
            </w:pPr>
          </w:p>
        </w:tc>
        <w:tc>
          <w:tcPr>
            <w:tcW w:w="7820" w:type="dxa"/>
            <w:vAlign w:val="bottom"/>
            <w:gridSpan w:val="20"/>
            <w:vMerge w:val="continue"/>
          </w:tcPr>
          <w:p>
            <w:pPr>
              <w:spacing w:after="0"/>
              <w:rPr>
                <w:sz w:val="11"/>
                <w:szCs w:val="11"/>
                <w:color w:val="auto"/>
              </w:rPr>
            </w:pP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1000" w:type="dxa"/>
            <w:vAlign w:val="bottom"/>
            <w:vMerge w:val="restart"/>
          </w:tcPr>
          <w:p>
            <w:pPr>
              <w:spacing w:after="0"/>
              <w:rPr>
                <w:sz w:val="20"/>
                <w:szCs w:val="20"/>
                <w:color w:val="auto"/>
              </w:rPr>
            </w:pPr>
            <w:r>
              <w:rPr>
                <w:rFonts w:ascii="Arial" w:cs="Arial" w:eastAsia="Arial" w:hAnsi="Arial"/>
                <w:sz w:val="16"/>
                <w:szCs w:val="16"/>
                <w:color w:val="auto"/>
              </w:rPr>
              <w:t>Item 6.</w:t>
            </w:r>
          </w:p>
        </w:tc>
        <w:tc>
          <w:tcPr>
            <w:tcW w:w="1180" w:type="dxa"/>
            <w:vAlign w:val="bottom"/>
            <w:tcBorders>
              <w:top w:val="single" w:sz="8" w:color="3051F2"/>
            </w:tcBorders>
            <w:gridSpan w:val="3"/>
            <w:vMerge w:val="restart"/>
          </w:tcPr>
          <w:p>
            <w:pPr>
              <w:spacing w:after="0"/>
              <w:rPr>
                <w:sz w:val="20"/>
                <w:szCs w:val="20"/>
                <w:color w:val="auto"/>
              </w:rPr>
            </w:pPr>
            <w:r>
              <w:rPr>
                <w:rFonts w:ascii="Arial" w:cs="Arial" w:eastAsia="Arial" w:hAnsi="Arial"/>
                <w:sz w:val="16"/>
                <w:szCs w:val="16"/>
                <w:color w:val="3051F2"/>
              </w:rPr>
              <w:t>Exhibits</w:t>
            </w:r>
          </w:p>
        </w:tc>
        <w:tc>
          <w:tcPr>
            <w:tcW w:w="6640" w:type="dxa"/>
            <w:vAlign w:val="bottom"/>
            <w:gridSpan w:val="17"/>
            <w:vMerge w:val="restart"/>
          </w:tcPr>
          <w:p>
            <w:pPr>
              <w:spacing w:after="0"/>
              <w:rPr>
                <w:sz w:val="23"/>
                <w:szCs w:val="23"/>
                <w:color w:val="auto"/>
              </w:rPr>
            </w:pPr>
          </w:p>
        </w:tc>
        <w:tc>
          <w:tcPr>
            <w:tcW w:w="2240" w:type="dxa"/>
            <w:vAlign w:val="bottom"/>
          </w:tcPr>
          <w:p>
            <w:pPr>
              <w:jc w:val="center"/>
              <w:ind w:left="1719"/>
              <w:spacing w:after="0"/>
              <w:rPr>
                <w:sz w:val="20"/>
                <w:szCs w:val="20"/>
                <w:color w:val="auto"/>
              </w:rPr>
            </w:pPr>
            <w:r>
              <w:rPr>
                <w:rFonts w:ascii="Arial" w:cs="Arial" w:eastAsia="Arial" w:hAnsi="Arial"/>
                <w:sz w:val="16"/>
                <w:szCs w:val="16"/>
                <w:color w:val="auto"/>
                <w:w w:val="89"/>
              </w:rPr>
              <w:t>36</w:t>
            </w:r>
          </w:p>
        </w:tc>
        <w:tc>
          <w:tcPr>
            <w:tcW w:w="0" w:type="dxa"/>
            <w:vAlign w:val="bottom"/>
          </w:tcPr>
          <w:p>
            <w:pPr>
              <w:spacing w:after="0"/>
              <w:rPr>
                <w:sz w:val="1"/>
                <w:szCs w:val="1"/>
                <w:color w:val="auto"/>
              </w:rPr>
            </w:pPr>
          </w:p>
        </w:tc>
      </w:tr>
      <w:tr>
        <w:trPr>
          <w:trHeight w:val="128"/>
        </w:trPr>
        <w:tc>
          <w:tcPr>
            <w:tcW w:w="1000" w:type="dxa"/>
            <w:vAlign w:val="bottom"/>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6640" w:type="dxa"/>
            <w:vAlign w:val="bottom"/>
            <w:gridSpan w:val="17"/>
            <w:vMerge w:val="continue"/>
          </w:tcPr>
          <w:p>
            <w:pPr>
              <w:spacing w:after="0"/>
              <w:rPr>
                <w:sz w:val="11"/>
                <w:szCs w:val="11"/>
                <w:color w:val="auto"/>
              </w:rPr>
            </w:pP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8"/>
        </w:trPr>
        <w:tc>
          <w:tcPr>
            <w:tcW w:w="1000" w:type="dxa"/>
            <w:vAlign w:val="bottom"/>
            <w:vMerge w:val="restart"/>
          </w:tcPr>
          <w:p>
            <w:pPr>
              <w:spacing w:after="0"/>
              <w:rPr>
                <w:sz w:val="20"/>
                <w:szCs w:val="20"/>
                <w:color w:val="auto"/>
              </w:rPr>
            </w:pPr>
            <w:r>
              <w:rPr>
                <w:rFonts w:ascii="Arial" w:cs="Arial" w:eastAsia="Arial" w:hAnsi="Arial"/>
                <w:sz w:val="16"/>
                <w:szCs w:val="16"/>
                <w:b w:val="1"/>
                <w:bCs w:val="1"/>
                <w:color w:val="auto"/>
              </w:rPr>
              <w:t>Signatures</w:t>
            </w:r>
          </w:p>
        </w:tc>
        <w:tc>
          <w:tcPr>
            <w:tcW w:w="540" w:type="dxa"/>
            <w:vAlign w:val="bottom"/>
            <w:tcBorders>
              <w:top w:val="single" w:sz="8" w:color="3051F2"/>
            </w:tcBorders>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40" w:type="dxa"/>
            <w:vAlign w:val="bottom"/>
          </w:tcPr>
          <w:p>
            <w:pPr>
              <w:jc w:val="center"/>
              <w:ind w:left="1719"/>
              <w:spacing w:after="0"/>
              <w:rPr>
                <w:sz w:val="20"/>
                <w:szCs w:val="20"/>
                <w:color w:val="auto"/>
              </w:rPr>
            </w:pPr>
            <w:r>
              <w:rPr>
                <w:rFonts w:ascii="Arial" w:cs="Arial" w:eastAsia="Arial" w:hAnsi="Arial"/>
                <w:sz w:val="16"/>
                <w:szCs w:val="16"/>
                <w:color w:val="auto"/>
                <w:w w:val="89"/>
              </w:rPr>
              <w:t>37</w:t>
            </w:r>
          </w:p>
        </w:tc>
        <w:tc>
          <w:tcPr>
            <w:tcW w:w="0" w:type="dxa"/>
            <w:vAlign w:val="bottom"/>
          </w:tcPr>
          <w:p>
            <w:pPr>
              <w:spacing w:after="0"/>
              <w:rPr>
                <w:sz w:val="1"/>
                <w:szCs w:val="1"/>
                <w:color w:val="auto"/>
              </w:rPr>
            </w:pPr>
          </w:p>
        </w:tc>
      </w:tr>
      <w:tr>
        <w:trPr>
          <w:trHeight w:val="162"/>
        </w:trPr>
        <w:tc>
          <w:tcPr>
            <w:tcW w:w="10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0" w:right="49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This Quarterly Report on Form 10-Q contains forward-looking statements that involve substantial risks and uncertainties. All statements other than statements of historical facts contained in this Quarterly Report on Form 10-Q, including statements regarding future events or our future results of operations, financial condition, business, strategies, financial needs, and the plans and objectives of management, are forward-looking statements. In some cases, you can identify forward-looking statements because they contain words such as “anticipate,” “believe,” “continue,” “could,” “estimate,” “expect,” “intend,” “may,” “might,” “likely,” “plan,” “potential,” “predict,” “project,” “seek,” “should,” “target,” “will,” “would,” or similar expressions and the negatives of those terms. These forward-looking statements include, but are not limited to, statements concerning the following:</w:t>
      </w:r>
    </w:p>
    <w:p>
      <w:pPr>
        <w:spacing w:after="0" w:line="145" w:lineRule="exact"/>
        <w:rPr>
          <w:sz w:val="20"/>
          <w:szCs w:val="20"/>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our revenue, expenses, and other operating results;</w:t>
      </w:r>
    </w:p>
    <w:p>
      <w:pPr>
        <w:spacing w:after="0" w:line="59"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acquire new customers and successfully retain existing customers;</w:t>
      </w:r>
    </w:p>
    <w:p>
      <w:pPr>
        <w:spacing w:after="0" w:line="72"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new products and services and bring them to market in a timely manner;</w:t>
      </w:r>
    </w:p>
    <w:p>
      <w:pPr>
        <w:spacing w:after="0" w:line="59"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achieve or sustain our profitability;</w:t>
      </w:r>
    </w:p>
    <w:p>
      <w:pPr>
        <w:spacing w:after="0" w:line="59"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and expand our strategic relationships with third parties;</w:t>
      </w:r>
    </w:p>
    <w:p>
      <w:pPr>
        <w:spacing w:after="0" w:line="72"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plan and our ability to effectively manage our growth;</w:t>
      </w:r>
    </w:p>
    <w:p>
      <w:pPr>
        <w:spacing w:after="0" w:line="59"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market opportunity, including our total addressable market;</w:t>
      </w:r>
    </w:p>
    <w:p>
      <w:pPr>
        <w:spacing w:after="0" w:line="59"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anticipated trends, growth rates, and challenges in our business and in the markets in which we operate;</w:t>
      </w:r>
    </w:p>
    <w:p>
      <w:pPr>
        <w:spacing w:after="0" w:line="72"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and retain qualified employees;</w:t>
      </w:r>
    </w:p>
    <w:p>
      <w:pPr>
        <w:spacing w:after="0" w:line="59" w:lineRule="exact"/>
        <w:rPr>
          <w:rFonts w:ascii="Arial" w:cs="Arial" w:eastAsia="Arial" w:hAnsi="Arial"/>
          <w:sz w:val="16"/>
          <w:szCs w:val="16"/>
          <w:color w:val="auto"/>
        </w:rPr>
      </w:pPr>
    </w:p>
    <w:p>
      <w:pPr>
        <w:ind w:left="660" w:right="520" w:hanging="328"/>
        <w:spacing w:after="0" w:line="290" w:lineRule="auto"/>
        <w:tabs>
          <w:tab w:leader="none" w:pos="555"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uncertainties regarding the impact of general economic and market conditions, including as a result of currency fluctuations, inflation, or regional and global conflicts or related government sanctions;</w:t>
      </w: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the security and availability of our solutions;</w:t>
      </w:r>
    </w:p>
    <w:p>
      <w:pPr>
        <w:spacing w:after="0" w:line="59"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our money transmission licenses and other regulatory approvals;</w:t>
      </w:r>
    </w:p>
    <w:p>
      <w:pPr>
        <w:spacing w:after="0" w:line="72"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and expand internationally; and</w:t>
      </w:r>
    </w:p>
    <w:p>
      <w:pPr>
        <w:spacing w:after="0" w:line="59"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expectations regarding anticipated technology needs and developments and our ability to address those needs and developments with our solutions.</w:t>
      </w:r>
    </w:p>
    <w:p>
      <w:pPr>
        <w:spacing w:after="0" w:line="192" w:lineRule="exact"/>
        <w:rPr>
          <w:sz w:val="20"/>
          <w:szCs w:val="20"/>
          <w:color w:val="auto"/>
        </w:rPr>
      </w:pPr>
    </w:p>
    <w:p>
      <w:pPr>
        <w:ind w:right="20"/>
        <w:spacing w:after="0" w:line="275" w:lineRule="auto"/>
        <w:rPr>
          <w:sz w:val="20"/>
          <w:szCs w:val="20"/>
          <w:color w:val="auto"/>
        </w:rPr>
      </w:pPr>
      <w:r>
        <w:rPr>
          <w:rFonts w:ascii="Arial" w:cs="Arial" w:eastAsia="Arial" w:hAnsi="Arial"/>
          <w:sz w:val="15"/>
          <w:szCs w:val="15"/>
          <w:color w:val="auto"/>
        </w:rPr>
        <w:t>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 These forward-looking statements are subject to a number of risks, uncertainties and assumptions, including those described in “Risk Factors” in this Quarterly Report on Form 10-Q.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w:t>
      </w:r>
    </w:p>
    <w:p>
      <w:pPr>
        <w:spacing w:after="0" w:line="125" w:lineRule="exact"/>
        <w:rPr>
          <w:sz w:val="20"/>
          <w:szCs w:val="20"/>
          <w:color w:val="auto"/>
        </w:rPr>
      </w:pPr>
    </w:p>
    <w:p>
      <w:pPr>
        <w:ind w:right="540"/>
        <w:spacing w:after="0" w:line="293" w:lineRule="auto"/>
        <w:rPr>
          <w:sz w:val="20"/>
          <w:szCs w:val="20"/>
          <w:color w:val="auto"/>
        </w:rPr>
      </w:pPr>
      <w:r>
        <w:rPr>
          <w:rFonts w:ascii="Arial" w:cs="Arial" w:eastAsia="Arial" w:hAnsi="Arial"/>
          <w:sz w:val="16"/>
          <w:szCs w:val="16"/>
          <w:color w:val="auto"/>
        </w:rPr>
        <w:t>Unless the context otherwise requires, the terms “Remitly Global,” “Remitly,” “the Company,” “we,” “us,” and “our” in this Quarterly Report on Form 10-Q refer to Remitly Global, Inc. and our consolidated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1.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 (Unaudited)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REMITLY GLOBAL, INC.</w:t>
      </w:r>
    </w:p>
    <w:p>
      <w:pPr>
        <w:spacing w:after="0" w:line="26"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4" w:lineRule="exact"/>
        <w:rPr>
          <w:sz w:val="20"/>
          <w:szCs w:val="20"/>
          <w:color w:val="auto"/>
        </w:rPr>
      </w:pPr>
    </w:p>
    <w:p>
      <w:pPr>
        <w:ind w:left="42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thousands, except share and per share data</w:t>
      </w:r>
      <w:r>
        <w:rPr>
          <w:rFonts w:ascii="Arial" w:cs="Arial" w:eastAsia="Arial" w:hAnsi="Arial"/>
          <w:sz w:val="14"/>
          <w:szCs w:val="14"/>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419"/>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43"/>
        </w:trPr>
        <w:tc>
          <w:tcPr>
            <w:tcW w:w="8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33"/>
        </w:trPr>
        <w:tc>
          <w:tcPr>
            <w:tcW w:w="8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227,507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300,635</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6"/>
                <w:szCs w:val="16"/>
                <w:color w:val="auto"/>
              </w:rPr>
              <w:t>Disbursement prefunding</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281,940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158,055</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Customer funds receivable, net</w:t>
            </w: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138,870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191,402</w:t>
            </w:r>
          </w:p>
        </w:tc>
        <w:tc>
          <w:tcPr>
            <w:tcW w:w="0" w:type="dxa"/>
            <w:vAlign w:val="bottom"/>
          </w:tcPr>
          <w:p>
            <w:pPr>
              <w:spacing w:after="0"/>
              <w:rPr>
                <w:sz w:val="1"/>
                <w:szCs w:val="1"/>
                <w:color w:val="auto"/>
              </w:rPr>
            </w:pPr>
          </w:p>
        </w:tc>
      </w:tr>
      <w:tr>
        <w:trPr>
          <w:trHeight w:val="240"/>
        </w:trPr>
        <w:tc>
          <w:tcPr>
            <w:tcW w:w="8020" w:type="dxa"/>
            <w:vAlign w:val="bottom"/>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30,848</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19,327</w:t>
            </w:r>
          </w:p>
        </w:tc>
        <w:tc>
          <w:tcPr>
            <w:tcW w:w="0" w:type="dxa"/>
            <w:vAlign w:val="bottom"/>
          </w:tcPr>
          <w:p>
            <w:pPr>
              <w:spacing w:after="0"/>
              <w:rPr>
                <w:sz w:val="1"/>
                <w:szCs w:val="1"/>
                <w:color w:val="auto"/>
              </w:rPr>
            </w:pPr>
          </w:p>
        </w:tc>
      </w:tr>
      <w:tr>
        <w:trPr>
          <w:trHeight w:val="233"/>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679,165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669,419</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13,380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11,546</w:t>
            </w:r>
          </w:p>
        </w:tc>
        <w:tc>
          <w:tcPr>
            <w:tcW w:w="0" w:type="dxa"/>
            <w:vAlign w:val="bottom"/>
          </w:tcPr>
          <w:p>
            <w:pPr>
              <w:spacing w:after="0"/>
              <w:rPr>
                <w:sz w:val="1"/>
                <w:szCs w:val="1"/>
                <w:color w:val="auto"/>
              </w:rPr>
            </w:pPr>
          </w:p>
        </w:tc>
      </w:tr>
      <w:tr>
        <w:trPr>
          <w:trHeight w:val="24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8,675</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54,940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 net</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6,313</w:t>
            </w:r>
          </w:p>
        </w:tc>
        <w:tc>
          <w:tcPr>
            <w:tcW w:w="0" w:type="dxa"/>
            <w:vAlign w:val="bottom"/>
          </w:tcPr>
          <w:p>
            <w:pPr>
              <w:spacing w:after="0"/>
              <w:rPr>
                <w:sz w:val="1"/>
                <w:szCs w:val="1"/>
                <w:color w:val="auto"/>
              </w:rPr>
            </w:pPr>
          </w:p>
        </w:tc>
      </w:tr>
      <w:tr>
        <w:trPr>
          <w:trHeight w:val="263"/>
        </w:trPr>
        <w:tc>
          <w:tcPr>
            <w:tcW w:w="8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784,527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695,953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02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17,608</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6,794</w:t>
            </w:r>
          </w:p>
        </w:tc>
        <w:tc>
          <w:tcPr>
            <w:tcW w:w="0" w:type="dxa"/>
            <w:vAlign w:val="bottom"/>
          </w:tcPr>
          <w:p>
            <w:pPr>
              <w:spacing w:after="0"/>
              <w:rPr>
                <w:sz w:val="1"/>
                <w:szCs w:val="1"/>
                <w:color w:val="auto"/>
              </w:rPr>
            </w:pPr>
          </w:p>
        </w:tc>
      </w:tr>
      <w:tr>
        <w:trPr>
          <w:trHeight w:val="246"/>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Customer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102,262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111,075</w:t>
            </w:r>
          </w:p>
        </w:tc>
        <w:tc>
          <w:tcPr>
            <w:tcW w:w="0" w:type="dxa"/>
            <w:vAlign w:val="bottom"/>
          </w:tcPr>
          <w:p>
            <w:pPr>
              <w:spacing w:after="0"/>
              <w:rPr>
                <w:sz w:val="1"/>
                <w:szCs w:val="1"/>
                <w:color w:val="auto"/>
              </w:rPr>
            </w:pPr>
          </w:p>
        </w:tc>
      </w:tr>
      <w:tr>
        <w:trPr>
          <w:trHeight w:val="233"/>
        </w:trPr>
        <w:tc>
          <w:tcPr>
            <w:tcW w:w="8020" w:type="dxa"/>
            <w:vAlign w:val="bottom"/>
          </w:tcPr>
          <w:p>
            <w:pPr>
              <w:ind w:left="240"/>
              <w:spacing w:after="0"/>
              <w:rPr>
                <w:sz w:val="20"/>
                <w:szCs w:val="20"/>
                <w:color w:val="auto"/>
              </w:rPr>
            </w:pPr>
            <w:r>
              <w:rPr>
                <w:rFonts w:ascii="Arial" w:cs="Arial" w:eastAsia="Arial" w:hAnsi="Arial"/>
                <w:sz w:val="16"/>
                <w:szCs w:val="16"/>
                <w:color w:val="auto"/>
              </w:rPr>
              <w:t>Short-term debt</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98,717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87,752</w:t>
            </w: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Operating lease liabilities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3,521</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226,656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209,142</w:t>
            </w:r>
          </w:p>
        </w:tc>
        <w:tc>
          <w:tcPr>
            <w:tcW w:w="0" w:type="dxa"/>
            <w:vAlign w:val="bottom"/>
          </w:tcPr>
          <w:p>
            <w:pPr>
              <w:spacing w:after="0"/>
              <w:rPr>
                <w:sz w:val="1"/>
                <w:szCs w:val="1"/>
                <w:color w:val="auto"/>
              </w:rPr>
            </w:pPr>
          </w:p>
        </w:tc>
      </w:tr>
      <w:tr>
        <w:trPr>
          <w:trHeight w:val="224"/>
        </w:trPr>
        <w:tc>
          <w:tcPr>
            <w:tcW w:w="8020" w:type="dxa"/>
            <w:vAlign w:val="bottom"/>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7,239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5,674</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802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liabilities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268,790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215,866</w:t>
            </w:r>
          </w:p>
        </w:tc>
        <w:tc>
          <w:tcPr>
            <w:tcW w:w="0" w:type="dxa"/>
            <w:vAlign w:val="bottom"/>
          </w:tcPr>
          <w:p>
            <w:pPr>
              <w:spacing w:after="0"/>
              <w:rPr>
                <w:sz w:val="1"/>
                <w:szCs w:val="1"/>
                <w:color w:val="auto"/>
              </w:rPr>
            </w:pP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Commitments and Contingencies (Note 14)</w:t>
            </w: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020" w:type="dxa"/>
            <w:vAlign w:val="bottom"/>
          </w:tcPr>
          <w:p>
            <w:pPr>
              <w:ind w:left="260"/>
              <w:spacing w:after="0"/>
              <w:rPr>
                <w:sz w:val="20"/>
                <w:szCs w:val="20"/>
                <w:color w:val="auto"/>
              </w:rPr>
            </w:pPr>
            <w:r>
              <w:rPr>
                <w:rFonts w:ascii="Arial" w:cs="Arial" w:eastAsia="Arial" w:hAnsi="Arial"/>
                <w:sz w:val="16"/>
                <w:szCs w:val="16"/>
                <w:color w:val="auto"/>
                <w:w w:val="92"/>
              </w:rPr>
              <w:t>Common stock, $0.0001 par value; 725,000,000 shares authorized as of June 30, 2023 and December 31, 2022 both;</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020" w:type="dxa"/>
            <w:vAlign w:val="bottom"/>
          </w:tcPr>
          <w:p>
            <w:pPr>
              <w:ind w:left="440"/>
              <w:spacing w:after="0"/>
              <w:rPr>
                <w:sz w:val="20"/>
                <w:szCs w:val="20"/>
                <w:color w:val="auto"/>
              </w:rPr>
            </w:pPr>
            <w:r>
              <w:rPr>
                <w:rFonts w:ascii="Arial" w:cs="Arial" w:eastAsia="Arial" w:hAnsi="Arial"/>
                <w:sz w:val="16"/>
                <w:szCs w:val="16"/>
                <w:color w:val="auto"/>
                <w:w w:val="98"/>
              </w:rPr>
              <w:t>181,161,726 and 173,250,865 shares issued and outstanding, as of June 30, 2023 and December 31, 2022,</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6"/>
                <w:szCs w:val="16"/>
                <w:color w:val="auto"/>
              </w:rPr>
              <w:t>respectively</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46"/>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936,496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854,276</w:t>
            </w:r>
          </w:p>
        </w:tc>
        <w:tc>
          <w:tcPr>
            <w:tcW w:w="0" w:type="dxa"/>
            <w:vAlign w:val="bottom"/>
          </w:tcPr>
          <w:p>
            <w:pPr>
              <w:spacing w:after="0"/>
              <w:rPr>
                <w:sz w:val="1"/>
                <w:szCs w:val="1"/>
                <w:color w:val="auto"/>
              </w:rPr>
            </w:pPr>
          </w:p>
        </w:tc>
      </w:tr>
      <w:tr>
        <w:trPr>
          <w:trHeight w:val="233"/>
        </w:trPr>
        <w:tc>
          <w:tcPr>
            <w:tcW w:w="8020" w:type="dxa"/>
            <w:vAlign w:val="bottom"/>
          </w:tcPr>
          <w:p>
            <w:pPr>
              <w:ind w:left="24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(743)</w:t>
            </w: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Accumulated deficit</w:t>
            </w: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(420,627)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(373,463)</w:t>
            </w:r>
          </w:p>
        </w:tc>
        <w:tc>
          <w:tcPr>
            <w:tcW w:w="0" w:type="dxa"/>
            <w:vAlign w:val="bottom"/>
          </w:tcPr>
          <w:p>
            <w:pPr>
              <w:spacing w:after="0"/>
              <w:rPr>
                <w:sz w:val="1"/>
                <w:szCs w:val="1"/>
                <w:color w:val="auto"/>
              </w:rPr>
            </w:pPr>
          </w:p>
        </w:tc>
      </w:tr>
      <w:tr>
        <w:trPr>
          <w:trHeight w:val="246"/>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515,737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480,087</w:t>
            </w:r>
          </w:p>
        </w:tc>
        <w:tc>
          <w:tcPr>
            <w:tcW w:w="0" w:type="dxa"/>
            <w:vAlign w:val="bottom"/>
          </w:tcPr>
          <w:p>
            <w:pPr>
              <w:spacing w:after="0"/>
              <w:rPr>
                <w:sz w:val="1"/>
                <w:szCs w:val="1"/>
                <w:color w:val="auto"/>
              </w:rPr>
            </w:pPr>
          </w:p>
        </w:tc>
      </w:tr>
      <w:tr>
        <w:trPr>
          <w:trHeight w:val="263"/>
        </w:trPr>
        <w:tc>
          <w:tcPr>
            <w:tcW w:w="8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784,527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695,953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REMITLY GLOBAL,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thousands, except share and per share data</w:t>
      </w:r>
      <w:r>
        <w:rPr>
          <w:rFonts w:ascii="Arial" w:cs="Arial" w:eastAsia="Arial" w:hAnsi="Arial"/>
          <w:sz w:val="14"/>
          <w:szCs w:val="14"/>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Three Months Ended June 30,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4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5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234,033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157,255</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437,898</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293,269</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6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expenses</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80,187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60,826</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154,253</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117,089</w:t>
            </w:r>
          </w:p>
        </w:tc>
      </w:tr>
      <w:tr>
        <w:trPr>
          <w:trHeight w:val="243"/>
        </w:trPr>
        <w:tc>
          <w:tcPr>
            <w:tcW w:w="4740" w:type="dxa"/>
            <w:vAlign w:val="bottom"/>
          </w:tcPr>
          <w:p>
            <w:pPr>
              <w:ind w:left="20"/>
              <w:spacing w:after="0"/>
              <w:rPr>
                <w:sz w:val="20"/>
                <w:szCs w:val="20"/>
                <w:color w:val="auto"/>
              </w:rPr>
            </w:pPr>
            <w:r>
              <w:rPr>
                <w:rFonts w:ascii="Arial" w:cs="Arial" w:eastAsia="Arial" w:hAnsi="Arial"/>
                <w:sz w:val="16"/>
                <w:szCs w:val="16"/>
                <w:color w:val="auto"/>
              </w:rPr>
              <w:t>Customer support and operations</w:t>
            </w:r>
            <w:r>
              <w:rPr>
                <w:rFonts w:ascii="Arial" w:cs="Arial" w:eastAsia="Arial" w:hAnsi="Arial"/>
                <w:sz w:val="21"/>
                <w:szCs w:val="21"/>
                <w:color w:val="auto"/>
                <w:vertAlign w:val="superscript"/>
              </w:rPr>
              <w:t>(1)</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21,483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16,855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41,414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30,725</w:t>
            </w:r>
          </w:p>
        </w:tc>
      </w:tr>
      <w:tr>
        <w:trPr>
          <w:trHeight w:val="25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Marketing</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53,600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43,849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97,723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84,470</w:t>
            </w:r>
          </w:p>
        </w:tc>
      </w:tr>
      <w:tr>
        <w:trPr>
          <w:trHeight w:val="243"/>
        </w:trPr>
        <w:tc>
          <w:tcPr>
            <w:tcW w:w="4740" w:type="dxa"/>
            <w:vAlign w:val="bottom"/>
          </w:tcPr>
          <w:p>
            <w:pPr>
              <w:ind w:left="20"/>
              <w:spacing w:after="0"/>
              <w:rPr>
                <w:sz w:val="20"/>
                <w:szCs w:val="20"/>
                <w:color w:val="auto"/>
              </w:rPr>
            </w:pPr>
            <w:r>
              <w:rPr>
                <w:rFonts w:ascii="Arial" w:cs="Arial" w:eastAsia="Arial" w:hAnsi="Arial"/>
                <w:sz w:val="16"/>
                <w:szCs w:val="16"/>
                <w:color w:val="auto"/>
              </w:rPr>
              <w:t>Technology and development</w:t>
            </w:r>
            <w:r>
              <w:rPr>
                <w:rFonts w:ascii="Arial" w:cs="Arial" w:eastAsia="Arial" w:hAnsi="Arial"/>
                <w:sz w:val="21"/>
                <w:szCs w:val="21"/>
                <w:color w:val="auto"/>
                <w:vertAlign w:val="superscript"/>
              </w:rPr>
              <w:t>(1)</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54,309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36,083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103,685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59,658</w:t>
            </w:r>
          </w:p>
        </w:tc>
      </w:tr>
      <w:tr>
        <w:trPr>
          <w:trHeight w:val="243"/>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39,490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80,898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60,851</w:t>
            </w:r>
          </w:p>
        </w:tc>
      </w:tr>
      <w:tr>
        <w:trPr>
          <w:trHeight w:val="25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1,510</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6,216</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3,027</w:t>
            </w:r>
          </w:p>
        </w:tc>
      </w:tr>
      <w:tr>
        <w:trPr>
          <w:trHeight w:val="237"/>
        </w:trPr>
        <w:tc>
          <w:tcPr>
            <w:tcW w:w="4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costs and expenses</w:t>
            </w:r>
          </w:p>
        </w:tc>
        <w:tc>
          <w:tcPr>
            <w:tcW w:w="3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252,256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196,632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484,189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355,820</w:t>
            </w:r>
          </w:p>
        </w:tc>
      </w:tr>
      <w:tr>
        <w:trPr>
          <w:trHeight w:val="223"/>
        </w:trPr>
        <w:tc>
          <w:tcPr>
            <w:tcW w:w="4740" w:type="dxa"/>
            <w:vAlign w:val="bottom"/>
          </w:tcPr>
          <w:p>
            <w:pPr>
              <w:ind w:left="360"/>
              <w:spacing w:after="0"/>
              <w:rPr>
                <w:sz w:val="20"/>
                <w:szCs w:val="20"/>
                <w:color w:val="auto"/>
              </w:rPr>
            </w:pPr>
            <w:r>
              <w:rPr>
                <w:rFonts w:ascii="Arial" w:cs="Arial" w:eastAsia="Arial" w:hAnsi="Arial"/>
                <w:sz w:val="16"/>
                <w:szCs w:val="16"/>
                <w:color w:val="auto"/>
              </w:rPr>
              <w:t>Loss from operations</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(18,223)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(39,377)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(46,291)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(62,551)</w:t>
            </w:r>
          </w:p>
        </w:tc>
      </w:tr>
      <w:tr>
        <w:trPr>
          <w:trHeight w:val="33"/>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r>
      <w:tr>
        <w:trPr>
          <w:trHeight w:val="233"/>
        </w:trPr>
        <w:tc>
          <w:tcPr>
            <w:tcW w:w="47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(645)</w:t>
            </w:r>
          </w:p>
        </w:tc>
      </w:tr>
      <w:tr>
        <w:trPr>
          <w:trHeight w:val="260"/>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3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(3,057)</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2,356</w:t>
            </w:r>
          </w:p>
        </w:tc>
      </w:tr>
      <w:tr>
        <w:trPr>
          <w:trHeight w:val="233"/>
        </w:trPr>
        <w:tc>
          <w:tcPr>
            <w:tcW w:w="4740" w:type="dxa"/>
            <w:vAlign w:val="bottom"/>
          </w:tcPr>
          <w:p>
            <w:pPr>
              <w:ind w:left="360"/>
              <w:spacing w:after="0"/>
              <w:rPr>
                <w:sz w:val="20"/>
                <w:szCs w:val="20"/>
                <w:color w:val="auto"/>
              </w:rPr>
            </w:pPr>
            <w:r>
              <w:rPr>
                <w:rFonts w:ascii="Arial" w:cs="Arial" w:eastAsia="Arial" w:hAnsi="Arial"/>
                <w:sz w:val="16"/>
                <w:szCs w:val="16"/>
                <w:color w:val="auto"/>
              </w:rPr>
              <w:t>Loss before provision for income taxes</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(18,993)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(37,583)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(46,937)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(60,365)</w:t>
            </w:r>
          </w:p>
        </w:tc>
      </w:tr>
      <w:tr>
        <w:trPr>
          <w:trHeight w:val="24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3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1,190</w:t>
            </w:r>
          </w:p>
        </w:tc>
      </w:tr>
      <w:tr>
        <w:trPr>
          <w:trHeight w:val="243"/>
        </w:trPr>
        <w:tc>
          <w:tcPr>
            <w:tcW w:w="4740" w:type="dxa"/>
            <w:vAlign w:val="bottom"/>
          </w:tcPr>
          <w:p>
            <w:pPr>
              <w:ind w:left="360"/>
              <w:spacing w:after="0"/>
              <w:rPr>
                <w:sz w:val="20"/>
                <w:szCs w:val="20"/>
                <w:color w:val="auto"/>
              </w:rPr>
            </w:pPr>
            <w:r>
              <w:rPr>
                <w:rFonts w:ascii="Arial" w:cs="Arial" w:eastAsia="Arial" w:hAnsi="Arial"/>
                <w:sz w:val="16"/>
                <w:szCs w:val="16"/>
                <w:color w:val="auto"/>
              </w:rPr>
              <w:t>Net loss attributable to common stockholders</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(18,850)</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(38,245)</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(47,164)</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(61,555)</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share attributable to common stockholders:</w:t>
            </w:r>
          </w:p>
        </w:tc>
        <w:tc>
          <w:tcPr>
            <w:tcW w:w="3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237"/>
        </w:trPr>
        <w:tc>
          <w:tcPr>
            <w:tcW w:w="4740" w:type="dxa"/>
            <w:vAlign w:val="bottom"/>
          </w:tcPr>
          <w:p>
            <w:pPr>
              <w:ind w:left="360"/>
              <w:spacing w:after="0"/>
              <w:rPr>
                <w:sz w:val="20"/>
                <w:szCs w:val="20"/>
                <w:color w:val="auto"/>
              </w:rPr>
            </w:pPr>
            <w:r>
              <w:rPr>
                <w:rFonts w:ascii="Arial" w:cs="Arial" w:eastAsia="Arial" w:hAnsi="Arial"/>
                <w:sz w:val="16"/>
                <w:szCs w:val="16"/>
                <w:color w:val="auto"/>
              </w:rPr>
              <w:t>Basic and diluted</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(0.11)</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(0.23)</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(0.27)</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(0.37)</w:t>
            </w:r>
          </w:p>
        </w:tc>
      </w:tr>
      <w:tr>
        <w:trPr>
          <w:trHeight w:val="20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shares used in computing net loss per share</w:t>
            </w:r>
          </w:p>
        </w:tc>
        <w:tc>
          <w:tcPr>
            <w:tcW w:w="3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2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attributable to common stockholders: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0"/>
        </w:trPr>
        <w:tc>
          <w:tcPr>
            <w:tcW w:w="4740" w:type="dxa"/>
            <w:vAlign w:val="bottom"/>
          </w:tcPr>
          <w:p>
            <w:pPr>
              <w:ind w:left="360"/>
              <w:spacing w:after="0"/>
              <w:rPr>
                <w:sz w:val="20"/>
                <w:szCs w:val="20"/>
                <w:color w:val="auto"/>
              </w:rPr>
            </w:pPr>
            <w:r>
              <w:rPr>
                <w:rFonts w:ascii="Arial" w:cs="Arial" w:eastAsia="Arial" w:hAnsi="Arial"/>
                <w:sz w:val="16"/>
                <w:szCs w:val="16"/>
                <w:color w:val="auto"/>
              </w:rPr>
              <w:t>Basic and diluted</w:t>
            </w: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179,076,496</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166,498,333</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177,105,720</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165,450,862</w:t>
            </w: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ind w:left="140" w:hanging="132"/>
        <w:spacing w:after="0" w:line="233" w:lineRule="auto"/>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Exclusive of depreciation and amortization, shown separately, above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loss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 (loss):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Foreign currency translation adjustments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540"/>
        <w:spacing w:after="0"/>
        <w:rPr>
          <w:sz w:val="20"/>
          <w:szCs w:val="20"/>
          <w:color w:val="auto"/>
        </w:rPr>
      </w:pPr>
      <w:r>
        <w:rPr>
          <w:rFonts w:ascii="Arial" w:cs="Arial" w:eastAsia="Arial" w:hAnsi="Arial"/>
          <w:sz w:val="16"/>
          <w:szCs w:val="16"/>
          <w:b w:val="1"/>
          <w:bCs w:val="1"/>
          <w:color w:val="auto"/>
        </w:rPr>
        <w:t>REMITLY GLOBAL, INC.</w:t>
      </w:r>
    </w:p>
    <w:p>
      <w:pPr>
        <w:spacing w:after="0" w:line="23" w:lineRule="exact"/>
        <w:rPr>
          <w:sz w:val="20"/>
          <w:szCs w:val="20"/>
          <w:color w:val="auto"/>
        </w:rPr>
      </w:pPr>
    </w:p>
    <w:p>
      <w:pPr>
        <w:jc w:val="center"/>
        <w:ind w:right="3540"/>
        <w:spacing w:after="0"/>
        <w:rPr>
          <w:sz w:val="20"/>
          <w:szCs w:val="20"/>
          <w:color w:val="auto"/>
        </w:rPr>
      </w:pPr>
      <w:r>
        <w:rPr>
          <w:rFonts w:ascii="Arial" w:cs="Arial" w:eastAsia="Arial" w:hAnsi="Arial"/>
          <w:sz w:val="14"/>
          <w:szCs w:val="14"/>
          <w:b w:val="1"/>
          <w:bCs w:val="1"/>
          <w:color w:val="auto"/>
        </w:rPr>
        <w:t>Condensed Consolidated Statements of Comprehensive Loss</w:t>
      </w:r>
    </w:p>
    <w:p>
      <w:pPr>
        <w:spacing w:after="0" w:line="31" w:lineRule="exact"/>
        <w:rPr>
          <w:sz w:val="20"/>
          <w:szCs w:val="20"/>
          <w:color w:val="auto"/>
        </w:rPr>
      </w:pPr>
    </w:p>
    <w:p>
      <w:pPr>
        <w:jc w:val="center"/>
        <w:ind w:right="3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thousands</w:t>
      </w:r>
      <w:r>
        <w:rPr>
          <w:rFonts w:ascii="Arial" w:cs="Arial" w:eastAsia="Arial" w:hAnsi="Arial"/>
          <w:sz w:val="14"/>
          <w:szCs w:val="14"/>
          <w:color w:val="auto"/>
        </w:rPr>
        <w:t>)</w:t>
      </w:r>
    </w:p>
    <w:p>
      <w:pPr>
        <w:spacing w:after="0" w:line="9" w:lineRule="exact"/>
        <w:rPr>
          <w:sz w:val="20"/>
          <w:szCs w:val="20"/>
          <w:color w:val="auto"/>
        </w:rPr>
      </w:pPr>
    </w:p>
    <w:p>
      <w:pPr>
        <w:jc w:val="center"/>
        <w:ind w:right="3540"/>
        <w:spacing w:after="0"/>
        <w:rPr>
          <w:sz w:val="20"/>
          <w:szCs w:val="20"/>
          <w:color w:val="auto"/>
        </w:rPr>
      </w:pPr>
      <w:r>
        <w:rPr>
          <w:rFonts w:ascii="Arial" w:cs="Arial" w:eastAsia="Arial" w:hAnsi="Arial"/>
          <w:sz w:val="14"/>
          <w:szCs w:val="14"/>
          <w:color w:val="auto"/>
        </w:rPr>
        <w:t>(unaudited)</w:t>
      </w:r>
    </w:p>
    <w:p>
      <w:pPr>
        <w:spacing w:after="0" w:line="215" w:lineRule="exact"/>
        <w:rPr>
          <w:sz w:val="20"/>
          <w:szCs w:val="20"/>
          <w:color w:val="auto"/>
        </w:rPr>
      </w:pPr>
    </w:p>
    <w:tbl>
      <w:tblPr>
        <w:tblLayout w:type="fixed"/>
        <w:tblInd w:w="1200" w:type="dxa"/>
        <w:tblCellMar>
          <w:top w:w="0" w:type="dxa"/>
          <w:left w:w="0" w:type="dxa"/>
          <w:bottom w:w="0" w:type="dxa"/>
          <w:right w:w="0" w:type="dxa"/>
        </w:tblCellMar>
      </w:tblPr>
      <w:tr>
        <w:trPr>
          <w:trHeight w:val="210"/>
        </w:trPr>
        <w:tc>
          <w:tcPr>
            <w:tcW w:w="320" w:type="dxa"/>
            <w:vAlign w:val="bottom"/>
          </w:tcPr>
          <w:p>
            <w:pPr>
              <w:spacing w:after="0"/>
              <w:rPr>
                <w:sz w:val="18"/>
                <w:szCs w:val="18"/>
                <w:color w:val="auto"/>
              </w:rPr>
            </w:pPr>
          </w:p>
        </w:tc>
        <w:tc>
          <w:tcPr>
            <w:tcW w:w="288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24"/>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(18,850)</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(38,245)</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(47,164)</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(61,555)</w:t>
            </w:r>
          </w:p>
        </w:tc>
      </w:tr>
      <w:tr>
        <w:trPr>
          <w:trHeight w:val="33"/>
        </w:trPr>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447"/>
        </w:trPr>
        <w:tc>
          <w:tcPr>
            <w:tcW w:w="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(1,271)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(1,267)</w:t>
            </w:r>
          </w:p>
        </w:tc>
      </w:tr>
      <w:tr>
        <w:trPr>
          <w:trHeight w:val="33"/>
        </w:trPr>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(18,605)</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(39,516)</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(46,571)</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(62,822)</w:t>
            </w:r>
          </w:p>
        </w:tc>
      </w:tr>
      <w:tr>
        <w:trPr>
          <w:trHeight w:val="27"/>
        </w:trPr>
        <w:tc>
          <w:tcPr>
            <w:tcW w:w="32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-676910</wp:posOffset>
            </wp:positionV>
            <wp:extent cx="71323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-359410</wp:posOffset>
            </wp:positionV>
            <wp:extent cx="713232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720"/>
            <w:col w:w="7700"/>
          </w:cols>
          <w:pgMar w:left="320" w:top="130" w:right="3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REMITLY GLOBAL,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Six Months Ended June 30, 2023</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r>
        <w:rPr>
          <w:rFonts w:ascii="Arial" w:cs="Arial" w:eastAsia="Arial" w:hAnsi="Arial"/>
          <w:sz w:val="14"/>
          <w:szCs w:val="14"/>
          <w:i w:val="1"/>
          <w:iCs w:val="1"/>
          <w:color w:val="auto"/>
        </w:rPr>
        <w:t>n thousands, except share data</w:t>
      </w:r>
      <w:r>
        <w:rPr>
          <w:rFonts w:ascii="Arial" w:cs="Arial" w:eastAsia="Arial" w:hAnsi="Arial"/>
          <w:sz w:val="14"/>
          <w:szCs w:val="14"/>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920" w:type="dxa"/>
            <w:vAlign w:val="bottom"/>
            <w:gridSpan w:val="4"/>
            <w:vMerge w:val="restart"/>
          </w:tcPr>
          <w:p>
            <w:pPr>
              <w:jc w:val="right"/>
              <w:ind w:right="339"/>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w w:val="97"/>
              </w:rPr>
              <w:t>Additional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Other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7"/>
        </w:trPr>
        <w:tc>
          <w:tcPr>
            <w:tcW w:w="4860" w:type="dxa"/>
            <w:vAlign w:val="bottom"/>
          </w:tcPr>
          <w:p>
            <w:pPr>
              <w:spacing w:after="0"/>
              <w:rPr>
                <w:sz w:val="14"/>
                <w:szCs w:val="14"/>
                <w:color w:val="auto"/>
              </w:rPr>
            </w:pPr>
          </w:p>
        </w:tc>
        <w:tc>
          <w:tcPr>
            <w:tcW w:w="1920" w:type="dxa"/>
            <w:vAlign w:val="bottom"/>
            <w:tcBorders>
              <w:bottom w:val="single" w:sz="8" w:color="auto"/>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79"/>
              <w:spacing w:after="0" w:line="142" w:lineRule="exact"/>
              <w:rPr>
                <w:sz w:val="20"/>
                <w:szCs w:val="20"/>
                <w:color w:val="auto"/>
              </w:rPr>
            </w:pPr>
            <w:r>
              <w:rPr>
                <w:rFonts w:ascii="Arial" w:cs="Arial" w:eastAsia="Arial" w:hAnsi="Arial"/>
                <w:sz w:val="16"/>
                <w:szCs w:val="16"/>
                <w:b w:val="1"/>
                <w:bCs w:val="1"/>
                <w:color w:val="auto"/>
              </w:rPr>
              <w:t>Paid-in</w:t>
            </w:r>
          </w:p>
        </w:tc>
        <w:tc>
          <w:tcPr>
            <w:tcW w:w="80" w:type="dxa"/>
            <w:vAlign w:val="bottom"/>
          </w:tcPr>
          <w:p>
            <w:pPr>
              <w:spacing w:after="0"/>
              <w:rPr>
                <w:sz w:val="14"/>
                <w:szCs w:val="14"/>
                <w:color w:val="auto"/>
              </w:rPr>
            </w:pPr>
          </w:p>
        </w:tc>
        <w:tc>
          <w:tcPr>
            <w:tcW w:w="1160" w:type="dxa"/>
            <w:vAlign w:val="bottom"/>
            <w:gridSpan w:val="2"/>
          </w:tcPr>
          <w:p>
            <w:pPr>
              <w:ind w:left="40"/>
              <w:spacing w:after="0" w:line="142" w:lineRule="exact"/>
              <w:rPr>
                <w:sz w:val="20"/>
                <w:szCs w:val="20"/>
                <w:color w:val="auto"/>
              </w:rPr>
            </w:pPr>
            <w:r>
              <w:rPr>
                <w:rFonts w:ascii="Arial" w:cs="Arial" w:eastAsia="Arial" w:hAnsi="Arial"/>
                <w:sz w:val="16"/>
                <w:szCs w:val="16"/>
                <w:b w:val="1"/>
                <w:bCs w:val="1"/>
                <w:color w:val="auto"/>
                <w:w w:val="91"/>
              </w:rPr>
              <w:t>Comprehensive</w:t>
            </w:r>
          </w:p>
        </w:tc>
        <w:tc>
          <w:tcPr>
            <w:tcW w:w="80" w:type="dxa"/>
            <w:vAlign w:val="bottom"/>
          </w:tcPr>
          <w:p>
            <w:pPr>
              <w:spacing w:after="0"/>
              <w:rPr>
                <w:sz w:val="14"/>
                <w:szCs w:val="14"/>
                <w:color w:val="auto"/>
              </w:rPr>
            </w:pPr>
          </w:p>
        </w:tc>
        <w:tc>
          <w:tcPr>
            <w:tcW w:w="96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4"/>
                <w:szCs w:val="14"/>
                <w:color w:val="auto"/>
              </w:rPr>
            </w:pPr>
          </w:p>
        </w:tc>
        <w:tc>
          <w:tcPr>
            <w:tcW w:w="98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Amount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Capital</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5"/>
              </w:rPr>
              <w:t>Loss</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Deficit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43"/>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January 1, 2023</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173,250,865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854,276</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(373,463)</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480,087</w:t>
            </w:r>
          </w:p>
        </w:tc>
        <w:tc>
          <w:tcPr>
            <w:tcW w:w="0" w:type="dxa"/>
            <w:vAlign w:val="bottom"/>
          </w:tcPr>
          <w:p>
            <w:pPr>
              <w:spacing w:after="0"/>
              <w:rPr>
                <w:sz w:val="1"/>
                <w:szCs w:val="1"/>
                <w:color w:val="auto"/>
              </w:rPr>
            </w:pPr>
          </w:p>
        </w:tc>
      </w:tr>
      <w:tr>
        <w:trPr>
          <w:trHeight w:val="224"/>
        </w:trPr>
        <w:tc>
          <w:tcPr>
            <w:tcW w:w="4860" w:type="dxa"/>
            <w:vAlign w:val="bottom"/>
          </w:tcPr>
          <w:p>
            <w:pPr>
              <w:ind w:left="40"/>
              <w:spacing w:after="0"/>
              <w:rPr>
                <w:sz w:val="20"/>
                <w:szCs w:val="20"/>
                <w:color w:val="auto"/>
              </w:rPr>
            </w:pPr>
            <w:r>
              <w:rPr>
                <w:rFonts w:ascii="Arial" w:cs="Arial" w:eastAsia="Arial" w:hAnsi="Arial"/>
                <w:sz w:val="16"/>
                <w:szCs w:val="16"/>
                <w:color w:val="auto"/>
              </w:rPr>
              <w:t>Issuance of common stock in connection with ESPP</w:t>
            </w:r>
          </w:p>
        </w:tc>
        <w:tc>
          <w:tcPr>
            <w:tcW w:w="960" w:type="dxa"/>
            <w:vAlign w:val="bottom"/>
          </w:tcPr>
          <w:p>
            <w:pPr>
              <w:jc w:val="right"/>
              <w:spacing w:after="0"/>
              <w:rPr>
                <w:sz w:val="20"/>
                <w:szCs w:val="20"/>
                <w:color w:val="auto"/>
              </w:rPr>
            </w:pPr>
            <w:r>
              <w:rPr>
                <w:rFonts w:ascii="Arial" w:cs="Arial" w:eastAsia="Arial" w:hAnsi="Arial"/>
                <w:sz w:val="16"/>
                <w:szCs w:val="16"/>
                <w:color w:val="auto"/>
              </w:rPr>
              <w:t>297,095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2,729</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common stock upon exercise of stock options,</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including early exercised options, and vesting of restricted</w:t>
            </w: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stock units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3,589,965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4,993</w:t>
            </w:r>
          </w:p>
        </w:tc>
        <w:tc>
          <w:tcPr>
            <w:tcW w:w="0" w:type="dxa"/>
            <w:vAlign w:val="bottom"/>
          </w:tcPr>
          <w:p>
            <w:pPr>
              <w:spacing w:after="0"/>
              <w:rPr>
                <w:sz w:val="1"/>
                <w:szCs w:val="1"/>
                <w:color w:val="auto"/>
              </w:rPr>
            </w:pPr>
          </w:p>
        </w:tc>
      </w:tr>
      <w:tr>
        <w:trPr>
          <w:trHeight w:val="233"/>
        </w:trPr>
        <w:tc>
          <w:tcPr>
            <w:tcW w:w="4860" w:type="dxa"/>
            <w:vAlign w:val="bottom"/>
          </w:tcPr>
          <w:p>
            <w:pPr>
              <w:ind w:left="40"/>
              <w:spacing w:after="0"/>
              <w:rPr>
                <w:sz w:val="20"/>
                <w:szCs w:val="20"/>
                <w:color w:val="auto"/>
              </w:rPr>
            </w:pPr>
            <w:r>
              <w:rPr>
                <w:rFonts w:ascii="Arial" w:cs="Arial" w:eastAsia="Arial" w:hAnsi="Arial"/>
                <w:sz w:val="16"/>
                <w:szCs w:val="16"/>
                <w:color w:val="auto"/>
              </w:rPr>
              <w:t>Issuance of common stock for acquisition consideration</w:t>
            </w:r>
          </w:p>
        </w:tc>
        <w:tc>
          <w:tcPr>
            <w:tcW w:w="960" w:type="dxa"/>
            <w:vAlign w:val="bottom"/>
          </w:tcPr>
          <w:p>
            <w:pPr>
              <w:jc w:val="right"/>
              <w:spacing w:after="0"/>
              <w:rPr>
                <w:sz w:val="20"/>
                <w:szCs w:val="20"/>
                <w:color w:val="auto"/>
              </w:rPr>
            </w:pPr>
            <w:r>
              <w:rPr>
                <w:rFonts w:ascii="Arial" w:cs="Arial" w:eastAsia="Arial" w:hAnsi="Arial"/>
                <w:sz w:val="16"/>
                <w:szCs w:val="16"/>
                <w:color w:val="auto"/>
              </w:rPr>
              <w:t>590,838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6,635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6,635</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common stock, subject to service-based vesting</w:t>
            </w: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conditions, in connection with acquisition</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104,080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233"/>
        </w:trPr>
        <w:tc>
          <w:tcPr>
            <w:tcW w:w="4860" w:type="dxa"/>
            <w:vAlign w:val="bottom"/>
          </w:tcPr>
          <w:p>
            <w:pPr>
              <w:ind w:left="40"/>
              <w:spacing w:after="0"/>
              <w:rPr>
                <w:sz w:val="20"/>
                <w:szCs w:val="20"/>
                <w:color w:val="auto"/>
              </w:rPr>
            </w:pPr>
            <w:r>
              <w:rPr>
                <w:rFonts w:ascii="Arial" w:cs="Arial" w:eastAsia="Arial" w:hAnsi="Arial"/>
                <w:sz w:val="16"/>
                <w:szCs w:val="16"/>
                <w:color w:val="auto"/>
              </w:rPr>
              <w:t>Taxes paid related to net shares settlement of equity awards</w:t>
            </w:r>
          </w:p>
        </w:tc>
        <w:tc>
          <w:tcPr>
            <w:tcW w:w="960" w:type="dxa"/>
            <w:vAlign w:val="bottom"/>
          </w:tcPr>
          <w:p>
            <w:pPr>
              <w:jc w:val="right"/>
              <w:spacing w:after="0"/>
              <w:rPr>
                <w:sz w:val="20"/>
                <w:szCs w:val="20"/>
                <w:color w:val="auto"/>
              </w:rPr>
            </w:pPr>
            <w:r>
              <w:rPr>
                <w:rFonts w:ascii="Arial" w:cs="Arial" w:eastAsia="Arial" w:hAnsi="Arial"/>
                <w:sz w:val="16"/>
                <w:szCs w:val="16"/>
                <w:color w:val="auto"/>
              </w:rPr>
              <w:t>(99,550)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(1,413)</w:t>
            </w:r>
          </w:p>
        </w:tc>
        <w:tc>
          <w:tcPr>
            <w:tcW w:w="0" w:type="dxa"/>
            <w:vAlign w:val="bottom"/>
          </w:tcPr>
          <w:p>
            <w:pPr>
              <w:spacing w:after="0"/>
              <w:rPr>
                <w:sz w:val="1"/>
                <w:szCs w:val="1"/>
                <w:color w:val="auto"/>
              </w:rPr>
            </w:pPr>
          </w:p>
        </w:tc>
      </w:tr>
      <w:tr>
        <w:trPr>
          <w:trHeight w:val="246"/>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29,775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29,775</w:t>
            </w:r>
          </w:p>
        </w:tc>
        <w:tc>
          <w:tcPr>
            <w:tcW w:w="0" w:type="dxa"/>
            <w:vAlign w:val="bottom"/>
          </w:tcPr>
          <w:p>
            <w:pPr>
              <w:spacing w:after="0"/>
              <w:rPr>
                <w:sz w:val="1"/>
                <w:szCs w:val="1"/>
                <w:color w:val="auto"/>
              </w:rPr>
            </w:pPr>
          </w:p>
        </w:tc>
      </w:tr>
      <w:tr>
        <w:trPr>
          <w:trHeight w:val="233"/>
        </w:trPr>
        <w:tc>
          <w:tcPr>
            <w:tcW w:w="486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60"/>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(28,314)</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(28,314)</w:t>
            </w:r>
          </w:p>
        </w:tc>
        <w:tc>
          <w:tcPr>
            <w:tcW w:w="0" w:type="dxa"/>
            <w:vAlign w:val="bottom"/>
          </w:tcPr>
          <w:p>
            <w:pPr>
              <w:spacing w:after="0"/>
              <w:rPr>
                <w:sz w:val="1"/>
                <w:szCs w:val="1"/>
                <w:color w:val="auto"/>
              </w:rPr>
            </w:pPr>
          </w:p>
        </w:tc>
      </w:tr>
      <w:tr>
        <w:trPr>
          <w:trHeight w:val="216"/>
        </w:trPr>
        <w:tc>
          <w:tcPr>
            <w:tcW w:w="4860" w:type="dxa"/>
            <w:vAlign w:val="bottom"/>
          </w:tcPr>
          <w:p>
            <w:pPr>
              <w:ind w:left="40"/>
              <w:spacing w:after="0"/>
              <w:rPr>
                <w:sz w:val="20"/>
                <w:szCs w:val="20"/>
                <w:color w:val="auto"/>
              </w:rPr>
            </w:pPr>
            <w:r>
              <w:rPr>
                <w:rFonts w:ascii="Arial" w:cs="Arial" w:eastAsia="Arial" w:hAnsi="Arial"/>
                <w:sz w:val="16"/>
                <w:szCs w:val="16"/>
                <w:color w:val="auto"/>
              </w:rPr>
              <w:t>Balance as of March 31, 2023</w:t>
            </w:r>
          </w:p>
        </w:tc>
        <w:tc>
          <w:tcPr>
            <w:tcW w:w="960" w:type="dxa"/>
            <w:vAlign w:val="bottom"/>
          </w:tcPr>
          <w:p>
            <w:pPr>
              <w:jc w:val="right"/>
              <w:spacing w:after="0"/>
              <w:rPr>
                <w:sz w:val="20"/>
                <w:szCs w:val="20"/>
                <w:color w:val="auto"/>
              </w:rPr>
            </w:pPr>
            <w:r>
              <w:rPr>
                <w:rFonts w:ascii="Arial" w:cs="Arial" w:eastAsia="Arial" w:hAnsi="Arial"/>
                <w:sz w:val="16"/>
                <w:szCs w:val="16"/>
                <w:color w:val="auto"/>
                <w:w w:val="96"/>
              </w:rPr>
              <w:t>177,733,293</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18</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897,575</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(395)</w:t>
            </w:r>
          </w:p>
        </w:tc>
        <w:tc>
          <w:tcPr>
            <w:tcW w:w="2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(401,777)</w:t>
            </w:r>
          </w:p>
        </w:tc>
        <w:tc>
          <w:tcPr>
            <w:tcW w:w="2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495,421</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860" w:type="dxa"/>
            <w:vAlign w:val="bottom"/>
            <w:shd w:val="clear" w:color="auto" w:fill="CCEEFF"/>
          </w:tcPr>
          <w:p>
            <w:pPr>
              <w:ind w:left="40"/>
              <w:spacing w:after="0" w:line="173" w:lineRule="exact"/>
              <w:rPr>
                <w:sz w:val="20"/>
                <w:szCs w:val="20"/>
                <w:color w:val="auto"/>
              </w:rPr>
            </w:pPr>
            <w:r>
              <w:rPr>
                <w:rFonts w:ascii="Arial" w:cs="Arial" w:eastAsia="Arial" w:hAnsi="Arial"/>
                <w:sz w:val="16"/>
                <w:szCs w:val="16"/>
                <w:color w:val="auto"/>
              </w:rPr>
              <w:t>Issuance of common stock upon exercise of stock options,</w:t>
            </w: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including early exercised options, and vesting of restricted</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 units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3,468,316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3,586</w:t>
            </w:r>
          </w:p>
        </w:tc>
        <w:tc>
          <w:tcPr>
            <w:tcW w:w="0" w:type="dxa"/>
            <w:vAlign w:val="bottom"/>
          </w:tcPr>
          <w:p>
            <w:pPr>
              <w:spacing w:after="0"/>
              <w:rPr>
                <w:sz w:val="1"/>
                <w:szCs w:val="1"/>
                <w:color w:val="auto"/>
              </w:rPr>
            </w:pPr>
          </w:p>
        </w:tc>
      </w:tr>
      <w:tr>
        <w:trPr>
          <w:trHeight w:val="233"/>
        </w:trPr>
        <w:tc>
          <w:tcPr>
            <w:tcW w:w="4860" w:type="dxa"/>
            <w:vAlign w:val="bottom"/>
          </w:tcPr>
          <w:p>
            <w:pPr>
              <w:ind w:left="40"/>
              <w:spacing w:after="0"/>
              <w:rPr>
                <w:sz w:val="20"/>
                <w:szCs w:val="20"/>
                <w:color w:val="auto"/>
              </w:rPr>
            </w:pPr>
            <w:r>
              <w:rPr>
                <w:rFonts w:ascii="Arial" w:cs="Arial" w:eastAsia="Arial" w:hAnsi="Arial"/>
                <w:sz w:val="16"/>
                <w:szCs w:val="16"/>
                <w:color w:val="auto"/>
              </w:rPr>
              <w:t>Taxes paid related to net shares settlement of equity awards</w:t>
            </w:r>
          </w:p>
        </w:tc>
        <w:tc>
          <w:tcPr>
            <w:tcW w:w="960" w:type="dxa"/>
            <w:vAlign w:val="bottom"/>
          </w:tcPr>
          <w:p>
            <w:pPr>
              <w:jc w:val="right"/>
              <w:spacing w:after="0"/>
              <w:rPr>
                <w:sz w:val="20"/>
                <w:szCs w:val="20"/>
                <w:color w:val="auto"/>
              </w:rPr>
            </w:pPr>
            <w:r>
              <w:rPr>
                <w:rFonts w:ascii="Arial" w:cs="Arial" w:eastAsia="Arial" w:hAnsi="Arial"/>
                <w:sz w:val="16"/>
                <w:szCs w:val="16"/>
                <w:color w:val="auto"/>
              </w:rPr>
              <w:t>(39,883)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246"/>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36,033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36,033</w:t>
            </w:r>
          </w:p>
        </w:tc>
        <w:tc>
          <w:tcPr>
            <w:tcW w:w="0" w:type="dxa"/>
            <w:vAlign w:val="bottom"/>
          </w:tcPr>
          <w:p>
            <w:pPr>
              <w:spacing w:after="0"/>
              <w:rPr>
                <w:sz w:val="1"/>
                <w:szCs w:val="1"/>
                <w:color w:val="auto"/>
              </w:rPr>
            </w:pPr>
          </w:p>
        </w:tc>
      </w:tr>
      <w:tr>
        <w:trPr>
          <w:trHeight w:val="233"/>
        </w:trPr>
        <w:tc>
          <w:tcPr>
            <w:tcW w:w="486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60"/>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(18,850)</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(18,850)</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6"/>
                <w:szCs w:val="16"/>
                <w:color w:val="auto"/>
              </w:rPr>
              <w:t>Balance as of June 30, 2023</w:t>
            </w:r>
          </w:p>
        </w:tc>
        <w:tc>
          <w:tcPr>
            <w:tcW w:w="960" w:type="dxa"/>
            <w:vAlign w:val="bottom"/>
          </w:tcPr>
          <w:p>
            <w:pPr>
              <w:jc w:val="right"/>
              <w:spacing w:after="0"/>
              <w:rPr>
                <w:sz w:val="20"/>
                <w:szCs w:val="20"/>
                <w:color w:val="auto"/>
              </w:rPr>
            </w:pPr>
            <w:r>
              <w:rPr>
                <w:rFonts w:ascii="Arial" w:cs="Arial" w:eastAsia="Arial" w:hAnsi="Arial"/>
                <w:sz w:val="16"/>
                <w:szCs w:val="16"/>
                <w:color w:val="auto"/>
                <w:w w:val="96"/>
              </w:rPr>
              <w:t>181,161,726</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18</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936,496</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(150)</w:t>
            </w:r>
          </w:p>
        </w:tc>
        <w:tc>
          <w:tcPr>
            <w:tcW w:w="2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(420,627)</w:t>
            </w:r>
          </w:p>
        </w:tc>
        <w:tc>
          <w:tcPr>
            <w:tcW w:w="2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515,737</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REMITLY GLOBAL,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Six Months Ended June 30, 2022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r>
        <w:rPr>
          <w:rFonts w:ascii="Arial" w:cs="Arial" w:eastAsia="Arial" w:hAnsi="Arial"/>
          <w:sz w:val="14"/>
          <w:szCs w:val="14"/>
          <w:i w:val="1"/>
          <w:iCs w:val="1"/>
          <w:color w:val="auto"/>
        </w:rPr>
        <w:t>n thousands, except share data</w:t>
      </w:r>
      <w:r>
        <w:rPr>
          <w:rFonts w:ascii="Arial" w:cs="Arial" w:eastAsia="Arial" w:hAnsi="Arial"/>
          <w:sz w:val="14"/>
          <w:szCs w:val="14"/>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940" w:type="dxa"/>
            <w:vAlign w:val="bottom"/>
            <w:gridSpan w:val="4"/>
            <w:vMerge w:val="restart"/>
          </w:tcPr>
          <w:p>
            <w:pPr>
              <w:jc w:val="right"/>
              <w:ind w:right="359"/>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w w:val="94"/>
              </w:rPr>
              <w:t>Additional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Other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7"/>
        </w:trPr>
        <w:tc>
          <w:tcPr>
            <w:tcW w:w="4860" w:type="dxa"/>
            <w:vAlign w:val="bottom"/>
          </w:tcPr>
          <w:p>
            <w:pPr>
              <w:spacing w:after="0"/>
              <w:rPr>
                <w:sz w:val="14"/>
                <w:szCs w:val="14"/>
                <w:color w:val="auto"/>
              </w:rPr>
            </w:pPr>
          </w:p>
        </w:tc>
        <w:tc>
          <w:tcPr>
            <w:tcW w:w="1940" w:type="dxa"/>
            <w:vAlign w:val="bottom"/>
            <w:tcBorders>
              <w:bottom w:val="single" w:sz="8" w:color="auto"/>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9"/>
              <w:spacing w:after="0" w:line="142" w:lineRule="exact"/>
              <w:rPr>
                <w:sz w:val="20"/>
                <w:szCs w:val="20"/>
                <w:color w:val="auto"/>
              </w:rPr>
            </w:pPr>
            <w:r>
              <w:rPr>
                <w:rFonts w:ascii="Arial" w:cs="Arial" w:eastAsia="Arial" w:hAnsi="Arial"/>
                <w:sz w:val="16"/>
                <w:szCs w:val="16"/>
                <w:b w:val="1"/>
                <w:bCs w:val="1"/>
                <w:color w:val="auto"/>
              </w:rPr>
              <w:t>Paid-in</w:t>
            </w:r>
          </w:p>
        </w:tc>
        <w:tc>
          <w:tcPr>
            <w:tcW w:w="80" w:type="dxa"/>
            <w:vAlign w:val="bottom"/>
          </w:tcPr>
          <w:p>
            <w:pPr>
              <w:spacing w:after="0"/>
              <w:rPr>
                <w:sz w:val="14"/>
                <w:szCs w:val="14"/>
                <w:color w:val="auto"/>
              </w:rPr>
            </w:pPr>
          </w:p>
        </w:tc>
        <w:tc>
          <w:tcPr>
            <w:tcW w:w="1160" w:type="dxa"/>
            <w:vAlign w:val="bottom"/>
            <w:gridSpan w:val="2"/>
          </w:tcPr>
          <w:p>
            <w:pPr>
              <w:ind w:left="40"/>
              <w:spacing w:after="0" w:line="142" w:lineRule="exact"/>
              <w:rPr>
                <w:sz w:val="20"/>
                <w:szCs w:val="20"/>
                <w:color w:val="auto"/>
              </w:rPr>
            </w:pPr>
            <w:r>
              <w:rPr>
                <w:rFonts w:ascii="Arial" w:cs="Arial" w:eastAsia="Arial" w:hAnsi="Arial"/>
                <w:sz w:val="16"/>
                <w:szCs w:val="16"/>
                <w:b w:val="1"/>
                <w:bCs w:val="1"/>
                <w:color w:val="auto"/>
                <w:w w:val="91"/>
              </w:rPr>
              <w:t>Comprehensive</w:t>
            </w:r>
          </w:p>
        </w:tc>
        <w:tc>
          <w:tcPr>
            <w:tcW w:w="80" w:type="dxa"/>
            <w:vAlign w:val="bottom"/>
          </w:tcPr>
          <w:p>
            <w:pPr>
              <w:spacing w:after="0"/>
              <w:rPr>
                <w:sz w:val="14"/>
                <w:szCs w:val="14"/>
                <w:color w:val="auto"/>
              </w:rPr>
            </w:pPr>
          </w:p>
        </w:tc>
        <w:tc>
          <w:tcPr>
            <w:tcW w:w="96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4"/>
                <w:szCs w:val="14"/>
                <w:color w:val="auto"/>
              </w:rPr>
            </w:pPr>
          </w:p>
        </w:tc>
        <w:tc>
          <w:tcPr>
            <w:tcW w:w="98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Amount</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Capital</w:t>
            </w:r>
          </w:p>
        </w:tc>
        <w:tc>
          <w:tcPr>
            <w:tcW w:w="8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Income (Loss)</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Deficit</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January 1, 2022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164,239,555</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739,503</w:t>
            </w:r>
          </w:p>
        </w:tc>
        <w:tc>
          <w:tcPr>
            <w:tcW w:w="2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(259,444)</w:t>
            </w:r>
          </w:p>
        </w:tc>
        <w:tc>
          <w:tcPr>
            <w:tcW w:w="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480,328</w:t>
            </w:r>
          </w:p>
        </w:tc>
        <w:tc>
          <w:tcPr>
            <w:tcW w:w="0" w:type="dxa"/>
            <w:vAlign w:val="bottom"/>
          </w:tcPr>
          <w:p>
            <w:pPr>
              <w:spacing w:after="0"/>
              <w:rPr>
                <w:sz w:val="1"/>
                <w:szCs w:val="1"/>
                <w:color w:val="auto"/>
              </w:rPr>
            </w:pPr>
          </w:p>
        </w:tc>
      </w:tr>
      <w:tr>
        <w:trPr>
          <w:trHeight w:val="233"/>
        </w:trPr>
        <w:tc>
          <w:tcPr>
            <w:tcW w:w="4860" w:type="dxa"/>
            <w:vAlign w:val="bottom"/>
          </w:tcPr>
          <w:p>
            <w:pPr>
              <w:ind w:left="40"/>
              <w:spacing w:after="0"/>
              <w:rPr>
                <w:sz w:val="20"/>
                <w:szCs w:val="20"/>
                <w:color w:val="auto"/>
              </w:rPr>
            </w:pPr>
            <w:r>
              <w:rPr>
                <w:rFonts w:ascii="Arial" w:cs="Arial" w:eastAsia="Arial" w:hAnsi="Arial"/>
                <w:sz w:val="16"/>
                <w:szCs w:val="16"/>
                <w:color w:val="auto"/>
              </w:rPr>
              <w:t>Issuance of common stock in connection with ESPP</w:t>
            </w:r>
          </w:p>
        </w:tc>
        <w:tc>
          <w:tcPr>
            <w:tcW w:w="960" w:type="dxa"/>
            <w:vAlign w:val="bottom"/>
          </w:tcPr>
          <w:p>
            <w:pPr>
              <w:jc w:val="right"/>
              <w:spacing w:after="0"/>
              <w:rPr>
                <w:sz w:val="20"/>
                <w:szCs w:val="20"/>
                <w:color w:val="auto"/>
              </w:rPr>
            </w:pPr>
            <w:r>
              <w:rPr>
                <w:rFonts w:ascii="Arial" w:cs="Arial" w:eastAsia="Arial" w:hAnsi="Arial"/>
                <w:sz w:val="16"/>
                <w:szCs w:val="16"/>
                <w:color w:val="auto"/>
              </w:rPr>
              <w:t>202,213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1,882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1,882</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common stock upon exercise of stock options,</w:t>
            </w: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including early exercised options, and vesting of restricted</w:t>
            </w: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 units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1,696,601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2,678</w:t>
            </w:r>
          </w:p>
        </w:tc>
        <w:tc>
          <w:tcPr>
            <w:tcW w:w="0" w:type="dxa"/>
            <w:vAlign w:val="bottom"/>
          </w:tcPr>
          <w:p>
            <w:pPr>
              <w:spacing w:after="0"/>
              <w:rPr>
                <w:sz w:val="1"/>
                <w:szCs w:val="1"/>
                <w:color w:val="auto"/>
              </w:rPr>
            </w:pPr>
          </w:p>
        </w:tc>
      </w:tr>
      <w:tr>
        <w:trPr>
          <w:trHeight w:val="224"/>
        </w:trPr>
        <w:tc>
          <w:tcPr>
            <w:tcW w:w="486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9,921</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40"/>
        </w:trPr>
        <w:tc>
          <w:tcPr>
            <w:tcW w:w="4860" w:type="dxa"/>
            <w:vAlign w:val="bottom"/>
          </w:tcPr>
          <w:p>
            <w:pPr>
              <w:ind w:left="40"/>
              <w:spacing w:after="0"/>
              <w:rPr>
                <w:sz w:val="20"/>
                <w:szCs w:val="20"/>
                <w:color w:val="auto"/>
              </w:rPr>
            </w:pPr>
            <w:r>
              <w:rPr>
                <w:rFonts w:ascii="Arial" w:cs="Arial" w:eastAsia="Arial" w:hAnsi="Arial"/>
                <w:sz w:val="16"/>
                <w:szCs w:val="16"/>
                <w:color w:val="auto"/>
              </w:rPr>
              <w:t>Net loss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(23,310)</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(23,310)</w:t>
            </w:r>
          </w:p>
        </w:tc>
        <w:tc>
          <w:tcPr>
            <w:tcW w:w="0" w:type="dxa"/>
            <w:vAlign w:val="bottom"/>
          </w:tcPr>
          <w:p>
            <w:pPr>
              <w:spacing w:after="0"/>
              <w:rPr>
                <w:sz w:val="1"/>
                <w:szCs w:val="1"/>
                <w:color w:val="auto"/>
              </w:rPr>
            </w:pPr>
          </w:p>
        </w:tc>
      </w:tr>
      <w:tr>
        <w:trPr>
          <w:trHeight w:val="243"/>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March 31, 2022</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166,138,369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753,983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(282,754)</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471,503</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Issuance of common stock upon exercise of stock options,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6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200"/>
              <w:spacing w:after="0"/>
              <w:rPr>
                <w:sz w:val="20"/>
                <w:szCs w:val="20"/>
                <w:color w:val="auto"/>
              </w:rPr>
            </w:pPr>
            <w:r>
              <w:rPr>
                <w:rFonts w:ascii="Arial" w:cs="Arial" w:eastAsia="Arial" w:hAnsi="Arial"/>
                <w:sz w:val="16"/>
                <w:szCs w:val="16"/>
                <w:color w:val="auto"/>
              </w:rPr>
              <w:t>including early exercised options, and vesting of restricted</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0"/>
              <w:spacing w:after="0"/>
              <w:rPr>
                <w:sz w:val="20"/>
                <w:szCs w:val="20"/>
                <w:color w:val="auto"/>
              </w:rPr>
            </w:pPr>
            <w:r>
              <w:rPr>
                <w:rFonts w:ascii="Arial" w:cs="Arial" w:eastAsia="Arial" w:hAnsi="Arial"/>
                <w:sz w:val="16"/>
                <w:szCs w:val="16"/>
                <w:color w:val="auto"/>
              </w:rPr>
              <w:t>stock units</w:t>
            </w:r>
          </w:p>
        </w:tc>
        <w:tc>
          <w:tcPr>
            <w:tcW w:w="960" w:type="dxa"/>
            <w:vAlign w:val="bottom"/>
          </w:tcPr>
          <w:p>
            <w:pPr>
              <w:jc w:val="right"/>
              <w:spacing w:after="0"/>
              <w:rPr>
                <w:sz w:val="20"/>
                <w:szCs w:val="20"/>
                <w:color w:val="auto"/>
              </w:rPr>
            </w:pPr>
            <w:r>
              <w:rPr>
                <w:rFonts w:ascii="Arial" w:cs="Arial" w:eastAsia="Arial" w:hAnsi="Arial"/>
                <w:sz w:val="16"/>
                <w:szCs w:val="16"/>
                <w:color w:val="auto"/>
              </w:rPr>
              <w:t>1,653,909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2,154</w:t>
            </w:r>
          </w:p>
        </w:tc>
        <w:tc>
          <w:tcPr>
            <w:tcW w:w="0" w:type="dxa"/>
            <w:vAlign w:val="bottom"/>
          </w:tcPr>
          <w:p>
            <w:pPr>
              <w:spacing w:after="0"/>
              <w:rPr>
                <w:sz w:val="1"/>
                <w:szCs w:val="1"/>
                <w:color w:val="auto"/>
              </w:rPr>
            </w:pPr>
          </w:p>
        </w:tc>
      </w:tr>
      <w:tr>
        <w:trPr>
          <w:trHeight w:val="253"/>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Taxes paid related to net shares settlement of equity awards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24"/>
        </w:trPr>
        <w:tc>
          <w:tcPr>
            <w:tcW w:w="486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33,114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33,114</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(38,245)</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(38,245)</w:t>
            </w:r>
          </w:p>
        </w:tc>
        <w:tc>
          <w:tcPr>
            <w:tcW w:w="0" w:type="dxa"/>
            <w:vAlign w:val="bottom"/>
          </w:tcPr>
          <w:p>
            <w:pPr>
              <w:spacing w:after="0"/>
              <w:rPr>
                <w:sz w:val="1"/>
                <w:szCs w:val="1"/>
                <w:color w:val="auto"/>
              </w:rPr>
            </w:pPr>
          </w:p>
        </w:tc>
      </w:tr>
      <w:tr>
        <w:trPr>
          <w:trHeight w:val="263"/>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June 30, 2022</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167,789,651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789,221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(320,999)</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467,225</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REMITLY GLOBAL, INC.</w:t>
      </w:r>
    </w:p>
    <w:p>
      <w:pPr>
        <w:spacing w:after="0" w:line="25"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4"/>
          <w:szCs w:val="14"/>
          <w:i w:val="1"/>
          <w:iCs w:val="1"/>
          <w:color w:val="auto"/>
        </w:rPr>
        <w:t>(In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64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Pr>
          <w:p>
            <w:pPr>
              <w:spacing w:after="0"/>
              <w:rPr>
                <w:sz w:val="16"/>
                <w:szCs w:val="16"/>
                <w:color w:val="auto"/>
              </w:rPr>
            </w:pPr>
          </w:p>
        </w:tc>
      </w:tr>
      <w:tr>
        <w:trPr>
          <w:trHeight w:val="39"/>
        </w:trPr>
        <w:tc>
          <w:tcPr>
            <w:tcW w:w="80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84"/>
        </w:trPr>
        <w:tc>
          <w:tcPr>
            <w:tcW w:w="80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r>
      <w:tr>
        <w:trPr>
          <w:trHeight w:val="39"/>
        </w:trPr>
        <w:tc>
          <w:tcPr>
            <w:tcW w:w="80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9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(47,164)</w:t>
            </w:r>
          </w:p>
        </w:tc>
        <w:tc>
          <w:tcPr>
            <w:tcW w:w="1080" w:type="dxa"/>
            <w:vAlign w:val="bottom"/>
            <w:gridSpan w:val="2"/>
          </w:tcPr>
          <w:p>
            <w:pPr>
              <w:jc w:val="right"/>
              <w:ind w:right="8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(61,555)</w:t>
            </w:r>
          </w:p>
        </w:tc>
      </w:tr>
      <w:tr>
        <w:trPr>
          <w:trHeight w:val="39"/>
        </w:trPr>
        <w:tc>
          <w:tcPr>
            <w:tcW w:w="80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1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r>
      <w:tr>
        <w:trPr>
          <w:trHeight w:val="190"/>
        </w:trPr>
        <w:tc>
          <w:tcPr>
            <w:tcW w:w="802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6,216</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3,027</w:t>
            </w:r>
          </w:p>
        </w:tc>
      </w:tr>
      <w:tr>
        <w:trPr>
          <w:trHeight w:val="26"/>
        </w:trPr>
        <w:tc>
          <w:tcPr>
            <w:tcW w:w="8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09"/>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 net</w:t>
            </w: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64,434</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42,135</w:t>
            </w:r>
          </w:p>
        </w:tc>
      </w:tr>
      <w:tr>
        <w:trPr>
          <w:trHeight w:val="190"/>
        </w:trPr>
        <w:tc>
          <w:tcPr>
            <w:tcW w:w="8020" w:type="dxa"/>
            <w:vAlign w:val="bottom"/>
          </w:tcPr>
          <w:p>
            <w:pPr>
              <w:ind w:left="240"/>
              <w:spacing w:after="0"/>
              <w:rPr>
                <w:sz w:val="20"/>
                <w:szCs w:val="20"/>
                <w:color w:val="auto"/>
              </w:rPr>
            </w:pPr>
            <w:r>
              <w:rPr>
                <w:rFonts w:ascii="Arial" w:cs="Arial" w:eastAsia="Arial" w:hAnsi="Arial"/>
                <w:sz w:val="14"/>
                <w:szCs w:val="14"/>
                <w:color w:val="auto"/>
              </w:rPr>
              <w:t>Other</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2,203</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179</w:t>
            </w:r>
          </w:p>
        </w:tc>
      </w:tr>
      <w:tr>
        <w:trPr>
          <w:trHeight w:val="39"/>
        </w:trPr>
        <w:tc>
          <w:tcPr>
            <w:tcW w:w="80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09"/>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Changes in operating assets and liabilities:</w:t>
            </w: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r>
      <w:tr>
        <w:trPr>
          <w:trHeight w:val="190"/>
        </w:trPr>
        <w:tc>
          <w:tcPr>
            <w:tcW w:w="8020" w:type="dxa"/>
            <w:vAlign w:val="bottom"/>
          </w:tcPr>
          <w:p>
            <w:pPr>
              <w:ind w:left="460"/>
              <w:spacing w:after="0"/>
              <w:rPr>
                <w:sz w:val="20"/>
                <w:szCs w:val="20"/>
                <w:color w:val="auto"/>
              </w:rPr>
            </w:pPr>
            <w:r>
              <w:rPr>
                <w:rFonts w:ascii="Arial" w:cs="Arial" w:eastAsia="Arial" w:hAnsi="Arial"/>
                <w:sz w:val="14"/>
                <w:szCs w:val="14"/>
                <w:color w:val="auto"/>
              </w:rPr>
              <w:t>Disbursement prefunding</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(117,870)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(39,873)</w:t>
            </w:r>
          </w:p>
        </w:tc>
      </w:tr>
      <w:tr>
        <w:trPr>
          <w:trHeight w:val="39"/>
        </w:trPr>
        <w:tc>
          <w:tcPr>
            <w:tcW w:w="80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96"/>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Customer funds receivable</w:t>
            </w:r>
          </w:p>
        </w:tc>
        <w:tc>
          <w:tcPr>
            <w:tcW w:w="9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54,245</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(29,868)</w:t>
            </w:r>
          </w:p>
        </w:tc>
      </w:tr>
      <w:tr>
        <w:trPr>
          <w:trHeight w:val="191"/>
        </w:trPr>
        <w:tc>
          <w:tcPr>
            <w:tcW w:w="8020" w:type="dxa"/>
            <w:vAlign w:val="bottom"/>
          </w:tcPr>
          <w:p>
            <w:pPr>
              <w:ind w:left="460"/>
              <w:spacing w:after="0"/>
              <w:rPr>
                <w:sz w:val="20"/>
                <w:szCs w:val="20"/>
                <w:color w:val="auto"/>
              </w:rPr>
            </w:pPr>
            <w:r>
              <w:rPr>
                <w:rFonts w:ascii="Arial" w:cs="Arial" w:eastAsia="Arial" w:hAnsi="Arial"/>
                <w:sz w:val="14"/>
                <w:szCs w:val="14"/>
                <w:color w:val="auto"/>
              </w:rPr>
              <w:t>Prepaid expenses and other assets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(10,344)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(2,687)</w:t>
            </w:r>
          </w:p>
        </w:tc>
      </w:tr>
      <w:tr>
        <w:trPr>
          <w:trHeight w:val="39"/>
        </w:trPr>
        <w:tc>
          <w:tcPr>
            <w:tcW w:w="80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09"/>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Operating lease right-of-use assets</w:t>
            </w: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2,434</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1,743</w:t>
            </w:r>
          </w:p>
        </w:tc>
      </w:tr>
      <w:tr>
        <w:trPr>
          <w:trHeight w:val="190"/>
        </w:trPr>
        <w:tc>
          <w:tcPr>
            <w:tcW w:w="8020" w:type="dxa"/>
            <w:vAlign w:val="bottom"/>
          </w:tcPr>
          <w:p>
            <w:pPr>
              <w:ind w:left="460"/>
              <w:spacing w:after="0"/>
              <w:rPr>
                <w:sz w:val="20"/>
                <w:szCs w:val="20"/>
                <w:color w:val="auto"/>
              </w:rPr>
            </w:pPr>
            <w:r>
              <w:rPr>
                <w:rFonts w:ascii="Arial" w:cs="Arial" w:eastAsia="Arial" w:hAnsi="Arial"/>
                <w:sz w:val="14"/>
                <w:szCs w:val="14"/>
                <w:color w:val="auto"/>
              </w:rPr>
              <w:t>Accounts payable</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10,180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4,317</w:t>
            </w:r>
          </w:p>
        </w:tc>
      </w:tr>
      <w:tr>
        <w:trPr>
          <w:trHeight w:val="39"/>
        </w:trPr>
        <w:tc>
          <w:tcPr>
            <w:tcW w:w="80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09"/>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Customer liabilities</w:t>
            </w: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(12,477)</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60,279</w:t>
            </w:r>
          </w:p>
        </w:tc>
      </w:tr>
      <w:tr>
        <w:trPr>
          <w:trHeight w:val="190"/>
        </w:trPr>
        <w:tc>
          <w:tcPr>
            <w:tcW w:w="8020" w:type="dxa"/>
            <w:vAlign w:val="bottom"/>
          </w:tcPr>
          <w:p>
            <w:pPr>
              <w:ind w:left="460"/>
              <w:spacing w:after="0"/>
              <w:rPr>
                <w:sz w:val="20"/>
                <w:szCs w:val="20"/>
                <w:color w:val="auto"/>
              </w:rPr>
            </w:pPr>
            <w:r>
              <w:rPr>
                <w:rFonts w:ascii="Arial" w:cs="Arial" w:eastAsia="Arial" w:hAnsi="Arial"/>
                <w:sz w:val="14"/>
                <w:szCs w:val="14"/>
                <w:color w:val="auto"/>
              </w:rPr>
              <w:t>Accrued expenses and other liabilities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(1,518)</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50,395</w:t>
            </w:r>
          </w:p>
        </w:tc>
      </w:tr>
      <w:tr>
        <w:trPr>
          <w:trHeight w:val="26"/>
        </w:trPr>
        <w:tc>
          <w:tcPr>
            <w:tcW w:w="8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5"/>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Operating lease liabilities</w:t>
            </w:r>
          </w:p>
        </w:tc>
        <w:tc>
          <w:tcPr>
            <w:tcW w:w="9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(1,806)</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(2,062)</w:t>
            </w:r>
          </w:p>
        </w:tc>
      </w:tr>
      <w:tr>
        <w:trPr>
          <w:trHeight w:val="197"/>
        </w:trPr>
        <w:tc>
          <w:tcPr>
            <w:tcW w:w="8020" w:type="dxa"/>
            <w:vAlign w:val="bottom"/>
            <w:tcBorders>
              <w:top w:val="single" w:sz="8" w:color="CCEEFF"/>
            </w:tcBorders>
          </w:tcPr>
          <w:p>
            <w:pPr>
              <w:ind w:left="680"/>
              <w:spacing w:after="0"/>
              <w:rPr>
                <w:sz w:val="20"/>
                <w:szCs w:val="20"/>
                <w:color w:val="auto"/>
              </w:rPr>
            </w:pPr>
            <w:r>
              <w:rPr>
                <w:rFonts w:ascii="Arial" w:cs="Arial" w:eastAsia="Arial" w:hAnsi="Arial"/>
                <w:sz w:val="14"/>
                <w:szCs w:val="14"/>
                <w:color w:val="auto"/>
              </w:rPr>
              <w:t>Net cash (used in) provided by operating activities</w:t>
            </w:r>
          </w:p>
        </w:tc>
        <w:tc>
          <w:tcPr>
            <w:tcW w:w="9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(51,467)</w:t>
            </w:r>
          </w:p>
        </w:tc>
        <w:tc>
          <w:tcPr>
            <w:tcW w:w="10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26,030</w:t>
            </w:r>
          </w:p>
        </w:tc>
      </w:tr>
      <w:tr>
        <w:trPr>
          <w:trHeight w:val="26"/>
        </w:trPr>
        <w:tc>
          <w:tcPr>
            <w:tcW w:w="80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(1,566)</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(1,492)</w:t>
            </w:r>
          </w:p>
        </w:tc>
      </w:tr>
      <w:tr>
        <w:trPr>
          <w:trHeight w:val="39"/>
        </w:trPr>
        <w:tc>
          <w:tcPr>
            <w:tcW w:w="80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1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Capitalized internal-use software costs</w:t>
            </w: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(2,344)</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(1,688)</w:t>
            </w: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color w:val="auto"/>
              </w:rPr>
              <w:t>Cash paid for acquisition, net of acquired cash, cash equivalents, and restricted cash</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(40,933)</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9"/>
        </w:trPr>
        <w:tc>
          <w:tcPr>
            <w:tcW w:w="80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23"/>
        </w:trPr>
        <w:tc>
          <w:tcPr>
            <w:tcW w:w="80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cash used in investing activities</w:t>
            </w:r>
          </w:p>
        </w:tc>
        <w:tc>
          <w:tcPr>
            <w:tcW w:w="9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(44,843)</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(3,180)</w:t>
            </w:r>
          </w:p>
        </w:tc>
      </w:tr>
      <w:tr>
        <w:trPr>
          <w:trHeight w:val="170"/>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r>
      <w:tr>
        <w:trPr>
          <w:trHeight w:val="39"/>
        </w:trPr>
        <w:tc>
          <w:tcPr>
            <w:tcW w:w="80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0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8,333</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4,467</w:t>
            </w:r>
          </w:p>
        </w:tc>
      </w:tr>
      <w:tr>
        <w:trPr>
          <w:trHeight w:val="191"/>
        </w:trPr>
        <w:tc>
          <w:tcPr>
            <w:tcW w:w="8020" w:type="dxa"/>
            <w:vAlign w:val="bottom"/>
          </w:tcPr>
          <w:p>
            <w:pPr>
              <w:ind w:left="20"/>
              <w:spacing w:after="0"/>
              <w:rPr>
                <w:sz w:val="20"/>
                <w:szCs w:val="20"/>
                <w:color w:val="auto"/>
              </w:rPr>
            </w:pPr>
            <w:r>
              <w:rPr>
                <w:rFonts w:ascii="Arial" w:cs="Arial" w:eastAsia="Arial" w:hAnsi="Arial"/>
                <w:sz w:val="14"/>
                <w:szCs w:val="14"/>
                <w:color w:val="auto"/>
              </w:rPr>
              <w:t>Proceeds from revolving credit facility borrowings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334,000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1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Repayments of revolving credit facility borrowings</w:t>
            </w: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(300,000)</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color w:val="auto"/>
              </w:rPr>
              <w:t>Taxes paid related to net share settlement of equity awards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(2,111)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39"/>
        </w:trPr>
        <w:tc>
          <w:tcPr>
            <w:tcW w:w="80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Repayment of assumed indebtedness</w:t>
            </w:r>
          </w:p>
        </w:tc>
        <w:tc>
          <w:tcPr>
            <w:tcW w:w="9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(17,068)</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8020" w:type="dxa"/>
            <w:vAlign w:val="bottom"/>
          </w:tcPr>
          <w:p>
            <w:pPr>
              <w:ind w:left="680"/>
              <w:spacing w:after="0"/>
              <w:rPr>
                <w:sz w:val="20"/>
                <w:szCs w:val="20"/>
                <w:color w:val="auto"/>
              </w:rPr>
            </w:pPr>
            <w:r>
              <w:rPr>
                <w:rFonts w:ascii="Arial" w:cs="Arial" w:eastAsia="Arial" w:hAnsi="Arial"/>
                <w:sz w:val="14"/>
                <w:szCs w:val="14"/>
                <w:color w:val="auto"/>
              </w:rPr>
              <w:t>Net cash provided by financing activities</w:t>
            </w:r>
          </w:p>
        </w:tc>
        <w:tc>
          <w:tcPr>
            <w:tcW w:w="9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23,154</w:t>
            </w: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4,437</w:t>
            </w:r>
          </w:p>
        </w:tc>
      </w:tr>
      <w:tr>
        <w:trPr>
          <w:trHeight w:val="39"/>
        </w:trPr>
        <w:tc>
          <w:tcPr>
            <w:tcW w:w="80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1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foreign exchange rate changes on cash, cash equivalents, and restricted cash</w:t>
            </w: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(840)</w:t>
            </w:r>
          </w:p>
        </w:tc>
      </w:tr>
      <w:tr>
        <w:trPr>
          <w:trHeight w:val="184"/>
        </w:trPr>
        <w:tc>
          <w:tcPr>
            <w:tcW w:w="802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Net (decrease) increase in cash, cash equivalents, and restricted cash</w:t>
            </w:r>
          </w:p>
        </w:tc>
        <w:tc>
          <w:tcPr>
            <w:tcW w:w="9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(72,493)</w:t>
            </w:r>
          </w:p>
        </w:tc>
        <w:tc>
          <w:tcPr>
            <w:tcW w:w="100" w:type="dxa"/>
            <w:vAlign w:val="bottom"/>
            <w:tcBorders>
              <w:top w:val="single" w:sz="8" w:color="CCEEFF"/>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26,447</w:t>
            </w:r>
          </w:p>
        </w:tc>
      </w:tr>
      <w:tr>
        <w:trPr>
          <w:trHeight w:val="39"/>
        </w:trPr>
        <w:tc>
          <w:tcPr>
            <w:tcW w:w="80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9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300,734</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403,313</w:t>
            </w:r>
          </w:p>
        </w:tc>
      </w:tr>
      <w:tr>
        <w:trPr>
          <w:trHeight w:val="217"/>
        </w:trPr>
        <w:tc>
          <w:tcPr>
            <w:tcW w:w="802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940" w:type="dxa"/>
            <w:vAlign w:val="bottom"/>
            <w:tcBorders>
              <w:top w:val="single" w:sz="8" w:color="auto"/>
              <w:bottom w:val="single" w:sz="8" w:color="auto"/>
            </w:tcBorders>
          </w:tcPr>
          <w:p>
            <w:pPr>
              <w:jc w:val="right"/>
              <w:ind w:right="78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228,241</w:t>
            </w:r>
          </w:p>
        </w:tc>
        <w:tc>
          <w:tcPr>
            <w:tcW w:w="1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429,760</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8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9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771</w:t>
            </w:r>
          </w:p>
        </w:tc>
        <w:tc>
          <w:tcPr>
            <w:tcW w:w="1080" w:type="dxa"/>
            <w:vAlign w:val="bottom"/>
            <w:gridSpan w:val="2"/>
          </w:tcPr>
          <w:p>
            <w:pPr>
              <w:jc w:val="right"/>
              <w:ind w:right="8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465</w:t>
            </w:r>
          </w:p>
        </w:tc>
      </w:tr>
      <w:tr>
        <w:trPr>
          <w:trHeight w:val="25"/>
        </w:trPr>
        <w:tc>
          <w:tcPr>
            <w:tcW w:w="8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1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paid for income taxes</w:t>
            </w: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804</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829</w:t>
            </w: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9"/>
        </w:trPr>
        <w:tc>
          <w:tcPr>
            <w:tcW w:w="80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1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 obtained in exchange for operating lease liabilities</w:t>
            </w:r>
          </w:p>
        </w:tc>
        <w:tc>
          <w:tcPr>
            <w:tcW w:w="940" w:type="dxa"/>
            <w:vAlign w:val="bottom"/>
            <w:tcBorders>
              <w:bottom w:val="single" w:sz="8" w:color="CCEEFF"/>
            </w:tcBorders>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5,414</w:t>
            </w:r>
          </w:p>
        </w:tc>
        <w:tc>
          <w:tcPr>
            <w:tcW w:w="1080" w:type="dxa"/>
            <w:vAlign w:val="bottom"/>
            <w:tcBorders>
              <w:bottom w:val="single" w:sz="8" w:color="CCEEFF"/>
            </w:tcBorders>
            <w:gridSpan w:val="2"/>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6,932</w:t>
            </w: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color w:val="auto"/>
              </w:rPr>
              <w:t>Vesting of early exercised options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393</w:t>
            </w:r>
          </w:p>
        </w:tc>
      </w:tr>
      <w:tr>
        <w:trPr>
          <w:trHeight w:val="39"/>
        </w:trPr>
        <w:tc>
          <w:tcPr>
            <w:tcW w:w="80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Noncash issuance of common stock in connection with ESPP</w:t>
            </w:r>
          </w:p>
        </w:tc>
        <w:tc>
          <w:tcPr>
            <w:tcW w:w="9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2,729</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1,882</w:t>
            </w: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color w:val="auto"/>
              </w:rPr>
              <w:t>Stock-based compensation expense capitalized to internal-use software</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1,374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900</w:t>
            </w:r>
          </w:p>
        </w:tc>
      </w:tr>
      <w:tr>
        <w:trPr>
          <w:trHeight w:val="39"/>
        </w:trPr>
        <w:tc>
          <w:tcPr>
            <w:tcW w:w="80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1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common stock for acquisition consideration</w:t>
            </w: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6,635</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color w:val="auto"/>
              </w:rPr>
              <w:t>Issuance of unvested common stock, subject to service-based vesting conditions, in connection with acquisition</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581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9"/>
        </w:trPr>
        <w:tc>
          <w:tcPr>
            <w:tcW w:w="80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1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Amounts held back for acquisition consideration</w:t>
            </w: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11,899</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color w:val="auto"/>
              </w:rPr>
              <w:t>Settlement of preexisting net receivable in exchange for net assets acquired in business combination</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2,401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1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cash, cash equivalents, and restricted cash</w:t>
            </w: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r>
      <w:tr>
        <w:trPr>
          <w:trHeight w:val="191"/>
        </w:trPr>
        <w:tc>
          <w:tcPr>
            <w:tcW w:w="80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227,507</w:t>
            </w:r>
          </w:p>
        </w:tc>
        <w:tc>
          <w:tcPr>
            <w:tcW w:w="1080" w:type="dxa"/>
            <w:vAlign w:val="bottom"/>
            <w:gridSpan w:val="2"/>
          </w:tcPr>
          <w:p>
            <w:pPr>
              <w:jc w:val="right"/>
              <w:ind w:right="8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429,709</w:t>
            </w:r>
          </w:p>
        </w:tc>
      </w:tr>
      <w:tr>
        <w:trPr>
          <w:trHeight w:val="39"/>
        </w:trPr>
        <w:tc>
          <w:tcPr>
            <w:tcW w:w="80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0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cash included in prepaid expenses and other current assets</w:t>
            </w: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8020" w:type="dxa"/>
            <w:vAlign w:val="bottom"/>
          </w:tcPr>
          <w:p>
            <w:pPr>
              <w:ind w:left="20"/>
              <w:spacing w:after="0"/>
              <w:rPr>
                <w:sz w:val="20"/>
                <w:szCs w:val="20"/>
                <w:color w:val="auto"/>
              </w:rPr>
            </w:pPr>
            <w:r>
              <w:rPr>
                <w:rFonts w:ascii="Arial" w:cs="Arial" w:eastAsia="Arial" w:hAnsi="Arial"/>
                <w:sz w:val="14"/>
                <w:szCs w:val="14"/>
                <w:color w:val="auto"/>
              </w:rPr>
              <w:t>Restricted cash included in other noncurrent assets, net</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39"/>
        </w:trPr>
        <w:tc>
          <w:tcPr>
            <w:tcW w:w="80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cash, cash equivalents and restricted cash</w:t>
            </w: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228,241</w:t>
            </w:r>
          </w:p>
        </w:tc>
        <w:tc>
          <w:tcPr>
            <w:tcW w:w="1080" w:type="dxa"/>
            <w:vAlign w:val="bottom"/>
            <w:gridSpan w:val="2"/>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429,760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REMITLY GLOBAL,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(Unaudited)</w:t>
      </w:r>
    </w:p>
    <w:p>
      <w:pPr>
        <w:spacing w:after="0" w:line="240" w:lineRule="exact"/>
        <w:rPr>
          <w:sz w:val="20"/>
          <w:szCs w:val="20"/>
          <w:color w:val="auto"/>
        </w:rPr>
      </w:pPr>
    </w:p>
    <w:p>
      <w:pPr>
        <w:ind w:right="8040" w:firstLine="8"/>
        <w:spacing w:after="0" w:line="469" w:lineRule="auto"/>
        <w:tabs>
          <w:tab w:leader="none" w:pos="284"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and Description of Business Description of Business</w:t>
      </w:r>
    </w:p>
    <w:p>
      <w:pPr>
        <w:ind w:right="200"/>
        <w:spacing w:after="0" w:line="275" w:lineRule="auto"/>
        <w:rPr>
          <w:sz w:val="20"/>
          <w:szCs w:val="20"/>
          <w:color w:val="auto"/>
        </w:rPr>
      </w:pPr>
      <w:r>
        <w:rPr>
          <w:rFonts w:ascii="Arial" w:cs="Arial" w:eastAsia="Arial" w:hAnsi="Arial"/>
          <w:sz w:val="16"/>
          <w:szCs w:val="16"/>
          <w:color w:val="auto"/>
        </w:rPr>
        <w:t>Remitly Global, Inc. (the “Company” or “Remitly”) was incorporated in the State of Delaware in October 2018 and is headquartered in Seattle, Washington, with various other global office locations.</w:t>
      </w:r>
    </w:p>
    <w:p>
      <w:pPr>
        <w:spacing w:after="0" w:line="132" w:lineRule="exact"/>
        <w:rPr>
          <w:sz w:val="20"/>
          <w:szCs w:val="20"/>
          <w:color w:val="auto"/>
        </w:rPr>
      </w:pPr>
    </w:p>
    <w:p>
      <w:pPr>
        <w:ind w:right="300"/>
        <w:spacing w:after="0" w:line="310" w:lineRule="auto"/>
        <w:rPr>
          <w:sz w:val="20"/>
          <w:szCs w:val="20"/>
          <w:color w:val="auto"/>
        </w:rPr>
      </w:pPr>
      <w:r>
        <w:rPr>
          <w:rFonts w:ascii="Arial" w:cs="Arial" w:eastAsia="Arial" w:hAnsi="Arial"/>
          <w:sz w:val="15"/>
          <w:szCs w:val="15"/>
          <w:color w:val="auto"/>
        </w:rPr>
        <w:t>Remitly is a leading digital financial services provider for immigrants and their families in over 170 countries, helping customers send money internationally in a quick, reliable, and more cost-effective manner, by leveraging digital channels and supporting cross-border transmissions across the globe.</w:t>
      </w:r>
    </w:p>
    <w:p>
      <w:pPr>
        <w:spacing w:after="0" w:line="108"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Unless otherwise expressly stated or the context otherwise requires, the terms “Remitly” and the “Company” within these notes to the Condensed Consolidated Financial Statements refer to Remitly Global, Inc. and its wholly-owned subsidiaries.</w:t>
      </w:r>
    </w:p>
    <w:p>
      <w:pPr>
        <w:spacing w:after="0" w:line="114" w:lineRule="exact"/>
        <w:rPr>
          <w:sz w:val="20"/>
          <w:szCs w:val="20"/>
          <w:color w:val="auto"/>
        </w:rPr>
      </w:pPr>
    </w:p>
    <w:p>
      <w:pPr>
        <w:ind w:right="6080" w:firstLine="8"/>
        <w:spacing w:after="0" w:line="469" w:lineRule="auto"/>
        <w:tabs>
          <w:tab w:leader="none" w:pos="284"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Presentation and Summary of Significant Accounting Policies Basis of Presentation</w:t>
      </w:r>
    </w:p>
    <w:p>
      <w:pPr>
        <w:spacing w:after="0" w:line="284"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accounting principles generally accepted in the United States of America (“GAAP”) and applicable rules and regulations of the U.S. Securities and Exchange Commission (the “SEC”) regarding interim financial reporting. The year-end condensed balance sheet data was derived from audited financial statements, but does not include all disclosures required by GAAP and therefore the information included in this Quarterly Report on Form 10-Q should be read in conjunction with the historical audited annual consolidated financial statements and related notes included in the Company’s Annual Report on Form 10-K, for the year ended December 31, 2022.</w:t>
      </w:r>
    </w:p>
    <w:p>
      <w:pPr>
        <w:spacing w:after="0" w:line="113" w:lineRule="exact"/>
        <w:rPr>
          <w:sz w:val="20"/>
          <w:szCs w:val="20"/>
          <w:color w:val="auto"/>
        </w:rPr>
      </w:pPr>
    </w:p>
    <w:p>
      <w:pPr>
        <w:ind w:right="120"/>
        <w:spacing w:after="0" w:line="284" w:lineRule="auto"/>
        <w:rPr>
          <w:sz w:val="20"/>
          <w:szCs w:val="20"/>
          <w:color w:val="auto"/>
        </w:rPr>
      </w:pPr>
      <w:r>
        <w:rPr>
          <w:rFonts w:ascii="Arial" w:cs="Arial" w:eastAsia="Arial" w:hAnsi="Arial"/>
          <w:sz w:val="15"/>
          <w:szCs w:val="15"/>
          <w:color w:val="auto"/>
        </w:rPr>
        <w:t>The accompanying unaudited interim Condensed Consolidated Financial Statements have been prepared on the same basis as the audited consolidated financial statements and, in the opinion of management, reflect all adjustments of a normal recurring nature considered necessary to state fairly the Company’s consolidated financial position, results of operations, comprehensive loss, and cash flows for the interim periods. The interim results for the three and six months ended June 30, 2023 are not necessarily indicative of the results that may be expected for the year ending December 31, 2023, or for any other future annual or interim period.</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171"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The Condensed Consolidated Financial Statements include the accounts of Remitly Global, Inc. and its wholly-owned subsidiaries. All intercompany transactions and balances have been eliminated in consolidation.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171"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 preparation of the accompanying Condensed Consolidated Financial Statements in conformity with GAAP requires management to make estimates and assumptions that affect the amounts reported and disclosed within the Condensed Consolidated Financial Statements and accompanying notes. These estimates and assumptions include, but are not limited to, revenue recognition including the treatment of sales incentive programs, reserves for transaction losses, stock-based compensation expense, the carrying value of operating lease right-of-use assets, the recoverability of deferred tax assets, capitalization of software development costs, goodwill, and the recoverability of intangible assets. The key assumptions applied for value of the intangible assets include forecasted revenue and growth rates for a hypothetical market participant, selected discount rates, as well as migration curves for developed technology. The Company bases its estimates on historical experience and on assumptions that management considers reasonable. Actual results could differ from these estimates and assumptions, and these differences could be material to the Condensed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Credit Risk</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Financial instruments that potentially expose the Company to concentrations of credit risk consist primarily of cash and cash equivalents, disbursement prefunding, restricted cash, and customer funds receivable. The Company maintains cash and cash equivalents and restricted cash balances that may exceed the insured limits by the Federal Deposit Insurance Corporation. In addition, the Company funds its international operations using accounts with institutions in the major countries where its subsidiaries operate. The Company also prefunds amounts which are held by its disbursement partners, which are typically located in India, Mexico, and the Philippines. The Company has not experienced any significant losses on its deposits of cash and cash equivalents, disbursement prefunding, restricted cash, or customer funds receivable in the three and six months ended June 30, 2023 and 2022.</w:t>
      </w:r>
    </w:p>
    <w:p>
      <w:pPr>
        <w:spacing w:after="0" w:line="132"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For the three and six months ended June 30, 2023 and 2022, no individual customer represented 10% or more of the Company’s total revenues or the Company’s customer funds receivable.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Cash</w:t>
      </w:r>
    </w:p>
    <w:p>
      <w:pPr>
        <w:spacing w:after="0" w:line="171"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The Company has relationships with certain payment processors that are responsible for processing the Company’s incoming customer payments. These processors require the Company to maintain certain restricted cash balances as collateral throughout the term of the processor arrangement. In addition, the Company may be required to maintain restricted cash as a result of other contractual arrangements with vendors and partners. Restricted cash is classified within ‘</w:t>
      </w:r>
      <w:r>
        <w:rPr>
          <w:rFonts w:ascii="Arial" w:cs="Arial" w:eastAsia="Arial" w:hAnsi="Arial"/>
          <w:sz w:val="16"/>
          <w:szCs w:val="16"/>
          <w:i w:val="1"/>
          <w:iCs w:val="1"/>
          <w:color w:val="auto"/>
        </w:rPr>
        <w:t>Prepaid expenses and other current</w:t>
      </w:r>
      <w:r>
        <w:rPr>
          <w:rFonts w:ascii="Arial" w:cs="Arial" w:eastAsia="Arial" w:hAnsi="Arial"/>
          <w:sz w:val="16"/>
          <w:szCs w:val="16"/>
          <w:color w:val="auto"/>
        </w:rPr>
        <w:t xml:space="preserve"> </w:t>
      </w:r>
      <w:r>
        <w:rPr>
          <w:rFonts w:ascii="Arial" w:cs="Arial" w:eastAsia="Arial" w:hAnsi="Arial"/>
          <w:sz w:val="16"/>
          <w:szCs w:val="16"/>
          <w:i w:val="1"/>
          <w:iCs w:val="1"/>
          <w:color w:val="auto"/>
        </w:rPr>
        <w:t>assets</w:t>
      </w:r>
      <w:r>
        <w:rPr>
          <w:rFonts w:ascii="Arial" w:cs="Arial" w:eastAsia="Arial" w:hAnsi="Arial"/>
          <w:sz w:val="16"/>
          <w:szCs w:val="16"/>
          <w:color w:val="auto"/>
        </w:rPr>
        <w:t>’ and ‘</w:t>
      </w:r>
      <w:r>
        <w:rPr>
          <w:rFonts w:ascii="Arial" w:cs="Arial" w:eastAsia="Arial" w:hAnsi="Arial"/>
          <w:sz w:val="16"/>
          <w:szCs w:val="16"/>
          <w:i w:val="1"/>
          <w:iCs w:val="1"/>
          <w:color w:val="auto"/>
        </w:rPr>
        <w:t>Other noncurrent assets, net</w:t>
      </w:r>
      <w:r>
        <w:rPr>
          <w:rFonts w:ascii="Arial" w:cs="Arial" w:eastAsia="Arial" w:hAnsi="Arial"/>
          <w:sz w:val="16"/>
          <w:szCs w:val="16"/>
          <w:color w:val="auto"/>
        </w:rPr>
        <w:t>’ on the Condensed Consolidated Balance Sheets, based on its contractual terms. Prior year amounts have been reclassified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Condensed Consolidated Balance Sheet to conform to the current year presentation.</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5"/>
          <w:szCs w:val="15"/>
          <w:color w:val="auto"/>
        </w:rPr>
        <w:t>Goodwill represents the excess of the purchase price over the acquisition date fair value of net assets, including the amount assigned to identifiable intangible assets, acquired in a business combination. The Company evaluates goodwill for impairment annually and whenever events or circumstances make it more likely than not that impairment may have occurred. The Company has the option to first assess qualitative factors to determine whether events or circumstances indicate it is more likely than not that the fair value of a reporting unit is greater than its carrying amount. The Company considers factors in performing a qualitative assessment, including, but not limited to, general macroeconomic conditions, industry and market conditions, company financial performance, changes in strategy, and other relevant entity-specific events. If the Company elects to bypass the qualitative assessment or does not pass the qualitative assessment, a quantitative assessment is performed. The quantitative assessment compares the carrying value to the fair value of goodwill, with the difference representing an impairment loss.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Advertising</w:t>
      </w:r>
    </w:p>
    <w:p>
      <w:pPr>
        <w:spacing w:after="0" w:line="185" w:lineRule="exact"/>
        <w:rPr>
          <w:sz w:val="20"/>
          <w:szCs w:val="20"/>
          <w:color w:val="auto"/>
        </w:rPr>
      </w:pPr>
    </w:p>
    <w:p>
      <w:pPr>
        <w:ind w:right="160"/>
        <w:spacing w:after="0" w:line="325" w:lineRule="auto"/>
        <w:rPr>
          <w:sz w:val="20"/>
          <w:szCs w:val="20"/>
          <w:color w:val="auto"/>
        </w:rPr>
      </w:pPr>
      <w:r>
        <w:rPr>
          <w:rFonts w:ascii="Arial" w:cs="Arial" w:eastAsia="Arial" w:hAnsi="Arial"/>
          <w:sz w:val="14"/>
          <w:szCs w:val="14"/>
          <w:color w:val="auto"/>
        </w:rPr>
        <w:t>Advertising expenses are charged to operations as incurred and are included as a component of ‘</w:t>
      </w:r>
      <w:r>
        <w:rPr>
          <w:rFonts w:ascii="Arial" w:cs="Arial" w:eastAsia="Arial" w:hAnsi="Arial"/>
          <w:sz w:val="14"/>
          <w:szCs w:val="14"/>
          <w:i w:val="1"/>
          <w:iCs w:val="1"/>
          <w:color w:val="auto"/>
        </w:rPr>
        <w:t>Marketing expenses</w:t>
      </w:r>
      <w:r>
        <w:rPr>
          <w:rFonts w:ascii="Arial" w:cs="Arial" w:eastAsia="Arial" w:hAnsi="Arial"/>
          <w:sz w:val="14"/>
          <w:szCs w:val="14"/>
          <w:color w:val="auto"/>
        </w:rPr>
        <w:t>’ within the Condensed Consolidated Statements of Operations. Advertising expenses are used primarily to attract new customers. Advertising expenses totaled $40.6 million and $36.0 million during the three months ended June 30, 2023 and 2022, respectively. Advertising expenses totaled $75.2 million and $70.6 million during the six months ended June 30, 2023 and 2022,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Intangible Assets</w:t>
      </w:r>
    </w:p>
    <w:p>
      <w:pPr>
        <w:spacing w:after="0" w:line="171" w:lineRule="exact"/>
        <w:rPr>
          <w:sz w:val="20"/>
          <w:szCs w:val="20"/>
          <w:color w:val="auto"/>
        </w:rPr>
      </w:pPr>
    </w:p>
    <w:p>
      <w:pPr>
        <w:ind w:right="20"/>
        <w:spacing w:after="0" w:line="317" w:lineRule="auto"/>
        <w:rPr>
          <w:sz w:val="20"/>
          <w:szCs w:val="20"/>
          <w:color w:val="auto"/>
        </w:rPr>
      </w:pPr>
      <w:r>
        <w:rPr>
          <w:rFonts w:ascii="Arial" w:cs="Arial" w:eastAsia="Arial" w:hAnsi="Arial"/>
          <w:sz w:val="14"/>
          <w:szCs w:val="14"/>
          <w:color w:val="auto"/>
        </w:rPr>
        <w:t>Intangible assets with finite lives primarily consist of developed technology, customer relationships, and trade names acquired through business combinations or asset acquisitions. Intangible assets acquired through business combination are recorded at their respective estimated acquisition date fair value and amortized over their estimated useful lives. Other intangible assets acquired through asset acquisitions are recorded at their respective cost. Intangible assets are amortized using a method that reflects the pattern in which the economic benefits of the intangible asset are expected to be realized over their estimated useful lives, or straight lined if not materially different.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Long-Lived Assets</w:t>
      </w:r>
    </w:p>
    <w:p>
      <w:pPr>
        <w:spacing w:after="0" w:line="171"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 Company assesses potential impairments to its long-lived assets when events or changes in circumstances indicate the carrying amount of the asset may not be recoverable. If any indicators of impairment are present, the Company tests recoverability. The carrying value of a long-lived asset or asset group is not recoverable if the carrying value exceeds the sum of the estimated undiscounted future cash flows expected to be generated from the use and eventual disposition of the asset or asset group. If the estimated undiscounted future cash flows do not exceed the asset or asset group’s carrying amount, then an impairment loss is recorded, measured as the amount by which the carrying amount of a long-lived asset or asset group exceeds its estimated fair value.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 Costs</w:t>
      </w:r>
    </w:p>
    <w:p>
      <w:pPr>
        <w:spacing w:after="0" w:line="185"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Transaction costs related to business combinations are expensed as incurred and are included in ‘</w:t>
      </w: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within the Condensed Consolidated Statements of Operations. Transaction costs include acquisition and integration costs, as well as other amounts directly attributable to business combinations. These primarily include external legal, accounting, valuation, and due diligence costs, as well as advisory and other professional services fees necessary to integrate acquired businesses.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Out-of-Period Adjustment</w:t>
      </w:r>
    </w:p>
    <w:p>
      <w:pPr>
        <w:spacing w:after="0" w:line="185" w:lineRule="exact"/>
        <w:rPr>
          <w:sz w:val="20"/>
          <w:szCs w:val="20"/>
          <w:color w:val="auto"/>
        </w:rPr>
      </w:pPr>
    </w:p>
    <w:p>
      <w:pPr>
        <w:ind w:right="120"/>
        <w:spacing w:after="0" w:line="275" w:lineRule="auto"/>
        <w:rPr>
          <w:sz w:val="20"/>
          <w:szCs w:val="20"/>
          <w:color w:val="auto"/>
        </w:rPr>
      </w:pPr>
      <w:r>
        <w:rPr>
          <w:rFonts w:ascii="Arial" w:cs="Arial" w:eastAsia="Arial" w:hAnsi="Arial"/>
          <w:sz w:val="15"/>
          <w:szCs w:val="15"/>
          <w:color w:val="auto"/>
        </w:rPr>
        <w:t xml:space="preserve">The Condensed Consolidated Financial Statements for the three months ended June 30, 2022 include an adjustment of $6.3 million to stock-based compensation expense and additional paid-in capital, to correct for an error identified by management during the preparation of the financial statements for the three months ended June 30, 2022. This adjustment is to reflect the straight-lining of expense over the full service period for graded-vested stock-based compensation awards under ASC 718, Compensation - </w:t>
      </w:r>
      <w:r>
        <w:rPr>
          <w:rFonts w:ascii="Arial" w:cs="Arial" w:eastAsia="Arial" w:hAnsi="Arial"/>
          <w:sz w:val="15"/>
          <w:szCs w:val="15"/>
          <w:i w:val="1"/>
          <w:iCs w:val="1"/>
          <w:color w:val="auto"/>
        </w:rPr>
        <w:t>Stock Compensation</w:t>
      </w:r>
      <w:r>
        <w:rPr>
          <w:rFonts w:ascii="Arial" w:cs="Arial" w:eastAsia="Arial" w:hAnsi="Arial"/>
          <w:sz w:val="15"/>
          <w:szCs w:val="15"/>
          <w:color w:val="auto"/>
        </w:rPr>
        <w:t>, of which $1.9 million relates to the three months ended March 31, 2022, and the remaining $4.4 million amount relates to prior annual fiscal periods.</w:t>
      </w:r>
      <w:r>
        <w:rPr>
          <w:rFonts w:ascii="Arial" w:cs="Arial" w:eastAsia="Arial" w:hAnsi="Arial"/>
          <w:sz w:val="15"/>
          <w:szCs w:val="15"/>
          <w:i w:val="1"/>
          <w:iCs w:val="1"/>
          <w:color w:val="auto"/>
        </w:rPr>
        <w:t xml:space="preserve"> </w:t>
      </w:r>
      <w:r>
        <w:rPr>
          <w:rFonts w:ascii="Arial" w:cs="Arial" w:eastAsia="Arial" w:hAnsi="Arial"/>
          <w:sz w:val="15"/>
          <w:szCs w:val="15"/>
          <w:color w:val="auto"/>
        </w:rPr>
        <w:t>Management has determined that this error was not material to the historical financial statements in any individual period or in the aggregate and did not result in the previously issued financial statements being materially misstated. Additionally, although the impact to the three months ended June 30, 2022 is material, the impact to full year 2022 results is not material. As such, management recorded the correction as an out-of-period adjustment in the three months ended June 30, 2022. Substantially all of the cumulative adjustment was related to stock-based compensation for personnel who support our general and administrative functions and was recorded to ‘</w:t>
      </w:r>
      <w:r>
        <w:rPr>
          <w:rFonts w:ascii="Arial" w:cs="Arial" w:eastAsia="Arial" w:hAnsi="Arial"/>
          <w:sz w:val="15"/>
          <w:szCs w:val="15"/>
          <w:i w:val="1"/>
          <w:iCs w:val="1"/>
          <w:color w:val="auto"/>
        </w:rPr>
        <w:t>General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Administrative expenses’ </w:t>
      </w:r>
      <w:r>
        <w:rPr>
          <w:rFonts w:ascii="Arial" w:cs="Arial" w:eastAsia="Arial" w:hAnsi="Arial"/>
          <w:sz w:val="15"/>
          <w:szCs w:val="15"/>
          <w:color w:val="auto"/>
        </w:rPr>
        <w:t>in the three months ended June 30, 2022.</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Significant Accounting Policies</w:t>
      </w:r>
    </w:p>
    <w:p>
      <w:pPr>
        <w:spacing w:after="0" w:line="171"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 xml:space="preserve">The Company’s significant accounting policies are discussed in Note 2. </w:t>
      </w:r>
      <w:r>
        <w:rPr>
          <w:rFonts w:ascii="Arial" w:cs="Arial" w:eastAsia="Arial" w:hAnsi="Arial"/>
          <w:sz w:val="16"/>
          <w:szCs w:val="16"/>
          <w:i w:val="1"/>
          <w:iCs w:val="1"/>
          <w:color w:val="auto"/>
        </w:rPr>
        <w:t>Basis of Presentation and Summary of Significant Accounting Policies</w:t>
      </w:r>
      <w:r>
        <w:rPr>
          <w:rFonts w:ascii="Arial" w:cs="Arial" w:eastAsia="Arial" w:hAnsi="Arial"/>
          <w:sz w:val="16"/>
          <w:szCs w:val="16"/>
          <w:color w:val="auto"/>
        </w:rPr>
        <w:t xml:space="preserve"> within the Notes to Consolidated Financial Statements included in the Company’s Annual Report on Form 10-K for the year ended December 31, 2022. There have been no significant changes to these policies during the six months ended June 30, 2023, except as noted above.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167"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In October 2021, the Financial Accounting Standards Board (“FASB”) issued Accounting Standards Update (“ASU”) 2021-08, "Business Combinations (Topic 805): Accounting for Contract Assets and Contract Liabilities from Contracts with Customers" ("ASU 2021-08"). ASU 2021-08 will require companies to apply the definition of a performance obligation under ASU 2014-09, “Revenue from contracts with customers” (“Topic 606”) to recognize and measure contract assets and contract liabilities relating to contracts with customers that are acquired in a business combination. Under current GAAP, an acquirer generally recognizes assets acquired and liabilities assumed in a business combination, including contract assets and contract liabilities arising from revenue contracts with customers, at fair value on the acquisition date. ASU 2021-08 will result in the acquirer recording acquired contract assets and liabilities on the same basis that would have been recorded by the acquiree before the acquisition under Topic 606. ASU 2021-08 is effective for fiscal years beginning after December 15, 2022 for public entities and December 15, 2023 for all other entities, with early adoption permitted. The Company assessed the impact of the guidance to its Condensed Consolidated Financial Statements for the three and six months ended June 30, 2023 and concluded that the standard did not have a material impact on its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Accounting Pronouncements Not Yet Adopted</w:t>
      </w:r>
    </w:p>
    <w:p>
      <w:pPr>
        <w:spacing w:after="0" w:line="167" w:lineRule="exact"/>
        <w:rPr>
          <w:sz w:val="20"/>
          <w:szCs w:val="20"/>
          <w:color w:val="auto"/>
        </w:rPr>
      </w:pPr>
    </w:p>
    <w:p>
      <w:pPr>
        <w:ind w:right="40"/>
        <w:spacing w:after="0" w:line="328" w:lineRule="auto"/>
        <w:rPr>
          <w:sz w:val="20"/>
          <w:szCs w:val="20"/>
          <w:color w:val="auto"/>
        </w:rPr>
      </w:pPr>
      <w:r>
        <w:rPr>
          <w:rFonts w:ascii="Arial" w:cs="Arial" w:eastAsia="Arial" w:hAnsi="Arial"/>
          <w:sz w:val="15"/>
          <w:szCs w:val="15"/>
          <w:color w:val="auto"/>
        </w:rPr>
        <w:t>There are other new accounting pronouncements issued by the FASB that the Company has adopted or will adopt, as applicable. The Company does not believe any of these accounting pronouncements have had, or will have, a material impact on the Condensed Consolidated Financial Statements or disclosures.</w:t>
      </w:r>
    </w:p>
    <w:p>
      <w:pPr>
        <w:spacing w:after="0" w:line="78"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171"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auto"/>
        </w:rPr>
        <w:t>The Company’s primary source of revenue is generated from its remittance business. Revenue is earned from transaction fees charged to customers and the foreign exchange spreads earned between the foreign exchange rate offered to customers and the foreign exchange rate on the Company’s currency purchases. Revenue is recognized when control of these services is transferred to the Company’s customers, which is the time the funds have been delivered to the intended recipient in an amount that reflects the consideration the Company expects to be entitled to in exchange for services provided. The Company accounts for revenue in accordance with Accounting Standards Codification (“ASC”) 606, Revenue from Contracts with Customers, which includes the following steps:</w:t>
      </w:r>
    </w:p>
    <w:p>
      <w:pPr>
        <w:spacing w:after="0" w:line="11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identification of the contract with a customer;</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Customers engage the Company to perform one integrated service — collect the customer’s money and deliver funds to the intended recipient in the currency requested.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Payment is generally due from the customer upfront upon initiation of a transaction, when the customer simultaneously agrees to the Company’s terms and conditions.</w:t>
      </w:r>
    </w:p>
    <w:p>
      <w:pPr>
        <w:spacing w:after="0" w:line="175" w:lineRule="exact"/>
        <w:rPr>
          <w:sz w:val="20"/>
          <w:szCs w:val="20"/>
          <w:color w:val="auto"/>
        </w:rPr>
      </w:pPr>
    </w:p>
    <w:p>
      <w:pPr>
        <w:jc w:val="both"/>
        <w:ind w:right="600"/>
        <w:spacing w:after="0" w:line="310" w:lineRule="auto"/>
        <w:rPr>
          <w:sz w:val="20"/>
          <w:szCs w:val="20"/>
          <w:color w:val="auto"/>
        </w:rPr>
      </w:pPr>
      <w:r>
        <w:rPr>
          <w:rFonts w:ascii="Arial" w:cs="Arial" w:eastAsia="Arial" w:hAnsi="Arial"/>
          <w:sz w:val="14"/>
          <w:szCs w:val="14"/>
          <w:color w:val="auto"/>
        </w:rPr>
        <w:t>Revenue is derived from each transaction and varies based on the funding method chosen by the customer, the size of the transaction, the currency to be ultimately disbursed, the rate at which the currency was purchased, the disbursement method chosen by the customer, and the countries to which the funds are transferred. The Company’s contract with customers can be terminated by the customer without a termination penalty up until the time the funds have been delivered to the intended recipient. Therefore, the Company’s contracts are defined at the transaction level and do not extend beyond the service already provided.</w:t>
      </w:r>
    </w:p>
    <w:p>
      <w:pPr>
        <w:spacing w:after="0" w:line="113"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color w:val="auto"/>
        </w:rPr>
        <w:t>The Company’s service comprises a single performance obligation to complete transactions for the Company’s customers. Using compliance and risk assessment tools, the Company performs a transaction risk assessment on individual transactions to determine whether a transaction should be accepted. When the Company accepts a transaction and processes the designated payment method of the customer, the Company becomes obligated to its customer to complete the payment transaction, at which time a receivable is recorded, along with a corresponding customer liability. None of the Company’s contracts contain a significant financing component.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The Company recognizes transaction revenue on a gross basis as it is the principal for fulfilling payment transactions. As the principal to the transaction, the Company controls the service of completing payments on its payment platform. The Company bears primary responsibility for the fulfillment of the payment service, is the merchant of record, contracts directly with its customers, controls the product specifications, and defines the value proposition of its services. The Company is also responsible for providing customer support. Further, the Company has full discretion over determining the fee charged to its customers, which is independent of the cost it incurs in instances where it may utilize payment processors or other financial institutions to perform services on its behalf. These fees paid to payment processors and other financial institutions are recognized as transaction expenses within the Condensed Consolidated Statements of Operations. The Company does not have any capitalized contract acquisition costs.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Revenue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deferred revenue balances from contracts with customers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Six Months Ended June 30,</w:t>
            </w:r>
          </w:p>
        </w:tc>
      </w:tr>
      <w:tr>
        <w:trPr>
          <w:trHeight w:val="237"/>
        </w:trPr>
        <w:tc>
          <w:tcPr>
            <w:tcW w:w="47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3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revenue, beginning of the period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1,068</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1,212</w:t>
            </w:r>
          </w:p>
        </w:tc>
      </w:tr>
      <w:tr>
        <w:trPr>
          <w:trHeight w:val="223"/>
        </w:trPr>
        <w:tc>
          <w:tcPr>
            <w:tcW w:w="4740" w:type="dxa"/>
            <w:vAlign w:val="bottom"/>
          </w:tcPr>
          <w:p>
            <w:pPr>
              <w:ind w:left="20"/>
              <w:spacing w:after="0"/>
              <w:rPr>
                <w:sz w:val="20"/>
                <w:szCs w:val="20"/>
                <w:color w:val="auto"/>
              </w:rPr>
            </w:pPr>
            <w:r>
              <w:rPr>
                <w:rFonts w:ascii="Arial" w:cs="Arial" w:eastAsia="Arial" w:hAnsi="Arial"/>
                <w:sz w:val="16"/>
                <w:szCs w:val="16"/>
                <w:color w:val="auto"/>
              </w:rPr>
              <w:t>Deferred revenue, end of the period</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1,084</w:t>
            </w:r>
          </w:p>
        </w:tc>
      </w:tr>
    </w:tbl>
    <w:p>
      <w:pPr>
        <w:spacing w:after="0" w:line="266"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color w:val="auto"/>
        </w:rPr>
        <w:t>Revenue recognized during the three month periods ended June 30, 2023 and 2022 from amounts included in deferred revenue at the beginning of the period were $0.5 million and $0.4 million, respectively.</w:t>
      </w:r>
    </w:p>
    <w:p>
      <w:pPr>
        <w:spacing w:after="0" w:line="13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Revenue recognized during the six month periods ended June 30, 2023 and 2022 from amounts included in deferred revenue at the beginning of the period were $0.6 million and $0.5 million,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Deferred revenue represents amounts received from customers for which the performance obligations are not yet fulfilled. Deferred revenue is primarily included within</w:t>
      </w:r>
    </w:p>
    <w:p>
      <w:pPr>
        <w:spacing w:after="0" w:line="34"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Accrued expenses and other current liabilities’</w:t>
      </w:r>
      <w:r>
        <w:rPr>
          <w:rFonts w:ascii="Arial" w:cs="Arial" w:eastAsia="Arial" w:hAnsi="Arial"/>
          <w:sz w:val="16"/>
          <w:szCs w:val="16"/>
          <w:color w:val="auto"/>
        </w:rPr>
        <w:t xml:space="preserve"> on the Condensed Consolidated Balance Sheets, as the performance obligations are expected to be fulfilled within the next year.</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Incentives</w:t>
      </w:r>
    </w:p>
    <w:p>
      <w:pPr>
        <w:spacing w:after="0" w:line="185" w:lineRule="exact"/>
        <w:rPr>
          <w:sz w:val="20"/>
          <w:szCs w:val="20"/>
          <w:color w:val="auto"/>
        </w:rPr>
      </w:pPr>
    </w:p>
    <w:p>
      <w:pPr>
        <w:ind w:right="240"/>
        <w:spacing w:after="0" w:line="310" w:lineRule="auto"/>
        <w:rPr>
          <w:sz w:val="20"/>
          <w:szCs w:val="20"/>
          <w:color w:val="auto"/>
        </w:rPr>
      </w:pPr>
      <w:r>
        <w:rPr>
          <w:rFonts w:ascii="Arial" w:cs="Arial" w:eastAsia="Arial" w:hAnsi="Arial"/>
          <w:sz w:val="15"/>
          <w:szCs w:val="15"/>
          <w:color w:val="auto"/>
        </w:rPr>
        <w:t>During the three months ended June 30, 2023 and 2022, payments made to customers resulted in reductions to revenue of $8.0 million and $5.9 million, respectively, and charges to ‘</w:t>
      </w:r>
      <w:r>
        <w:rPr>
          <w:rFonts w:ascii="Arial" w:cs="Arial" w:eastAsia="Arial" w:hAnsi="Arial"/>
          <w:sz w:val="15"/>
          <w:szCs w:val="15"/>
          <w:i w:val="1"/>
          <w:iCs w:val="1"/>
          <w:color w:val="auto"/>
        </w:rPr>
        <w:t>Marketing expenses</w:t>
      </w:r>
      <w:r>
        <w:rPr>
          <w:rFonts w:ascii="Arial" w:cs="Arial" w:eastAsia="Arial" w:hAnsi="Arial"/>
          <w:sz w:val="15"/>
          <w:szCs w:val="15"/>
          <w:color w:val="auto"/>
        </w:rPr>
        <w:t>’ within the Condensed Consolidated Statement of Operations of $4.3 million and $4.9 million, respectively.</w:t>
      </w:r>
    </w:p>
    <w:p>
      <w:pPr>
        <w:spacing w:after="0" w:line="108" w:lineRule="exact"/>
        <w:rPr>
          <w:sz w:val="20"/>
          <w:szCs w:val="20"/>
          <w:color w:val="auto"/>
        </w:rPr>
      </w:pPr>
    </w:p>
    <w:p>
      <w:pPr>
        <w:ind w:right="220"/>
        <w:spacing w:after="0" w:line="310" w:lineRule="auto"/>
        <w:rPr>
          <w:sz w:val="20"/>
          <w:szCs w:val="20"/>
          <w:color w:val="auto"/>
        </w:rPr>
      </w:pPr>
      <w:r>
        <w:rPr>
          <w:rFonts w:ascii="Arial" w:cs="Arial" w:eastAsia="Arial" w:hAnsi="Arial"/>
          <w:sz w:val="15"/>
          <w:szCs w:val="15"/>
          <w:color w:val="auto"/>
        </w:rPr>
        <w:t>During the six months ended June 30, 2023 and 2022, payments made to customers resulted in reductions to revenue of $15.6 million and $10.8 million, respectively, and charges to ‘</w:t>
      </w:r>
      <w:r>
        <w:rPr>
          <w:rFonts w:ascii="Arial" w:cs="Arial" w:eastAsia="Arial" w:hAnsi="Arial"/>
          <w:sz w:val="15"/>
          <w:szCs w:val="15"/>
          <w:i w:val="1"/>
          <w:iCs w:val="1"/>
          <w:color w:val="auto"/>
        </w:rPr>
        <w:t>Marketing expenses</w:t>
      </w:r>
      <w:r>
        <w:rPr>
          <w:rFonts w:ascii="Arial" w:cs="Arial" w:eastAsia="Arial" w:hAnsi="Arial"/>
          <w:sz w:val="15"/>
          <w:szCs w:val="15"/>
          <w:color w:val="auto"/>
        </w:rPr>
        <w:t>’ within the Condensed Consolidated Statement of Operations of $8.5 million and $8.6 million,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by Geography</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the Company’s revenue disaggregated by primary geographical location, attributed to the country in which the sending customer is located:</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Three Months Ended June 30,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r>
      <w:tr>
        <w:trPr>
          <w:trHeight w:val="243"/>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158,994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116,561</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298,086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215,918</w:t>
            </w:r>
          </w:p>
        </w:tc>
      </w:tr>
      <w:tr>
        <w:trPr>
          <w:trHeight w:val="223"/>
        </w:trPr>
        <w:tc>
          <w:tcPr>
            <w:tcW w:w="4720" w:type="dxa"/>
            <w:vAlign w:val="bottom"/>
          </w:tcPr>
          <w:p>
            <w:pPr>
              <w:ind w:left="20"/>
              <w:spacing w:after="0"/>
              <w:rPr>
                <w:sz w:val="20"/>
                <w:szCs w:val="20"/>
                <w:color w:val="auto"/>
              </w:rPr>
            </w:pPr>
            <w:r>
              <w:rPr>
                <w:rFonts w:ascii="Arial" w:cs="Arial" w:eastAsia="Arial" w:hAnsi="Arial"/>
                <w:sz w:val="16"/>
                <w:szCs w:val="16"/>
                <w:color w:val="auto"/>
              </w:rPr>
              <w:t>Canada</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27,478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19,080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52,337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36,359</w:t>
            </w:r>
          </w:p>
        </w:tc>
      </w:tr>
      <w:tr>
        <w:trPr>
          <w:trHeight w:val="33"/>
        </w:trPr>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6"/>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3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47,561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21,614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87,475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40,992</w:t>
            </w:r>
          </w:p>
        </w:tc>
      </w:tr>
      <w:tr>
        <w:trPr>
          <w:trHeight w:val="254"/>
        </w:trPr>
        <w:tc>
          <w:tcPr>
            <w:tcW w:w="472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234,033</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157,255</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437,898</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293,269</w:t>
            </w:r>
          </w:p>
        </w:tc>
      </w:tr>
      <w:tr>
        <w:trPr>
          <w:trHeight w:val="23"/>
        </w:trPr>
        <w:tc>
          <w:tcPr>
            <w:tcW w:w="472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Pr>
          <w:p>
            <w:pPr>
              <w:spacing w:after="0"/>
              <w:rPr>
                <w:sz w:val="20"/>
                <w:szCs w:val="20"/>
                <w:color w:val="auto"/>
              </w:rPr>
            </w:pPr>
            <w:r>
              <w:rPr>
                <w:rFonts w:ascii="Arial" w:cs="Arial" w:eastAsia="Arial" w:hAnsi="Arial"/>
                <w:sz w:val="16"/>
                <w:szCs w:val="16"/>
                <w:b w:val="1"/>
                <w:bCs w:val="1"/>
                <w:color w:val="auto"/>
              </w:rPr>
              <w:t>4.  Property and Equipment</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51"/>
        </w:trPr>
        <w:tc>
          <w:tcPr>
            <w:tcW w:w="8020" w:type="dxa"/>
            <w:vAlign w:val="bottom"/>
          </w:tcPr>
          <w:p>
            <w:pPr>
              <w:spacing w:after="0"/>
              <w:rPr>
                <w:sz w:val="20"/>
                <w:szCs w:val="20"/>
                <w:color w:val="auto"/>
              </w:rPr>
            </w:pPr>
            <w:r>
              <w:rPr>
                <w:rFonts w:ascii="Arial" w:cs="Arial" w:eastAsia="Arial" w:hAnsi="Arial"/>
                <w:sz w:val="16"/>
                <w:szCs w:val="16"/>
                <w:color w:val="auto"/>
              </w:rPr>
              <w:t>Property and equipment, net consisted of the following:</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8"/>
        </w:trPr>
        <w:tc>
          <w:tcPr>
            <w:tcW w:w="8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ind w:right="419"/>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b w:val="1"/>
                <w:bCs w:val="1"/>
                <w:color w:val="auto"/>
                <w:w w:val="97"/>
              </w:rPr>
              <w:t>December 31,</w:t>
            </w:r>
          </w:p>
        </w:tc>
      </w:tr>
      <w:tr>
        <w:trPr>
          <w:trHeight w:val="243"/>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21"/>
                <w:szCs w:val="21"/>
                <w:color w:val="auto"/>
              </w:rPr>
            </w:pPr>
          </w:p>
        </w:tc>
        <w:tc>
          <w:tcPr>
            <w:tcW w:w="1280" w:type="dxa"/>
            <w:vAlign w:val="bottom"/>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33"/>
        </w:trPr>
        <w:tc>
          <w:tcPr>
            <w:tcW w:w="8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internal-use software</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14,072</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Computer and office equipment</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6,177</w:t>
            </w:r>
          </w:p>
        </w:tc>
      </w:tr>
      <w:tr>
        <w:trPr>
          <w:trHeight w:val="24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2,056</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7,952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7,036</w:t>
            </w:r>
          </w:p>
        </w:tc>
      </w:tr>
      <w:tr>
        <w:trPr>
          <w:trHeight w:val="260"/>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Projects in process</w:t>
            </w:r>
          </w:p>
        </w:tc>
        <w:tc>
          <w:tcPr>
            <w:tcW w:w="2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w:t>
            </w:r>
          </w:p>
        </w:tc>
      </w:tr>
      <w:tr>
        <w:trPr>
          <w:trHeight w:val="233"/>
        </w:trPr>
        <w:tc>
          <w:tcPr>
            <w:tcW w:w="8020" w:type="dxa"/>
            <w:vAlign w:val="bottom"/>
          </w:tcPr>
          <w:p>
            <w:pPr>
              <w:ind w:left="240"/>
              <w:spacing w:after="0"/>
              <w:rPr>
                <w:sz w:val="20"/>
                <w:szCs w:val="20"/>
                <w:color w:val="auto"/>
              </w:rPr>
            </w:pPr>
            <w:r>
              <w:rPr>
                <w:rFonts w:ascii="Arial" w:cs="Arial" w:eastAsia="Arial" w:hAnsi="Arial"/>
                <w:sz w:val="16"/>
                <w:szCs w:val="16"/>
                <w:color w:val="auto"/>
              </w:rPr>
              <w:t>Total gross property and equipment</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35,640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30,063</w:t>
            </w:r>
          </w:p>
        </w:tc>
      </w:tr>
      <w:tr>
        <w:trPr>
          <w:trHeight w:val="24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(18,517)</w:t>
            </w:r>
          </w:p>
        </w:tc>
      </w:tr>
      <w:tr>
        <w:trPr>
          <w:trHeight w:val="254"/>
        </w:trPr>
        <w:tc>
          <w:tcPr>
            <w:tcW w:w="8020" w:type="dxa"/>
            <w:vAlign w:val="bottom"/>
          </w:tcPr>
          <w:p>
            <w:pPr>
              <w:ind w:left="240"/>
              <w:spacing w:after="0"/>
              <w:rPr>
                <w:sz w:val="20"/>
                <w:szCs w:val="20"/>
                <w:color w:val="auto"/>
              </w:rPr>
            </w:pPr>
            <w:r>
              <w:rPr>
                <w:rFonts w:ascii="Arial" w:cs="Arial" w:eastAsia="Arial" w:hAnsi="Arial"/>
                <w:sz w:val="16"/>
                <w:szCs w:val="16"/>
                <w:color w:val="auto"/>
              </w:rPr>
              <w:t>Property and equipment, net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13,380</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11,546</w:t>
            </w:r>
          </w:p>
        </w:tc>
      </w:tr>
      <w:tr>
        <w:trPr>
          <w:trHeight w:val="23"/>
        </w:trPr>
        <w:tc>
          <w:tcPr>
            <w:tcW w:w="802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r>
    </w:tbl>
    <w:p>
      <w:pPr>
        <w:spacing w:after="0" w:line="233" w:lineRule="exact"/>
        <w:rPr>
          <w:sz w:val="20"/>
          <w:szCs w:val="20"/>
          <w:color w:val="auto"/>
        </w:rPr>
      </w:pPr>
    </w:p>
    <w:p>
      <w:pPr>
        <w:ind w:right="820"/>
        <w:spacing w:after="0" w:line="293" w:lineRule="auto"/>
        <w:rPr>
          <w:sz w:val="20"/>
          <w:szCs w:val="20"/>
          <w:color w:val="auto"/>
        </w:rPr>
      </w:pPr>
      <w:r>
        <w:rPr>
          <w:rFonts w:ascii="Arial" w:cs="Arial" w:eastAsia="Arial" w:hAnsi="Arial"/>
          <w:sz w:val="16"/>
          <w:szCs w:val="16"/>
          <w:color w:val="auto"/>
        </w:rPr>
        <w:t>Depreciation and amortization expense related to property and equipment was $2.0 million and $1.5 million for the three months ended June 30, 2023 and 2022,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Depreciation and amortization expense related to property and equipment was $3.8 million and $3.0 million for the six months ended June 30, 2023 and 2022,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Internal-Use Software Costs</w:t>
      </w:r>
    </w:p>
    <w:p>
      <w:pPr>
        <w:spacing w:after="0" w:line="171"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 Company capitalized $2.1 million and $1.5 million for internal-use software costs for three months ended June 30, 2023 and 2022, respectively, including $0.9 million and $0.6 million, respectively, of stock-based compensation costs to internal-use software. The Company recorded amortization expense of $1.0 million and $0.7 million for the three months ended June 30, 2023 and 2022, respectively, which is included in ‘</w:t>
      </w:r>
      <w:r>
        <w:rPr>
          <w:rFonts w:ascii="Arial" w:cs="Arial" w:eastAsia="Arial" w:hAnsi="Arial"/>
          <w:sz w:val="16"/>
          <w:szCs w:val="16"/>
          <w:i w:val="1"/>
          <w:iCs w:val="1"/>
          <w:color w:val="auto"/>
        </w:rPr>
        <w:t>Depreciation and amortization expense</w:t>
      </w:r>
      <w:r>
        <w:rPr>
          <w:rFonts w:ascii="Arial" w:cs="Arial" w:eastAsia="Arial" w:hAnsi="Arial"/>
          <w:sz w:val="16"/>
          <w:szCs w:val="16"/>
          <w:color w:val="auto"/>
        </w:rPr>
        <w:t>’ within the Condensed Consolidated Statements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The Company capitalized $3.7 million and $2.6 million for internal-use software costs during the six months ended June 30, 2023 and 2022, respectively, including</w:t>
      </w:r>
    </w:p>
    <w:p>
      <w:pPr>
        <w:spacing w:after="0" w:line="34" w:lineRule="exact"/>
        <w:rPr>
          <w:sz w:val="20"/>
          <w:szCs w:val="20"/>
          <w:color w:val="auto"/>
        </w:rPr>
      </w:pPr>
    </w:p>
    <w:p>
      <w:pPr>
        <w:ind w:right="280"/>
        <w:spacing w:after="0" w:line="267" w:lineRule="auto"/>
        <w:rPr>
          <w:sz w:val="20"/>
          <w:szCs w:val="20"/>
          <w:color w:val="auto"/>
        </w:rPr>
      </w:pPr>
      <w:r>
        <w:rPr>
          <w:rFonts w:ascii="Arial" w:cs="Arial" w:eastAsia="Arial" w:hAnsi="Arial"/>
          <w:sz w:val="16"/>
          <w:szCs w:val="16"/>
          <w:color w:val="auto"/>
        </w:rPr>
        <w:t>$1.4 million and $0.9 million, respectively, of stock-based compensation costs to internal-use software. The Company recorded amortization expense of $1.9 million and $1.4 million for the six months ended June 30, 2023 and 2022, respectively, which is included in ‘</w:t>
      </w:r>
      <w:r>
        <w:rPr>
          <w:rFonts w:ascii="Arial" w:cs="Arial" w:eastAsia="Arial" w:hAnsi="Arial"/>
          <w:sz w:val="16"/>
          <w:szCs w:val="16"/>
          <w:i w:val="1"/>
          <w:iCs w:val="1"/>
          <w:color w:val="auto"/>
        </w:rPr>
        <w:t>Depreciation and amortization expense</w:t>
      </w:r>
      <w:r>
        <w:rPr>
          <w:rFonts w:ascii="Arial" w:cs="Arial" w:eastAsia="Arial" w:hAnsi="Arial"/>
          <w:sz w:val="16"/>
          <w:szCs w:val="16"/>
          <w:color w:val="auto"/>
        </w:rPr>
        <w:t>’ within the Condensed Consolidated Statements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Costs of Cloud Computing Arrangements</w:t>
      </w:r>
    </w:p>
    <w:p>
      <w:pPr>
        <w:spacing w:after="0" w:line="171" w:lineRule="exact"/>
        <w:rPr>
          <w:sz w:val="20"/>
          <w:szCs w:val="20"/>
          <w:color w:val="auto"/>
        </w:rPr>
      </w:pPr>
    </w:p>
    <w:p>
      <w:pPr>
        <w:jc w:val="both"/>
        <w:ind w:right="240"/>
        <w:spacing w:after="0" w:line="293" w:lineRule="auto"/>
        <w:rPr>
          <w:sz w:val="20"/>
          <w:szCs w:val="20"/>
          <w:color w:val="auto"/>
        </w:rPr>
      </w:pPr>
      <w:r>
        <w:rPr>
          <w:rFonts w:ascii="Arial" w:cs="Arial" w:eastAsia="Arial" w:hAnsi="Arial"/>
          <w:sz w:val="16"/>
          <w:szCs w:val="16"/>
          <w:color w:val="auto"/>
        </w:rPr>
        <w:t>The Company capitalized $1.0 million and $0.3 million related to the implementation of cloud computing arrangements during the three months ended June 30, 2023 and 2022, respectively.</w:t>
      </w:r>
    </w:p>
    <w:p>
      <w:pPr>
        <w:spacing w:after="0" w:line="104"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The Company capitalized $1.9 million and $0.7 million related to the implementation of cloud computing arrangements during the six months ended June 30, 2023 and 2022, respectively.</w:t>
      </w:r>
    </w:p>
    <w:p>
      <w:pPr>
        <w:spacing w:after="0" w:line="104" w:lineRule="exact"/>
        <w:rPr>
          <w:sz w:val="20"/>
          <w:szCs w:val="20"/>
          <w:color w:val="auto"/>
        </w:rPr>
      </w:pPr>
    </w:p>
    <w:p>
      <w:pPr>
        <w:jc w:val="both"/>
        <w:ind w:right="240"/>
        <w:spacing w:after="0" w:line="269" w:lineRule="auto"/>
        <w:rPr>
          <w:sz w:val="20"/>
          <w:szCs w:val="20"/>
          <w:color w:val="auto"/>
        </w:rPr>
      </w:pPr>
      <w:r>
        <w:rPr>
          <w:rFonts w:ascii="Arial" w:cs="Arial" w:eastAsia="Arial" w:hAnsi="Arial"/>
          <w:sz w:val="16"/>
          <w:szCs w:val="16"/>
          <w:color w:val="auto"/>
        </w:rPr>
        <w:t>As of June 30, 2023 and December 31, 2022, capitalized costs, net of accumulated amortization, were approximately $3.6 million and $2.5 million, respectively of which $1.9 million and $1.3 million, respectively was recorded within ‘</w:t>
      </w:r>
      <w:r>
        <w:rPr>
          <w:rFonts w:ascii="Arial" w:cs="Arial" w:eastAsia="Arial" w:hAnsi="Arial"/>
          <w:sz w:val="16"/>
          <w:szCs w:val="16"/>
          <w:i w:val="1"/>
          <w:iCs w:val="1"/>
          <w:color w:val="auto"/>
        </w:rPr>
        <w:t>Prepaid expenses and other current assets</w:t>
      </w:r>
      <w:r>
        <w:rPr>
          <w:rFonts w:ascii="Arial" w:cs="Arial" w:eastAsia="Arial" w:hAnsi="Arial"/>
          <w:sz w:val="16"/>
          <w:szCs w:val="16"/>
          <w:color w:val="auto"/>
        </w:rPr>
        <w:t>’ and $1.7 million and $1.2 million, respectively was recorded within ‘</w:t>
      </w:r>
      <w:r>
        <w:rPr>
          <w:rFonts w:ascii="Arial" w:cs="Arial" w:eastAsia="Arial" w:hAnsi="Arial"/>
          <w:sz w:val="16"/>
          <w:szCs w:val="16"/>
          <w:i w:val="1"/>
          <w:iCs w:val="1"/>
          <w:color w:val="auto"/>
        </w:rPr>
        <w:t>Other noncurrent assets, net</w:t>
      </w:r>
      <w:r>
        <w:rPr>
          <w:rFonts w:ascii="Arial" w:cs="Arial" w:eastAsia="Arial" w:hAnsi="Arial"/>
          <w:sz w:val="16"/>
          <w:szCs w:val="16"/>
          <w:color w:val="auto"/>
        </w:rPr>
        <w:t>’ on the Company's Condensed Consolidated Balance Sheets.</w:t>
      </w:r>
    </w:p>
    <w:p>
      <w:pPr>
        <w:spacing w:after="0" w:line="124"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Amortization expense related to capitalized implementation costs for cloud computing arrangements for the three and six months ended June 30, 2023 and 2022 were as follows: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720" w:type="dxa"/>
            <w:vAlign w:val="bottom"/>
          </w:tcPr>
          <w:p>
            <w:pPr>
              <w:spacing w:after="0"/>
              <w:rPr>
                <w:sz w:val="19"/>
                <w:szCs w:val="19"/>
                <w:color w:val="auto"/>
              </w:rPr>
            </w:pPr>
          </w:p>
        </w:tc>
        <w:tc>
          <w:tcPr>
            <w:tcW w:w="27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Three Months Ended June 30,</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Six Months Ended June 30,</w:t>
            </w:r>
          </w:p>
        </w:tc>
      </w:tr>
      <w:tr>
        <w:trPr>
          <w:trHeight w:val="224"/>
        </w:trPr>
        <w:tc>
          <w:tcPr>
            <w:tcW w:w="47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2023</w:t>
            </w:r>
          </w:p>
        </w:tc>
        <w:tc>
          <w:tcPr>
            <w:tcW w:w="4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2022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2022</w:t>
            </w:r>
          </w:p>
        </w:tc>
      </w:tr>
      <w:tr>
        <w:trPr>
          <w:trHeight w:val="33"/>
        </w:trPr>
        <w:tc>
          <w:tcPr>
            <w:tcW w:w="47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200" w:type="dxa"/>
            <w:vAlign w:val="bottom"/>
            <w:gridSpan w:val="2"/>
            <w:shd w:val="clear" w:color="auto" w:fill="CCEEFF"/>
          </w:tcPr>
          <w:p>
            <w:pPr>
              <w:jc w:val="right"/>
              <w:ind w:right="10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50"/>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1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63"/>
        </w:trPr>
        <w:tc>
          <w:tcPr>
            <w:tcW w:w="4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amortization</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1200" w:type="dxa"/>
            <w:vAlign w:val="bottom"/>
            <w:gridSpan w:val="2"/>
            <w:shd w:val="clear" w:color="auto" w:fill="CCEEFF"/>
          </w:tcPr>
          <w:p>
            <w:pPr>
              <w:jc w:val="right"/>
              <w:ind w:right="10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Business Combinations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The Company completed its acquisition of Rewire (O.S.G) Research and Development Ltd. (“Rewire”) on January 5, 2023 by acquiring all outstanding equity interests of Rewire in exchange for cash and equity consideration, described below. The acquisition of Rewire allows the Company to accelerate its opportunity to differentiate the remittance experience with complementary products, by bringing together its remittance businesses in new geographies, along with a strong team that is culturally aligned with the Company.</w:t>
      </w:r>
    </w:p>
    <w:p>
      <w:pPr>
        <w:spacing w:after="0" w:line="123" w:lineRule="exact"/>
        <w:rPr>
          <w:sz w:val="20"/>
          <w:szCs w:val="20"/>
          <w:color w:val="auto"/>
        </w:rPr>
      </w:pPr>
    </w:p>
    <w:p>
      <w:pPr>
        <w:jc w:val="both"/>
        <w:ind w:right="180"/>
        <w:spacing w:after="0" w:line="262" w:lineRule="auto"/>
        <w:rPr>
          <w:sz w:val="20"/>
          <w:szCs w:val="20"/>
          <w:color w:val="auto"/>
        </w:rPr>
      </w:pPr>
      <w:r>
        <w:rPr>
          <w:rFonts w:ascii="Arial" w:cs="Arial" w:eastAsia="Arial" w:hAnsi="Arial"/>
          <w:sz w:val="16"/>
          <w:szCs w:val="16"/>
          <w:color w:val="auto"/>
        </w:rPr>
        <w:t>The acquisition meets the criteria to be accounted for as a business combination in accordance with ASC 805, Business Combinations (“ASC 805”). This method requires, among other things, that assets acquired and liabilities assumed be recognized at their fair values as of the acquisition date and that the difference between the fair value of the consideration paid for the acquired entity and the fair value of the net assets acquired be recorded as goodwill, which is not amortized but is tested at least annually for impairment.</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Consideration Transferred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estimated acquisition date fair value of consideration transferred for the acquisition totaled $77.9 million,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8"/>
                <w:szCs w:val="18"/>
                <w:color w:val="auto"/>
              </w:rPr>
            </w:pPr>
          </w:p>
        </w:tc>
        <w:tc>
          <w:tcPr>
            <w:tcW w:w="1280" w:type="dxa"/>
            <w:vAlign w:val="bottom"/>
          </w:tcPr>
          <w:p>
            <w:pPr>
              <w:jc w:val="right"/>
              <w:ind w:right="419"/>
              <w:spacing w:after="0"/>
              <w:rPr>
                <w:sz w:val="20"/>
                <w:szCs w:val="20"/>
                <w:color w:val="auto"/>
              </w:rPr>
            </w:pPr>
            <w:r>
              <w:rPr>
                <w:rFonts w:ascii="Arial" w:cs="Arial" w:eastAsia="Arial" w:hAnsi="Arial"/>
                <w:sz w:val="16"/>
                <w:szCs w:val="16"/>
                <w:b w:val="1"/>
                <w:bCs w:val="1"/>
                <w:color w:val="auto"/>
              </w:rPr>
              <w:t>Amount</w:t>
            </w:r>
          </w:p>
        </w:tc>
      </w:tr>
      <w:tr>
        <w:trPr>
          <w:trHeight w:val="33"/>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to selling shareholders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56,398</w:t>
            </w:r>
          </w:p>
        </w:tc>
      </w:tr>
      <w:tr>
        <w:trPr>
          <w:trHeight w:val="233"/>
        </w:trPr>
        <w:tc>
          <w:tcPr>
            <w:tcW w:w="9680" w:type="dxa"/>
            <w:vAlign w:val="bottom"/>
          </w:tcPr>
          <w:p>
            <w:pPr>
              <w:ind w:left="20"/>
              <w:spacing w:after="0"/>
              <w:rPr>
                <w:sz w:val="20"/>
                <w:szCs w:val="20"/>
                <w:color w:val="auto"/>
              </w:rPr>
            </w:pPr>
            <w:r>
              <w:rPr>
                <w:rFonts w:ascii="Arial" w:cs="Arial" w:eastAsia="Arial" w:hAnsi="Arial"/>
                <w:sz w:val="16"/>
                <w:szCs w:val="16"/>
                <w:color w:val="auto"/>
              </w:rPr>
              <w:t>Equity issued to selling shareholders, including replacement of equity awards attributable to pre-combination services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7,216</w:t>
            </w:r>
          </w:p>
        </w:tc>
      </w:tr>
      <w:tr>
        <w:trPr>
          <w:trHeight w:val="246"/>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Holdback liability to be settled in cash and Company equity</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11,899</w:t>
            </w:r>
          </w:p>
        </w:tc>
      </w:tr>
      <w:tr>
        <w:trPr>
          <w:trHeight w:val="236"/>
        </w:trPr>
        <w:tc>
          <w:tcPr>
            <w:tcW w:w="9680" w:type="dxa"/>
            <w:vAlign w:val="bottom"/>
          </w:tcPr>
          <w:p>
            <w:pPr>
              <w:ind w:left="20"/>
              <w:spacing w:after="0"/>
              <w:rPr>
                <w:sz w:val="20"/>
                <w:szCs w:val="20"/>
                <w:color w:val="auto"/>
              </w:rPr>
            </w:pPr>
            <w:r>
              <w:rPr>
                <w:rFonts w:ascii="Arial" w:cs="Arial" w:eastAsia="Arial" w:hAnsi="Arial"/>
                <w:sz w:val="16"/>
                <w:szCs w:val="16"/>
                <w:color w:val="auto"/>
              </w:rPr>
              <w:t>Effective settlement of pre-existing net receivable owed to the Company</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2,401</w:t>
            </w:r>
          </w:p>
        </w:tc>
      </w:tr>
      <w:tr>
        <w:trPr>
          <w:trHeight w:val="278"/>
        </w:trPr>
        <w:tc>
          <w:tcPr>
            <w:tcW w:w="9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consideration transferred</w:t>
            </w: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77,914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The fair value of equity was determined based on the closing price of the Company’s common stock immediately prior to acquisition, and includes 694,918 shares issued in Company common stock, inclusive of 104,080 shares which are subject to service-based vesting conditions over a two year period. Approximately $0.6 million of these proceeds were accounted for as pre-combination expense, and included within the total consideration transferred noted above, with the remaining $0.9 million to be recognized as post-combination share-based compensation expense over the requisite service period. The equity issued excludes 133,309 shares and restricted stock units held back and not legally issued at acquisition date, as further discussed below.</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Approximately $11.9 million of the cash and equity proceeds were held back to satisfy any necessary adjustments, including without limitation, indemnification claims related to general representations and warranties, and any net working capital adjustments. The majority of this holdback is expected to be settled in cash, and the remainder in Company common stock and restricted stock units, which approximated 133,309 shares held back and not legally issued at acquisition date. Such amounts will be settled after a 15-month holdback period, net of any amounts necessary to satisfy all unsatisfied or disputed claims for indemnification and net working capital adjustments. As of the acquisition date, this represented approximately $10.4 million in cash and $1.5 million in equity, as discussed above, issuable at the end of the holdback period in Company common stock, subject to the aforementioned adjustments.</w:t>
      </w:r>
    </w:p>
    <w:p>
      <w:pPr>
        <w:spacing w:after="0" w:line="145" w:lineRule="exact"/>
        <w:rPr>
          <w:sz w:val="20"/>
          <w:szCs w:val="20"/>
          <w:color w:val="auto"/>
        </w:rPr>
      </w:pPr>
    </w:p>
    <w:p>
      <w:pPr>
        <w:ind w:right="320"/>
        <w:spacing w:after="0" w:line="262" w:lineRule="auto"/>
        <w:rPr>
          <w:sz w:val="20"/>
          <w:szCs w:val="20"/>
          <w:color w:val="auto"/>
        </w:rPr>
      </w:pPr>
      <w:r>
        <w:rPr>
          <w:rFonts w:ascii="Arial" w:cs="Arial" w:eastAsia="Arial" w:hAnsi="Arial"/>
          <w:sz w:val="16"/>
          <w:szCs w:val="16"/>
          <w:color w:val="auto"/>
        </w:rPr>
        <w:t>Included in consideration transferred is the settlement of a pre-existing net receivable owed to the Company by Rewire, which was effectively settled and became intercompany arrangements as of the closing of the transaction. Excluding the impact of the outstanding net receivable owed to the Company by Rewire, the Company would have paid $2.4 million more for the business at closing, and therefore the GAAP purchase price reflects an increase in that amount. The settlement of pre-existing relationships between the Company and Rewire did not result in any material gain or loss.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Holdback Liability</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holdback of cash and equity proceeds discussed above was recorded at its acquisition date fair value and was classified as a liability within ‘</w:t>
      </w:r>
      <w:r>
        <w:rPr>
          <w:rFonts w:ascii="Arial" w:cs="Arial" w:eastAsia="Arial" w:hAnsi="Arial"/>
          <w:sz w:val="16"/>
          <w:szCs w:val="16"/>
          <w:i w:val="1"/>
          <w:iCs w:val="1"/>
          <w:color w:val="auto"/>
        </w:rPr>
        <w:t>Other noncurrent liabilities</w:t>
      </w:r>
      <w:r>
        <w:rPr>
          <w:rFonts w:ascii="Arial" w:cs="Arial" w:eastAsia="Arial" w:hAnsi="Arial"/>
          <w:sz w:val="16"/>
          <w:szCs w:val="16"/>
          <w:color w:val="auto"/>
        </w:rPr>
        <w:t>’ on the Company’s Condensed Consolidated Balance Sheets at the acquisition date. The portion of the holdback to be settled in Company shares continues to be recorded at its fair value through its settlement date, with changes recorded to earnings. The estimated fair value of the portion of the holdback liability that will be settled in equity uses both observable and unobservable inputs, specifically considering the price of the Company’s common stock, as well as the probability of payout at the end of the holdback period, and is considered a Level 3 measurement, as defined in ASC 820, Fair Value Measurement (“ASC 820”). As of June 30, 2023, the holdback liability was recorded within ‘</w:t>
      </w:r>
      <w:r>
        <w:rPr>
          <w:rFonts w:ascii="Arial" w:cs="Arial" w:eastAsia="Arial" w:hAnsi="Arial"/>
          <w:sz w:val="16"/>
          <w:szCs w:val="16"/>
          <w:i w:val="1"/>
          <w:iCs w:val="1"/>
          <w:color w:val="auto"/>
        </w:rPr>
        <w:t>Accrued expenses and other current liabilities</w:t>
      </w:r>
      <w:r>
        <w:rPr>
          <w:rFonts w:ascii="Arial" w:cs="Arial" w:eastAsia="Arial" w:hAnsi="Arial"/>
          <w:sz w:val="16"/>
          <w:szCs w:val="16"/>
          <w:color w:val="auto"/>
        </w:rPr>
        <w:t>’ on the Company’s Condensed Consolidated Balance Sheets as the liability is set to be fulfilled within twelve months of the balance sheet date.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During the three and six months ended June 30, 2023, the Company recorded $0.2 million and $1.0 million, respectively, to reflect the change in the fair value of the holdback liability, recorded within ‘</w:t>
      </w: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within the Condensed Consolidated Statements of Operations. As of June 30, 2023, the fair value of the holdback liability was $12.9 million, of which $10.4 million will be paid in cash and the remainder in equity.</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Assets Acquired and Liabilities Assumed</w:t>
      </w:r>
    </w:p>
    <w:p>
      <w:pPr>
        <w:spacing w:after="0" w:line="185" w:lineRule="exact"/>
        <w:rPr>
          <w:sz w:val="20"/>
          <w:szCs w:val="20"/>
          <w:color w:val="auto"/>
        </w:rPr>
      </w:pPr>
    </w:p>
    <w:p>
      <w:pPr>
        <w:ind w:right="60"/>
        <w:spacing w:after="0" w:line="303" w:lineRule="auto"/>
        <w:rPr>
          <w:sz w:val="20"/>
          <w:szCs w:val="20"/>
          <w:color w:val="auto"/>
        </w:rPr>
      </w:pPr>
      <w:r>
        <w:rPr>
          <w:rFonts w:ascii="Arial" w:cs="Arial" w:eastAsia="Arial" w:hAnsi="Arial"/>
          <w:sz w:val="14"/>
          <w:szCs w:val="14"/>
          <w:color w:val="auto"/>
        </w:rPr>
        <w:t>The identifiable assets acquired and liabilities assumed of Rewire were recorded at their preliminary fair values as of the acquisition date and consolidated with those of the Company. Assigning fair market values to the assets acquired and liabilities assumed at the date of an acquisition requires the use of significant judgments regarding estimates and assumptions. For the preliminary fair values of the assets acquired and liabilities assumed, the Company predominantly applied the cost and income approaches, including market participant assumptions. The key assumptions in applying the income approach used in valuing the identified intangible assets include forecasted revenue and growth rates for a hypothetical market participant, selected discount rates, as well as migration curves for developed technology. The following table summarizes the preliminary allocation of the purchase consideration to the assets acquired and liabilities assumed based on their acquisition-date fair values: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Purchase Price</w:t>
            </w:r>
          </w:p>
        </w:tc>
      </w:tr>
      <w:tr>
        <w:trPr>
          <w:trHeight w:val="210"/>
        </w:trPr>
        <w:tc>
          <w:tcPr>
            <w:tcW w:w="96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8"/>
                <w:szCs w:val="18"/>
                <w:color w:val="auto"/>
              </w:rPr>
            </w:pPr>
          </w:p>
        </w:tc>
        <w:tc>
          <w:tcPr>
            <w:tcW w:w="1380" w:type="dxa"/>
            <w:vAlign w:val="bottom"/>
          </w:tcPr>
          <w:p>
            <w:pPr>
              <w:jc w:val="right"/>
              <w:ind w:right="359"/>
              <w:spacing w:after="0"/>
              <w:rPr>
                <w:sz w:val="20"/>
                <w:szCs w:val="20"/>
                <w:color w:val="auto"/>
              </w:rPr>
            </w:pPr>
            <w:r>
              <w:rPr>
                <w:rFonts w:ascii="Arial" w:cs="Arial" w:eastAsia="Arial" w:hAnsi="Arial"/>
                <w:sz w:val="16"/>
                <w:szCs w:val="16"/>
                <w:b w:val="1"/>
                <w:bCs w:val="1"/>
                <w:color w:val="auto"/>
              </w:rPr>
              <w:t>Allocation</w:t>
            </w:r>
          </w:p>
        </w:tc>
      </w:tr>
      <w:tr>
        <w:trPr>
          <w:trHeight w:val="33"/>
        </w:trPr>
        <w:tc>
          <w:tcPr>
            <w:tcW w:w="9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6"/>
        </w:trPr>
        <w:tc>
          <w:tcPr>
            <w:tcW w:w="9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15,465</w:t>
            </w:r>
          </w:p>
        </w:tc>
      </w:tr>
      <w:tr>
        <w:trPr>
          <w:trHeight w:val="233"/>
        </w:trPr>
        <w:tc>
          <w:tcPr>
            <w:tcW w:w="9660" w:type="dxa"/>
            <w:vAlign w:val="bottom"/>
          </w:tcPr>
          <w:p>
            <w:pPr>
              <w:ind w:left="20"/>
              <w:spacing w:after="0"/>
              <w:rPr>
                <w:sz w:val="20"/>
                <w:szCs w:val="20"/>
                <w:color w:val="auto"/>
              </w:rPr>
            </w:pPr>
            <w:r>
              <w:rPr>
                <w:rFonts w:ascii="Arial" w:cs="Arial" w:eastAsia="Arial" w:hAnsi="Arial"/>
                <w:sz w:val="16"/>
                <w:szCs w:val="16"/>
                <w:color w:val="auto"/>
              </w:rPr>
              <w:t>Disbursement prefunding</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6,016</w:t>
            </w:r>
          </w:p>
        </w:tc>
      </w:tr>
      <w:tr>
        <w:trPr>
          <w:trHeight w:val="246"/>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funds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3,423</w:t>
            </w:r>
          </w:p>
        </w:tc>
      </w:tr>
      <w:tr>
        <w:trPr>
          <w:trHeight w:val="233"/>
        </w:trPr>
        <w:tc>
          <w:tcPr>
            <w:tcW w:w="9660" w:type="dxa"/>
            <w:vAlign w:val="bottom"/>
          </w:tcPr>
          <w:p>
            <w:pPr>
              <w:ind w:left="20"/>
              <w:spacing w:after="0"/>
              <w:rPr>
                <w:sz w:val="20"/>
                <w:szCs w:val="20"/>
                <w:color w:val="auto"/>
              </w:rPr>
            </w:pPr>
            <w:r>
              <w:rPr>
                <w:rFonts w:ascii="Arial" w:cs="Arial" w:eastAsia="Arial" w:hAnsi="Arial"/>
                <w:sz w:val="16"/>
                <w:szCs w:val="16"/>
                <w:color w:val="auto"/>
              </w:rPr>
              <w:t>Prepaid expenses and other assets, net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1,187</w:t>
            </w:r>
          </w:p>
        </w:tc>
      </w:tr>
      <w:tr>
        <w:trPr>
          <w:trHeight w:val="246"/>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3"/>
        </w:trPr>
        <w:tc>
          <w:tcPr>
            <w:tcW w:w="9660" w:type="dxa"/>
            <w:vAlign w:val="bottom"/>
          </w:tcPr>
          <w:p>
            <w:pPr>
              <w:ind w:left="360"/>
              <w:spacing w:after="0"/>
              <w:rPr>
                <w:sz w:val="20"/>
                <w:szCs w:val="20"/>
                <w:color w:val="auto"/>
              </w:rPr>
            </w:pPr>
            <w:r>
              <w:rPr>
                <w:rFonts w:ascii="Arial" w:cs="Arial" w:eastAsia="Arial" w:hAnsi="Arial"/>
                <w:sz w:val="16"/>
                <w:szCs w:val="16"/>
                <w:color w:val="auto"/>
              </w:rPr>
              <w:t>Trade name</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53"/>
        </w:trPr>
        <w:tc>
          <w:tcPr>
            <w:tcW w:w="9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Customer relationships</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w:t>
            </w:r>
          </w:p>
        </w:tc>
      </w:tr>
      <w:tr>
        <w:trPr>
          <w:trHeight w:val="224"/>
        </w:trPr>
        <w:tc>
          <w:tcPr>
            <w:tcW w:w="9660" w:type="dxa"/>
            <w:vAlign w:val="bottom"/>
          </w:tcPr>
          <w:p>
            <w:pPr>
              <w:ind w:left="360"/>
              <w:spacing w:after="0"/>
              <w:rPr>
                <w:sz w:val="20"/>
                <w:szCs w:val="20"/>
                <w:color w:val="auto"/>
              </w:rPr>
            </w:pPr>
            <w:r>
              <w:rPr>
                <w:rFonts w:ascii="Arial" w:cs="Arial" w:eastAsia="Arial" w:hAnsi="Arial"/>
                <w:sz w:val="16"/>
                <w:szCs w:val="16"/>
                <w:color w:val="auto"/>
              </w:rPr>
              <w:t>Developed technology</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12,000</w:t>
            </w:r>
          </w:p>
        </w:tc>
      </w:tr>
      <w:tr>
        <w:trPr>
          <w:trHeight w:val="33"/>
        </w:trPr>
        <w:tc>
          <w:tcPr>
            <w:tcW w:w="9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9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54,940</w:t>
            </w:r>
          </w:p>
        </w:tc>
      </w:tr>
      <w:tr>
        <w:trPr>
          <w:trHeight w:val="223"/>
        </w:trPr>
        <w:tc>
          <w:tcPr>
            <w:tcW w:w="9660" w:type="dxa"/>
            <w:vAlign w:val="bottom"/>
          </w:tcPr>
          <w:p>
            <w:pPr>
              <w:ind w:left="20"/>
              <w:spacing w:after="0"/>
              <w:rPr>
                <w:sz w:val="20"/>
                <w:szCs w:val="20"/>
                <w:color w:val="auto"/>
              </w:rPr>
            </w:pPr>
            <w:r>
              <w:rPr>
                <w:rFonts w:ascii="Arial" w:cs="Arial" w:eastAsia="Arial" w:hAnsi="Arial"/>
                <w:sz w:val="16"/>
                <w:szCs w:val="16"/>
                <w:color w:val="auto"/>
              </w:rPr>
              <w:t>Customer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(3,075)</w:t>
            </w:r>
          </w:p>
        </w:tc>
      </w:tr>
      <w:tr>
        <w:trPr>
          <w:trHeight w:val="33"/>
        </w:trPr>
        <w:tc>
          <w:tcPr>
            <w:tcW w:w="9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9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Advance for future deposits</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w:t>
            </w:r>
          </w:p>
        </w:tc>
      </w:tr>
      <w:tr>
        <w:trPr>
          <w:trHeight w:val="233"/>
        </w:trPr>
        <w:tc>
          <w:tcPr>
            <w:tcW w:w="9660" w:type="dxa"/>
            <w:vAlign w:val="bottom"/>
          </w:tcPr>
          <w:p>
            <w:pPr>
              <w:ind w:left="20"/>
              <w:spacing w:after="0"/>
              <w:rPr>
                <w:sz w:val="20"/>
                <w:szCs w:val="20"/>
                <w:color w:val="auto"/>
              </w:rPr>
            </w:pPr>
            <w:r>
              <w:rPr>
                <w:rFonts w:ascii="Arial" w:cs="Arial" w:eastAsia="Arial" w:hAnsi="Arial"/>
                <w:sz w:val="16"/>
                <w:szCs w:val="16"/>
                <w:color w:val="auto"/>
              </w:rPr>
              <w:t>Other assumed indebtedness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(16,234)</w:t>
            </w:r>
          </w:p>
        </w:tc>
      </w:tr>
      <w:tr>
        <w:trPr>
          <w:trHeight w:val="260"/>
        </w:trPr>
        <w:tc>
          <w:tcPr>
            <w:tcW w:w="9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 net</w:t>
            </w: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(2,758)</w:t>
            </w:r>
          </w:p>
        </w:tc>
      </w:tr>
      <w:tr>
        <w:trPr>
          <w:trHeight w:val="243"/>
        </w:trPr>
        <w:tc>
          <w:tcPr>
            <w:tcW w:w="9660" w:type="dxa"/>
            <w:vAlign w:val="bottom"/>
          </w:tcPr>
          <w:p>
            <w:pPr>
              <w:ind w:left="360"/>
              <w:spacing w:after="0"/>
              <w:rPr>
                <w:sz w:val="20"/>
                <w:szCs w:val="20"/>
                <w:color w:val="auto"/>
              </w:rPr>
            </w:pPr>
            <w:r>
              <w:rPr>
                <w:rFonts w:ascii="Arial" w:cs="Arial" w:eastAsia="Arial" w:hAnsi="Arial"/>
                <w:sz w:val="16"/>
                <w:szCs w:val="16"/>
                <w:color w:val="auto"/>
              </w:rPr>
              <w:t>Total consideration transferred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77,914</w:t>
            </w:r>
          </w:p>
        </w:tc>
      </w:tr>
      <w:tr>
        <w:trPr>
          <w:trHeight w:val="21"/>
        </w:trPr>
        <w:tc>
          <w:tcPr>
            <w:tcW w:w="9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140"/>
        <w:spacing w:after="0" w:line="284" w:lineRule="auto"/>
        <w:rPr>
          <w:sz w:val="20"/>
          <w:szCs w:val="20"/>
          <w:color w:val="auto"/>
        </w:rPr>
      </w:pPr>
      <w:r>
        <w:rPr>
          <w:rFonts w:ascii="Arial" w:cs="Arial" w:eastAsia="Arial" w:hAnsi="Arial"/>
          <w:sz w:val="15"/>
          <w:szCs w:val="15"/>
          <w:color w:val="auto"/>
        </w:rPr>
        <w:t>As of June 30, 2023, the valuation of assets acquired and liabilities assumed of Rewire is substantially complete except with respect to the finalization of certain assets and liabilities, including underlying assumptions for developed technology and the tax impacts of the acquisition. These amounts may be further adjusted as management continues to gather and evaluate information about circumstances that existed as of the acquisition date, and as the resulting fair values of net assets acquired are finalized, and such adjustments could be significant. The measurement period will not exceed 12 months from the date of acquisition.</w:t>
      </w:r>
    </w:p>
    <w:p>
      <w:pPr>
        <w:spacing w:after="0" w:line="115" w:lineRule="exact"/>
        <w:rPr>
          <w:sz w:val="20"/>
          <w:szCs w:val="20"/>
          <w:color w:val="auto"/>
        </w:rPr>
      </w:pPr>
    </w:p>
    <w:p>
      <w:pPr>
        <w:ind w:right="80"/>
        <w:spacing w:after="0" w:line="295" w:lineRule="auto"/>
        <w:rPr>
          <w:sz w:val="20"/>
          <w:szCs w:val="20"/>
          <w:color w:val="auto"/>
        </w:rPr>
      </w:pPr>
      <w:r>
        <w:rPr>
          <w:rFonts w:ascii="Arial" w:cs="Arial" w:eastAsia="Arial" w:hAnsi="Arial"/>
          <w:sz w:val="15"/>
          <w:szCs w:val="15"/>
          <w:color w:val="auto"/>
        </w:rPr>
        <w:t>The excess of the purchase consideration over the fair value of net tangible and identifiable intangible assets acquired was recorded as goodwill and is primarily attributable to the revenue and cost synergies expected to arise from the acquisition through continued geographic expansion and product differentiation, along with the acquired workforce of Rewire. Goodwill is expected to be deductible for income tax purposes. The acquisition did not change the Company’s one operating segment.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Acquired Receivables</w:t>
      </w:r>
    </w:p>
    <w:p>
      <w:pPr>
        <w:spacing w:after="0" w:line="171"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The fair value of the financial assets acquired include ‘</w:t>
      </w:r>
      <w:r>
        <w:rPr>
          <w:rFonts w:ascii="Arial" w:cs="Arial" w:eastAsia="Arial" w:hAnsi="Arial"/>
          <w:sz w:val="16"/>
          <w:szCs w:val="16"/>
          <w:i w:val="1"/>
          <w:iCs w:val="1"/>
          <w:color w:val="auto"/>
        </w:rPr>
        <w:t>Disbursement prefunding’</w:t>
      </w:r>
      <w:r>
        <w:rPr>
          <w:rFonts w:ascii="Arial" w:cs="Arial" w:eastAsia="Arial" w:hAnsi="Arial"/>
          <w:sz w:val="16"/>
          <w:szCs w:val="16"/>
          <w:color w:val="auto"/>
        </w:rPr>
        <w:t xml:space="preserve"> and ‘</w:t>
      </w:r>
      <w:r>
        <w:rPr>
          <w:rFonts w:ascii="Arial" w:cs="Arial" w:eastAsia="Arial" w:hAnsi="Arial"/>
          <w:sz w:val="16"/>
          <w:szCs w:val="16"/>
          <w:i w:val="1"/>
          <w:iCs w:val="1"/>
          <w:color w:val="auto"/>
        </w:rPr>
        <w:t>Customer funds receivable, ne</w:t>
      </w:r>
      <w:r>
        <w:rPr>
          <w:rFonts w:ascii="Arial" w:cs="Arial" w:eastAsia="Arial" w:hAnsi="Arial"/>
          <w:sz w:val="16"/>
          <w:szCs w:val="16"/>
          <w:color w:val="auto"/>
        </w:rPr>
        <w:t>t’, with a fair value of $6.0 million and $3.4 million, respectively, as disclosed above. The Company expects to collect substantially all of these receivables.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 Costs</w:t>
      </w:r>
    </w:p>
    <w:p>
      <w:pPr>
        <w:spacing w:after="0" w:line="17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Transaction costs totaled $0.5 million and $1.7 million for the three and six months ended June 30, 2023. Transaction costs totaled $0.8 million for the three and six months ended June 30, 2022. Such costs are primarily related to the Company’s aforementioned acquisition of Rewire.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Disclosures</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The results of Rewire have been included within the Condensed Consolidated Financial Statements since the date of the acquisition. Rewire’s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included within the Condensed Consolidated Statements of Operations since the acquisition date was $3.7 million and $6.9 million, for the three and six months ended June 30, 2023, respectively. Rewire’s ‘</w:t>
      </w:r>
      <w:r>
        <w:rPr>
          <w:rFonts w:ascii="Arial" w:cs="Arial" w:eastAsia="Arial" w:hAnsi="Arial"/>
          <w:sz w:val="16"/>
          <w:szCs w:val="16"/>
          <w:i w:val="1"/>
          <w:iCs w:val="1"/>
          <w:color w:val="auto"/>
        </w:rPr>
        <w:t>Net Loss’</w:t>
      </w:r>
      <w:r>
        <w:rPr>
          <w:rFonts w:ascii="Arial" w:cs="Arial" w:eastAsia="Arial" w:hAnsi="Arial"/>
          <w:sz w:val="16"/>
          <w:szCs w:val="16"/>
          <w:color w:val="auto"/>
        </w:rPr>
        <w:t xml:space="preserve"> included within the Condensed Consolidated Statements of Operations since the acquisition date was $(9.7) million and $(18.2) million for the three and six months ended June 30, 2023, respectively.</w:t>
      </w:r>
    </w:p>
    <w:p>
      <w:pPr>
        <w:spacing w:after="0" w:line="123" w:lineRule="exact"/>
        <w:rPr>
          <w:sz w:val="20"/>
          <w:szCs w:val="20"/>
          <w:color w:val="auto"/>
        </w:rPr>
      </w:pPr>
    </w:p>
    <w:p>
      <w:pPr>
        <w:ind w:right="300"/>
        <w:spacing w:after="0" w:line="262" w:lineRule="auto"/>
        <w:rPr>
          <w:sz w:val="20"/>
          <w:szCs w:val="20"/>
          <w:color w:val="auto"/>
        </w:rPr>
      </w:pPr>
      <w:r>
        <w:rPr>
          <w:rFonts w:ascii="Arial" w:cs="Arial" w:eastAsia="Arial" w:hAnsi="Arial"/>
          <w:sz w:val="16"/>
          <w:szCs w:val="16"/>
          <w:color w:val="auto"/>
        </w:rPr>
        <w:t>Pro forma financial information has not been presented, as revenue and expenses related to the acquisition did not have a material impact on the Company’s unaudited Condensed Consolidated Financial Statements. Had Rewire been acquired on January 1, 2022, the Company's revenue and expenses would not have been materially impacted; however, the Company’s net loss would have increased during 2022. Significant pro forma adjustments include transaction costs and amortization of acquired intangibles, as discussed further above.</w:t>
      </w:r>
    </w:p>
    <w:p>
      <w:pPr>
        <w:spacing w:after="0" w:line="138" w:lineRule="exact"/>
        <w:rPr>
          <w:sz w:val="20"/>
          <w:szCs w:val="20"/>
          <w:color w:val="auto"/>
        </w:rPr>
      </w:pPr>
    </w:p>
    <w:p>
      <w:pPr>
        <w:ind w:right="8800" w:firstLine="8"/>
        <w:spacing w:after="0" w:line="460" w:lineRule="auto"/>
        <w:tabs>
          <w:tab w:leader="none" w:pos="284"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Goodwill and Intangible Assets Goodwill</w:t>
      </w:r>
    </w:p>
    <w:p>
      <w:pPr>
        <w:spacing w:after="0" w:line="1" w:lineRule="exact"/>
        <w:rPr>
          <w:sz w:val="20"/>
          <w:szCs w:val="20"/>
          <w:color w:val="auto"/>
        </w:rPr>
      </w:pPr>
    </w:p>
    <w:p>
      <w:pPr>
        <w:ind w:right="420"/>
        <w:spacing w:after="0" w:line="269" w:lineRule="auto"/>
        <w:rPr>
          <w:sz w:val="20"/>
          <w:szCs w:val="20"/>
          <w:color w:val="auto"/>
        </w:rPr>
      </w:pPr>
      <w:r>
        <w:rPr>
          <w:rFonts w:ascii="Arial" w:cs="Arial" w:eastAsia="Arial" w:hAnsi="Arial"/>
          <w:sz w:val="16"/>
          <w:szCs w:val="16"/>
          <w:color w:val="auto"/>
        </w:rPr>
        <w:t xml:space="preserve">The goodwill recorded on the Condensed Consolidated Balance Sheets as of June 30, 2023 was attributable to the acquisition of Rewire completed within the period, including measurement period adjustments, as described further in Note 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There were no other adjustments to goodwill during the six months ended June 30, 2023.</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Intangible Assets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identifiable intangible assets as of June 30, 2023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189"/>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Gross Carrying</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299"/>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2"/>
              </w:rPr>
              <w:t>Estimated Remaining</w:t>
            </w:r>
          </w:p>
        </w:tc>
      </w:tr>
      <w:tr>
        <w:trPr>
          <w:trHeight w:val="223"/>
        </w:trPr>
        <w:tc>
          <w:tcPr>
            <w:tcW w:w="43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9"/>
                <w:szCs w:val="19"/>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Net Carrying Amount</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Useful Life (in years)</w:t>
            </w:r>
          </w:p>
        </w:tc>
      </w:tr>
      <w:tr>
        <w:trPr>
          <w:trHeight w:val="23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name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72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33"/>
        </w:trPr>
        <w:tc>
          <w:tcPr>
            <w:tcW w:w="430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8,500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(1,062)</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7,438</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3.5</w:t>
            </w:r>
          </w:p>
        </w:tc>
      </w:tr>
      <w:tr>
        <w:trPr>
          <w:trHeight w:val="260"/>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20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43"/>
        </w:trPr>
        <w:tc>
          <w:tcPr>
            <w:tcW w:w="4300" w:type="dxa"/>
            <w:vAlign w:val="bottom"/>
          </w:tcPr>
          <w:p>
            <w:pPr>
              <w:ind w:left="26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21,500</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(2,429)</w:t>
            </w:r>
          </w:p>
        </w:tc>
        <w:tc>
          <w:tcPr>
            <w:tcW w:w="720" w:type="dxa"/>
            <w:vAlign w:val="bottom"/>
            <w:gridSpan w:val="2"/>
          </w:tcPr>
          <w:p>
            <w:pPr>
              <w:jc w:val="right"/>
              <w:ind w:right="4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19,071</w:t>
            </w: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47" w:lineRule="exact"/>
        <w:rPr>
          <w:sz w:val="20"/>
          <w:szCs w:val="20"/>
          <w:color w:val="auto"/>
        </w:rPr>
      </w:pPr>
    </w:p>
    <w:p>
      <w:pPr>
        <w:ind w:right="800"/>
        <w:spacing w:after="0" w:line="275" w:lineRule="auto"/>
        <w:rPr>
          <w:sz w:val="20"/>
          <w:szCs w:val="20"/>
          <w:color w:val="auto"/>
        </w:rPr>
      </w:pPr>
      <w:r>
        <w:rPr>
          <w:rFonts w:ascii="Arial" w:cs="Arial" w:eastAsia="Arial" w:hAnsi="Arial"/>
          <w:sz w:val="16"/>
          <w:szCs w:val="16"/>
          <w:color w:val="auto"/>
        </w:rPr>
        <w:t>The acquired identified intangible assets have preliminary estimated useful lives ranging from three to five years. Amortization expense for intangible assets was $1.2 million and $2.4 million for the three and six months ended June 30, 2023.</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Identifiable intangible asset balances as of December 31, 2022, and related amortization expense for the three and six months ended June 30, 2022, were immaterial.</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Expected future intangible asset amortization as of June 30, 2023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8"/>
                <w:szCs w:val="18"/>
                <w:color w:val="auto"/>
              </w:rPr>
            </w:pPr>
          </w:p>
        </w:tc>
        <w:tc>
          <w:tcPr>
            <w:tcW w:w="1280" w:type="dxa"/>
            <w:vAlign w:val="bottom"/>
          </w:tcPr>
          <w:p>
            <w:pPr>
              <w:jc w:val="right"/>
              <w:ind w:right="419"/>
              <w:spacing w:after="0"/>
              <w:rPr>
                <w:sz w:val="20"/>
                <w:szCs w:val="20"/>
                <w:color w:val="auto"/>
              </w:rPr>
            </w:pPr>
            <w:r>
              <w:rPr>
                <w:rFonts w:ascii="Arial" w:cs="Arial" w:eastAsia="Arial" w:hAnsi="Arial"/>
                <w:sz w:val="16"/>
                <w:szCs w:val="16"/>
                <w:b w:val="1"/>
                <w:bCs w:val="1"/>
                <w:color w:val="auto"/>
              </w:rPr>
              <w:t>Amount</w:t>
            </w:r>
          </w:p>
        </w:tc>
      </w:tr>
      <w:tr>
        <w:trPr>
          <w:trHeight w:val="33"/>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2023</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2,430</w:t>
            </w:r>
          </w:p>
        </w:tc>
      </w:tr>
      <w:tr>
        <w:trPr>
          <w:trHeight w:val="233"/>
        </w:trPr>
        <w:tc>
          <w:tcPr>
            <w:tcW w:w="9680" w:type="dxa"/>
            <w:vAlign w:val="bottom"/>
          </w:tcPr>
          <w:p>
            <w:pPr>
              <w:ind w:left="20"/>
              <w:spacing w:after="0"/>
              <w:rPr>
                <w:sz w:val="20"/>
                <w:szCs w:val="20"/>
                <w:color w:val="auto"/>
              </w:rPr>
            </w:pPr>
            <w:r>
              <w:rPr>
                <w:rFonts w:ascii="Arial" w:cs="Arial" w:eastAsia="Arial" w:hAnsi="Arial"/>
                <w:sz w:val="16"/>
                <w:szCs w:val="16"/>
                <w:color w:val="auto"/>
              </w:rPr>
              <w:t>2024</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4,858</w:t>
            </w:r>
          </w:p>
        </w:tc>
      </w:tr>
      <w:tr>
        <w:trPr>
          <w:trHeight w:val="246"/>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4,858</w:t>
            </w:r>
          </w:p>
        </w:tc>
      </w:tr>
      <w:tr>
        <w:trPr>
          <w:trHeight w:val="233"/>
        </w:trPr>
        <w:tc>
          <w:tcPr>
            <w:tcW w:w="9680" w:type="dxa"/>
            <w:vAlign w:val="bottom"/>
          </w:tcPr>
          <w:p>
            <w:pPr>
              <w:ind w:left="20"/>
              <w:spacing w:after="0"/>
              <w:rPr>
                <w:sz w:val="20"/>
                <w:szCs w:val="20"/>
                <w:color w:val="auto"/>
              </w:rPr>
            </w:pPr>
            <w:r>
              <w:rPr>
                <w:rFonts w:ascii="Arial" w:cs="Arial" w:eastAsia="Arial" w:hAnsi="Arial"/>
                <w:sz w:val="16"/>
                <w:szCs w:val="16"/>
                <w:color w:val="auto"/>
              </w:rPr>
              <w:t>2026</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4,525</w:t>
            </w:r>
          </w:p>
        </w:tc>
      </w:tr>
      <w:tr>
        <w:trPr>
          <w:trHeight w:val="246"/>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w:t>
            </w:r>
          </w:p>
        </w:tc>
      </w:tr>
      <w:tr>
        <w:trPr>
          <w:trHeight w:val="243"/>
        </w:trPr>
        <w:tc>
          <w:tcPr>
            <w:tcW w:w="9680" w:type="dxa"/>
            <w:vAlign w:val="bottom"/>
          </w:tcPr>
          <w:p>
            <w:pPr>
              <w:ind w:left="26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19,071</w:t>
            </w:r>
          </w:p>
        </w:tc>
      </w:tr>
      <w:tr>
        <w:trPr>
          <w:trHeight w:val="20"/>
        </w:trPr>
        <w:tc>
          <w:tcPr>
            <w:tcW w:w="9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171" w:lineRule="exact"/>
        <w:rPr>
          <w:sz w:val="20"/>
          <w:szCs w:val="20"/>
          <w:color w:val="auto"/>
        </w:rPr>
      </w:pPr>
    </w:p>
    <w:p>
      <w:pPr>
        <w:ind w:right="540"/>
        <w:spacing w:after="0" w:line="293" w:lineRule="auto"/>
        <w:rPr>
          <w:sz w:val="20"/>
          <w:szCs w:val="20"/>
          <w:color w:val="auto"/>
        </w:rPr>
      </w:pPr>
      <w:r>
        <w:rPr>
          <w:rFonts w:ascii="Arial" w:cs="Arial" w:eastAsia="Arial" w:hAnsi="Arial"/>
          <w:sz w:val="16"/>
          <w:szCs w:val="16"/>
          <w:color w:val="auto"/>
        </w:rPr>
        <w:t xml:space="preserve">Except for the holdback liability related to the Rewire acquisition discussed in Note 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there were no financial assets and liabilities that were measured at fair value on a recurring basis as of June 30, 2023 and December 31, 2022.</w:t>
      </w:r>
    </w:p>
    <w:p>
      <w:pPr>
        <w:spacing w:after="0" w:line="104"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color w:val="auto"/>
        </w:rPr>
        <w:t>The carrying values of certain financial instruments, including disbursement prefunding, customer funds receivable, accounts payable, accrued expenses and other current liabilities, customer liabilities, short-term debt, and long-term debt approximate their respective fair values due to their relative short maturities. If these financial instruments were measured at fair value in the financial statements, they would be classified as Level 2.</w:t>
      </w:r>
    </w:p>
    <w:p>
      <w:pPr>
        <w:spacing w:after="0" w:line="124"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The Company previously invested approximately $80.0 million of its cash and cash equivalents into a Level 2 term deposit during the three months ended March 31, 2022, which had an original maturity of three months or less at the time of purchase. Upon maturity, in the three months ended June 30, 2022, the Company re-invested approximately $50.0 million, into a new term deposit. There were no other transfers between Level 1 and Level 2 during the three and six months ended June 30, 2023 and 2022.</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Debt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Secured Revolving Credit Facility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 Revolving Credit Facility</w:t>
      </w:r>
    </w:p>
    <w:p>
      <w:pPr>
        <w:spacing w:after="0" w:line="16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 xml:space="preserve">On September 13, 2021, Remitly Global, Inc. and Remitly, Inc., a wholly-owned subsidiary of Remitly Global, Inc., as co-borrowers, entered into a credit agreement (the “New Revolving Credit Facility”) with certain lenders and JPMorgan Chase Bank, N.A. acting as administrative agent and collateral agent, that provides for revolving commitments of $250.0 million (including a $60.0 million letter of credit sub-facility) and terminated its then-existing 2020 Credit Agreement. Proceeds under the New Revolving Credit Facility are available for working capital and general corporate purposes. The New Revolving Credit Facility was amended on June 26, 2023 to reflect changes as a result of the sunsetting of the LIBOR interest rate, as noted below. No other changes were made to the New Revolving Credit Facility. The Company evaluated the amendment as a debt modification pursuant to ASC 470-50, Debt — </w:t>
      </w:r>
      <w:r>
        <w:rPr>
          <w:rFonts w:ascii="Arial" w:cs="Arial" w:eastAsia="Arial" w:hAnsi="Arial"/>
          <w:sz w:val="16"/>
          <w:szCs w:val="16"/>
          <w:i w:val="1"/>
          <w:iCs w:val="1"/>
          <w:color w:val="auto"/>
        </w:rPr>
        <w:t>Modification and Extinguishment,</w:t>
      </w:r>
      <w:r>
        <w:rPr>
          <w:rFonts w:ascii="Arial" w:cs="Arial" w:eastAsia="Arial" w:hAnsi="Arial"/>
          <w:sz w:val="16"/>
          <w:szCs w:val="16"/>
          <w:color w:val="auto"/>
        </w:rPr>
        <w:t xml:space="preserve"> noting no material impact. Unamortized debt issuance costs continue to be amortized over the term of the New Revolving Credit Facility.</w:t>
      </w:r>
    </w:p>
    <w:p>
      <w:pPr>
        <w:spacing w:after="0" w:line="130" w:lineRule="exact"/>
        <w:rPr>
          <w:sz w:val="20"/>
          <w:szCs w:val="20"/>
          <w:color w:val="auto"/>
        </w:rPr>
      </w:pPr>
    </w:p>
    <w:p>
      <w:pPr>
        <w:jc w:val="both"/>
        <w:ind w:right="260"/>
        <w:spacing w:after="0" w:line="295" w:lineRule="auto"/>
        <w:rPr>
          <w:sz w:val="20"/>
          <w:szCs w:val="20"/>
          <w:color w:val="auto"/>
        </w:rPr>
      </w:pPr>
      <w:r>
        <w:rPr>
          <w:rFonts w:ascii="Arial" w:cs="Arial" w:eastAsia="Arial" w:hAnsi="Arial"/>
          <w:sz w:val="14"/>
          <w:szCs w:val="14"/>
          <w:color w:val="auto"/>
        </w:rPr>
        <w:t>The New Revolving Credit Facility has a maturity date of September 13, 2026. Borrowings under the New Revolving Credit Facility accrue interest at a floating rate per annum equal to, at the Company’s option, (1) the Alternate Base Rate (defined in the New Revolving Credit Facility as the rate per annum equal to the highest of (a) the Prime Rate in effect on such day, (b) the NYFRB Rate in effect for such day plus 0.50% and (c) the Adjusted Term SOFR Rate for an interest period of one month plus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1.00% (subject to a floor of 1.00%) plus 0.50% per annum or (2) the Adjusted Term SOFR Rate (subject to a floor of 0.00%) plus 1.50% per annum. Such interest is payable</w:t>
      </w:r>
    </w:p>
    <w:p>
      <w:pPr>
        <w:spacing w:after="0" w:line="28" w:lineRule="exact"/>
        <w:rPr>
          <w:sz w:val="20"/>
          <w:szCs w:val="20"/>
          <w:color w:val="auto"/>
        </w:rPr>
      </w:pPr>
    </w:p>
    <w:p>
      <w:pPr>
        <w:jc w:val="both"/>
        <w:ind w:right="40" w:firstLine="8"/>
        <w:spacing w:after="0" w:line="261" w:lineRule="auto"/>
        <w:tabs>
          <w:tab w:leader="none" w:pos="2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with respect to loans bearing interest based on the Alternate Base Rate, the last day of each March, June, September and December and (b) with respect to loans bearing interest based on the Adjusted Term SOFR Rate, at the end of each applicable interest period, but in no event less frequently than every three months. In addition, an unused commitment fee, which accrues at a rate per annum equal to 0.25% of the unused portion of the revolving commitments, is payable on the last day of each March, June, September and December.</w:t>
      </w:r>
    </w:p>
    <w:p>
      <w:pPr>
        <w:spacing w:after="0" w:line="131"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New Revolving Credit Facility contains customary conditions to borrowing, events of default and covenants, including covenants that restrict the ability to dispose of assets, merge with other entities, incur indebtedness, grant liens, pay dividends or make other distributions to holders of its capital stock, make investments, enter into restrictive agreements, or engage in transactions with affiliates. As of June 30, 2023 and December 31, 2022, financial covenants in the New Revolving Credit Facility include (1) a requirement to maintain a minimum Adjusted Quick Ratio of 1.50:1.00, which is tested quarterly and (2) a requirement to maintain a minimum Liquidity of $100.0 million, which is tested quarterly. The Company was in compliance with all financial covenants under the New Revolving Credit Facility as of June 30, 2023 and December 31, 2022.</w:t>
      </w:r>
    </w:p>
    <w:p>
      <w:pPr>
        <w:spacing w:after="0" w:line="132" w:lineRule="exact"/>
        <w:rPr>
          <w:sz w:val="20"/>
          <w:szCs w:val="20"/>
          <w:color w:val="auto"/>
        </w:rPr>
      </w:pPr>
    </w:p>
    <w:p>
      <w:pPr>
        <w:jc w:val="both"/>
        <w:ind w:right="60"/>
        <w:spacing w:after="0" w:line="269" w:lineRule="auto"/>
        <w:rPr>
          <w:sz w:val="20"/>
          <w:szCs w:val="20"/>
          <w:color w:val="auto"/>
        </w:rPr>
      </w:pPr>
      <w:r>
        <w:rPr>
          <w:rFonts w:ascii="Arial" w:cs="Arial" w:eastAsia="Arial" w:hAnsi="Arial"/>
          <w:sz w:val="16"/>
          <w:szCs w:val="16"/>
          <w:color w:val="auto"/>
        </w:rPr>
        <w:t>The obligations under the New Revolving Credit Facility are guaranteed by the material domestic subsidiaries of Remitly Global, Inc., subject to customary exceptions, and are secured by substantially all of the assets of the borrowers and guarantors thereunder, subject to customary exceptions. Amounts of borrowings under the New Revolving Credit Facility may fluctuate depending upon transaction volumes and seasonality.</w:t>
      </w:r>
    </w:p>
    <w:p>
      <w:pPr>
        <w:spacing w:after="0" w:line="137"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As of June 30, 2023 and December 31, 2022, the Company had $34.0 million and no outstanding borrowings under the New Revolving Credit Facility, respectively. The weighted-average interest rate as of June 30, 2023 was 8.75%. As of June 30, 2023 and December 31, 2022, the Company had $26.0 million and $22.3 million, respectively, in issued, but undrawn, standby letters of credit. As of June 30, 2023 and December 31, 2022, the Company had unused borrowing capacity of $190.0 million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$227.7 million, respectively, under the New Revolving Credit Facility.</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Advance for Future Deposits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5"/>
          <w:szCs w:val="15"/>
          <w:color w:val="auto"/>
        </w:rPr>
        <w:t>As part of the acquisition of Rewire, the Company assumed short-term indebtedness of Rewire that represents an advance for future deposits from Rewire’s amended agreement with one of its financial partners (the “Amendment” and the “Depositor”, respectively) entered into in October 2021. The Amendment has a maturity date of November 2023. The Depositor made an advance payment to Rewire with respect to future deposits (the “Advance for Future Deposits”). The original amount of 9.0 million Israeli shekel, approximately $2.8 million, was transferred as an advance under the Amendment. As of June 30, 2023, the Company had $2.4 million outstanding under the Amendment and was included within ‘</w:t>
      </w:r>
      <w:r>
        <w:rPr>
          <w:rFonts w:ascii="Arial" w:cs="Arial" w:eastAsia="Arial" w:hAnsi="Arial"/>
          <w:sz w:val="15"/>
          <w:szCs w:val="15"/>
          <w:i w:val="1"/>
          <w:iCs w:val="1"/>
          <w:color w:val="auto"/>
        </w:rPr>
        <w:t>Short-term debt</w:t>
      </w:r>
      <w:r>
        <w:rPr>
          <w:rFonts w:ascii="Arial" w:cs="Arial" w:eastAsia="Arial" w:hAnsi="Arial"/>
          <w:sz w:val="15"/>
          <w:szCs w:val="15"/>
          <w:color w:val="auto"/>
        </w:rPr>
        <w:t>’ on the Condensed Consolidated Balance Sheets. The change in the outstanding balance is driven by the change in the foreign exchange conversion rate. The Advance for Future Deposits bears a floating interest rate of 1.4%+ Israeli Prime per annum, paid on a monthly basis. The Israeli Prime rate (“Israeli Prime”) is defined as the Bank of Israel rate + 1.5%. The weighted-average interest rate as of June 30, 2023 was 3.0%.</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Assumed Short-term Debt of Rewire</w:t>
      </w:r>
    </w:p>
    <w:p>
      <w:pPr>
        <w:spacing w:after="0" w:line="185" w:lineRule="exact"/>
        <w:rPr>
          <w:sz w:val="20"/>
          <w:szCs w:val="20"/>
          <w:color w:val="auto"/>
        </w:rPr>
      </w:pPr>
    </w:p>
    <w:p>
      <w:pPr>
        <w:ind w:right="20"/>
        <w:spacing w:after="0" w:line="315" w:lineRule="auto"/>
        <w:rPr>
          <w:sz w:val="20"/>
          <w:szCs w:val="20"/>
          <w:color w:val="auto"/>
        </w:rPr>
      </w:pPr>
      <w:r>
        <w:rPr>
          <w:rFonts w:ascii="Arial" w:cs="Arial" w:eastAsia="Arial" w:hAnsi="Arial"/>
          <w:sz w:val="14"/>
          <w:szCs w:val="14"/>
          <w:color w:val="auto"/>
        </w:rPr>
        <w:t>As part of the acquisition of Rewire, the Company assumed the amounts due on a revolving credit line that Rewire had entered into in 2021 and the amounts due on a bridge loan that Rewire had entered into in 2022. The total outstanding amounts were repaid during the six months ended June 30, 2023, along with certain other acquired indebtedness, subsequent to the Company’s acquisition of Rewire and was included within the Condensed Consolidated Statements of Cash Flows as a financing activity.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00" w:hanging="292"/>
        <w:spacing w:after="0"/>
        <w:tabs>
          <w:tab w:leader="none" w:pos="30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Net Loss Per Common Share</w:t>
      </w:r>
    </w:p>
    <w:p>
      <w:pPr>
        <w:spacing w:after="0" w:line="171" w:lineRule="exact"/>
        <w:rPr>
          <w:sz w:val="20"/>
          <w:szCs w:val="20"/>
          <w:color w:val="auto"/>
        </w:rPr>
      </w:pPr>
    </w:p>
    <w:p>
      <w:pPr>
        <w:ind w:right="40"/>
        <w:spacing w:after="0" w:line="369" w:lineRule="auto"/>
        <w:rPr>
          <w:sz w:val="20"/>
          <w:szCs w:val="20"/>
          <w:color w:val="auto"/>
        </w:rPr>
      </w:pPr>
      <w:r>
        <w:rPr>
          <w:rFonts w:ascii="Arial" w:cs="Arial" w:eastAsia="Arial" w:hAnsi="Arial"/>
          <w:sz w:val="14"/>
          <w:szCs w:val="14"/>
          <w:color w:val="auto"/>
        </w:rPr>
        <w:t>The following table presents the calculation of basic and diluted net loss per share attributable to common stockholders for the periods indicated. As the Company reported a net loss, diluted net loss per share was the same as basic net loss per share because the effects of potentially dilutive items were anti-dilutive for all periods presented.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Three Months Ended June 30,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2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37"/>
        </w:trPr>
        <w:tc>
          <w:tcPr>
            <w:tcW w:w="4720" w:type="dxa"/>
            <w:vAlign w:val="bottom"/>
          </w:tcPr>
          <w:p>
            <w:pPr>
              <w:ind w:left="18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(18,850)</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(38,245)</w:t>
            </w:r>
          </w:p>
        </w:tc>
        <w:tc>
          <w:tcPr>
            <w:tcW w:w="4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(47,164)</w:t>
            </w:r>
          </w:p>
        </w:tc>
        <w:tc>
          <w:tcPr>
            <w:tcW w:w="4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(61,555)</w:t>
            </w:r>
          </w:p>
        </w:tc>
      </w:tr>
      <w:tr>
        <w:trPr>
          <w:trHeight w:val="223"/>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Denominator:</w:t>
            </w:r>
          </w:p>
        </w:tc>
        <w:tc>
          <w:tcPr>
            <w:tcW w:w="340" w:type="dxa"/>
            <w:vAlign w:val="bottom"/>
            <w:tcBorders>
              <w:top w:val="single" w:sz="8" w:color="auto"/>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06"/>
        </w:trPr>
        <w:tc>
          <w:tcPr>
            <w:tcW w:w="4720" w:type="dxa"/>
            <w:vAlign w:val="bottom"/>
          </w:tcPr>
          <w:p>
            <w:pPr>
              <w:ind w:left="180"/>
              <w:spacing w:after="0"/>
              <w:rPr>
                <w:sz w:val="20"/>
                <w:szCs w:val="20"/>
                <w:color w:val="auto"/>
              </w:rPr>
            </w:pPr>
            <w:r>
              <w:rPr>
                <w:rFonts w:ascii="Arial" w:cs="Arial" w:eastAsia="Arial" w:hAnsi="Arial"/>
                <w:sz w:val="16"/>
                <w:szCs w:val="16"/>
                <w:color w:val="auto"/>
              </w:rPr>
              <w:t>Weighted-average shares used in computing net loss per share</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6"/>
                <w:szCs w:val="16"/>
                <w:color w:val="auto"/>
              </w:rPr>
              <w:t>attributable to common stockholders: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66"/>
        </w:trPr>
        <w:tc>
          <w:tcPr>
            <w:tcW w:w="4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 and diluted</w:t>
            </w: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179,076,496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166,498,333</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177,105,720</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165,450,862</w:t>
            </w:r>
          </w:p>
        </w:tc>
      </w:tr>
      <w:tr>
        <w:trPr>
          <w:trHeight w:val="204"/>
        </w:trPr>
        <w:tc>
          <w:tcPr>
            <w:tcW w:w="4720" w:type="dxa"/>
            <w:vAlign w:val="bottom"/>
          </w:tcPr>
          <w:p>
            <w:pPr>
              <w:ind w:left="20"/>
              <w:spacing w:after="0"/>
              <w:rPr>
                <w:sz w:val="20"/>
                <w:szCs w:val="20"/>
                <w:color w:val="auto"/>
              </w:rPr>
            </w:pPr>
            <w:r>
              <w:rPr>
                <w:rFonts w:ascii="Arial" w:cs="Arial" w:eastAsia="Arial" w:hAnsi="Arial"/>
                <w:sz w:val="16"/>
                <w:szCs w:val="16"/>
                <w:color w:val="auto"/>
              </w:rPr>
              <w:t>Net loss per share attributable to common stockholders: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33"/>
        </w:trPr>
        <w:tc>
          <w:tcPr>
            <w:tcW w:w="4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and diluted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(0.37)</w:t>
            </w:r>
          </w:p>
        </w:tc>
      </w:tr>
    </w:tbl>
    <w:p>
      <w:pPr>
        <w:spacing w:after="0" w:line="247"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The following potentially dilutive securities were excluded from the computation of diluted net loss per share calculations for the periods presented because the impact of including them would have been antidilutive: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Pr>
          <w:p>
            <w:pPr>
              <w:spacing w:after="0"/>
              <w:rPr>
                <w:sz w:val="19"/>
                <w:szCs w:val="19"/>
                <w:color w:val="auto"/>
              </w:rPr>
            </w:pPr>
          </w:p>
        </w:tc>
        <w:tc>
          <w:tcPr>
            <w:tcW w:w="2180" w:type="dxa"/>
            <w:vAlign w:val="bottom"/>
            <w:tcBorders>
              <w:bottom w:val="single" w:sz="8" w:color="auto"/>
            </w:tcBorders>
            <w:gridSpan w:val="3"/>
          </w:tcPr>
          <w:p>
            <w:pPr>
              <w:ind w:left="1120"/>
              <w:spacing w:after="0"/>
              <w:rPr>
                <w:sz w:val="20"/>
                <w:szCs w:val="20"/>
                <w:color w:val="auto"/>
              </w:rPr>
            </w:pPr>
            <w:r>
              <w:rPr>
                <w:rFonts w:ascii="Arial" w:cs="Arial" w:eastAsia="Arial" w:hAnsi="Arial"/>
                <w:sz w:val="16"/>
                <w:szCs w:val="16"/>
                <w:b w:val="1"/>
                <w:bCs w:val="1"/>
                <w:color w:val="auto"/>
                <w:w w:val="95"/>
              </w:rPr>
              <w:t>As of June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20" w:type="dxa"/>
            <w:vAlign w:val="bottom"/>
          </w:tcPr>
          <w:p>
            <w:pPr>
              <w:spacing w:after="0"/>
              <w:rPr>
                <w:sz w:val="20"/>
                <w:szCs w:val="20"/>
                <w:color w:val="auto"/>
              </w:rPr>
            </w:pPr>
          </w:p>
        </w:tc>
        <w:tc>
          <w:tcPr>
            <w:tcW w:w="15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 outstanding</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12,641,385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20,158,090</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RSUs outstanding</w:t>
            </w:r>
          </w:p>
        </w:tc>
        <w:tc>
          <w:tcPr>
            <w:tcW w:w="1560" w:type="dxa"/>
            <w:vAlign w:val="bottom"/>
          </w:tcPr>
          <w:p>
            <w:pPr>
              <w:jc w:val="right"/>
              <w:spacing w:after="0"/>
              <w:rPr>
                <w:sz w:val="20"/>
                <w:szCs w:val="20"/>
                <w:color w:val="auto"/>
              </w:rPr>
            </w:pPr>
            <w:r>
              <w:rPr>
                <w:rFonts w:ascii="Arial" w:cs="Arial" w:eastAsia="Arial" w:hAnsi="Arial"/>
                <w:sz w:val="16"/>
                <w:szCs w:val="16"/>
                <w:color w:val="auto"/>
              </w:rPr>
              <w:t>27,783,207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17,245,351</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ESPP</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1,133,662</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1,693,831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6"/>
                <w:szCs w:val="16"/>
                <w:color w:val="auto"/>
              </w:rPr>
              <w:t>Shares subject to repurchase</w:t>
            </w:r>
          </w:p>
        </w:tc>
        <w:tc>
          <w:tcPr>
            <w:tcW w:w="1560" w:type="dxa"/>
            <w:vAlign w:val="bottom"/>
          </w:tcPr>
          <w:p>
            <w:pPr>
              <w:jc w:val="right"/>
              <w:spacing w:after="0"/>
              <w:rPr>
                <w:sz w:val="20"/>
                <w:szCs w:val="20"/>
                <w:color w:val="auto"/>
              </w:rPr>
            </w:pPr>
            <w:r>
              <w:rPr>
                <w:rFonts w:ascii="Arial" w:cs="Arial" w:eastAsia="Arial" w:hAnsi="Arial"/>
                <w:sz w:val="16"/>
                <w:szCs w:val="16"/>
                <w:color w:val="auto"/>
              </w:rPr>
              <w:t>31,549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278,155</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common stock, subject to service-based vesting conditions, issued in connection with acquisition</w:t>
            </w:r>
            <w:r>
              <w:rPr>
                <w:rFonts w:ascii="Arial" w:cs="Arial" w:eastAsia="Arial" w:hAnsi="Arial"/>
                <w:sz w:val="21"/>
                <w:szCs w:val="21"/>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104,080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issuable in connection with acquisition</w:t>
            </w:r>
            <w:r>
              <w:rPr>
                <w:rFonts w:ascii="Arial" w:cs="Arial" w:eastAsia="Arial" w:hAnsi="Arial"/>
                <w:sz w:val="21"/>
                <w:szCs w:val="21"/>
                <w:color w:val="auto"/>
                <w:vertAlign w:val="superscript"/>
              </w:rPr>
              <w:t>(1)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133,309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41,827,192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39,375,427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8020" w:type="dxa"/>
            <w:vAlign w:val="bottom"/>
            <w:vMerge w:val="continue"/>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140" w:hanging="132"/>
        <w:spacing w:after="0" w:line="233" w:lineRule="auto"/>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 xml:space="preserve">Refer to Note 5. </w:t>
      </w:r>
      <w:r>
        <w:rPr>
          <w:rFonts w:ascii="Arial" w:cs="Arial" w:eastAsia="Arial" w:hAnsi="Arial"/>
          <w:sz w:val="12"/>
          <w:szCs w:val="12"/>
          <w:i w:val="1"/>
          <w:iCs w:val="1"/>
          <w:color w:val="auto"/>
        </w:rPr>
        <w:t>Business Combinations</w:t>
      </w:r>
      <w:r>
        <w:rPr>
          <w:rFonts w:ascii="Arial" w:cs="Arial" w:eastAsia="Arial" w:hAnsi="Arial"/>
          <w:sz w:val="12"/>
          <w:szCs w:val="12"/>
          <w:color w:val="auto"/>
        </w:rPr>
        <w:t xml:space="preserve"> for further discussion of equity issued or to be issued in connection with the Rewire acquisition.</w:t>
      </w:r>
    </w:p>
    <w:p>
      <w:pPr>
        <w:spacing w:after="0" w:line="161"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Common Stock</w:t>
      </w:r>
    </w:p>
    <w:p>
      <w:pPr>
        <w:spacing w:after="0" w:line="171" w:lineRule="exact"/>
        <w:rPr>
          <w:sz w:val="20"/>
          <w:szCs w:val="20"/>
          <w:color w:val="auto"/>
        </w:rPr>
      </w:pPr>
    </w:p>
    <w:p>
      <w:pPr>
        <w:jc w:val="both"/>
        <w:ind w:right="240"/>
        <w:spacing w:after="0" w:line="325" w:lineRule="auto"/>
        <w:rPr>
          <w:sz w:val="20"/>
          <w:szCs w:val="20"/>
          <w:color w:val="auto"/>
        </w:rPr>
      </w:pPr>
      <w:r>
        <w:rPr>
          <w:rFonts w:ascii="Arial" w:cs="Arial" w:eastAsia="Arial" w:hAnsi="Arial"/>
          <w:sz w:val="14"/>
          <w:szCs w:val="14"/>
          <w:color w:val="auto"/>
        </w:rPr>
        <w:t>As of June 30, 2023, the Company has authorized 725,000,000 shares of common stock with a par value of $0.0001 per share. Each holder of a share of common stock is entitled to one vote for each share held at all meetings of stockholders and is entitled to receive dividends whenever funds are legally available and when declared by the Company’s board of directors. No dividends have been declared or paid by the Company during the six months ended June 30, 2023 and June 30, 2022.</w:t>
      </w:r>
    </w:p>
    <w:p>
      <w:pPr>
        <w:spacing w:after="0" w:line="84" w:lineRule="exact"/>
        <w:rPr>
          <w:sz w:val="20"/>
          <w:szCs w:val="20"/>
          <w:color w:val="auto"/>
        </w:rPr>
      </w:pPr>
    </w:p>
    <w:p>
      <w:pPr>
        <w:ind w:right="8980" w:firstLine="8"/>
        <w:spacing w:after="0" w:line="536" w:lineRule="auto"/>
        <w:tabs>
          <w:tab w:leader="none" w:pos="356" w:val="left"/>
        </w:tabs>
        <w:numPr>
          <w:ilvl w:val="0"/>
          <w:numId w:val="17"/>
        </w:numPr>
        <w:rPr>
          <w:rFonts w:ascii="Arial" w:cs="Arial" w:eastAsia="Arial" w:hAnsi="Arial"/>
          <w:sz w:val="14"/>
          <w:szCs w:val="14"/>
          <w:b w:val="1"/>
          <w:bCs w:val="1"/>
          <w:color w:val="auto"/>
        </w:rPr>
      </w:pPr>
      <w:r>
        <w:rPr>
          <w:rFonts w:ascii="Arial" w:cs="Arial" w:eastAsia="Arial" w:hAnsi="Arial"/>
          <w:sz w:val="14"/>
          <w:szCs w:val="14"/>
          <w:b w:val="1"/>
          <w:bCs w:val="1"/>
          <w:color w:val="auto"/>
        </w:rPr>
        <w:t>Stock-Based Compensation Shares Available for Issuance</w:t>
      </w:r>
    </w:p>
    <w:p>
      <w:pPr>
        <w:spacing w:after="0"/>
        <w:rPr>
          <w:sz w:val="20"/>
          <w:szCs w:val="20"/>
          <w:color w:val="auto"/>
        </w:rPr>
      </w:pPr>
      <w:r>
        <w:rPr>
          <w:rFonts w:ascii="Arial" w:cs="Arial" w:eastAsia="Arial" w:hAnsi="Arial"/>
          <w:sz w:val="15"/>
          <w:szCs w:val="15"/>
          <w:color w:val="auto"/>
        </w:rPr>
        <w:t>As of June 30, 2023 and December 31, 2022, 11,511,797 and 10,890,112 equity incentive awards remain available for issuance under the 2021 Plan,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2023 and December 31, 2022, 6,198,134 and 4,762,721 shares of common stock remain available for issuance under the ESPP.</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Company’s stock option activity during the six months ended June 30, 2023:</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60" w:type="dxa"/>
            <w:vAlign w:val="bottom"/>
            <w:gridSpan w:val="3"/>
          </w:tcPr>
          <w:p>
            <w:pPr>
              <w:jc w:val="right"/>
              <w:ind w:right="1108"/>
              <w:spacing w:after="0"/>
              <w:rPr>
                <w:sz w:val="20"/>
                <w:szCs w:val="20"/>
                <w:color w:val="auto"/>
              </w:rPr>
            </w:pPr>
            <w:r>
              <w:rPr>
                <w:rFonts w:ascii="Arial" w:cs="Arial" w:eastAsia="Arial" w:hAnsi="Arial"/>
                <w:sz w:val="14"/>
                <w:szCs w:val="14"/>
                <w:b w:val="1"/>
                <w:bCs w:val="1"/>
                <w:color w:val="auto"/>
              </w:rPr>
              <w:t>Stock Options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9"/>
        </w:trPr>
        <w:tc>
          <w:tcPr>
            <w:tcW w:w="474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60"/>
        </w:trPr>
        <w:tc>
          <w:tcPr>
            <w:tcW w:w="4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2"/>
              </w:rPr>
              <w:t>Weighted-Average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72"/>
        </w:trPr>
        <w:tc>
          <w:tcPr>
            <w:tcW w:w="4740" w:type="dxa"/>
            <w:vAlign w:val="bottom"/>
          </w:tcPr>
          <w:p>
            <w:pPr>
              <w:spacing w:after="0"/>
              <w:rPr>
                <w:sz w:val="14"/>
                <w:szCs w:val="14"/>
                <w:color w:val="auto"/>
              </w:rPr>
            </w:pPr>
          </w:p>
        </w:tc>
        <w:tc>
          <w:tcPr>
            <w:tcW w:w="1540" w:type="dxa"/>
            <w:vAlign w:val="bottom"/>
          </w:tcPr>
          <w:p>
            <w:pPr>
              <w:jc w:val="right"/>
              <w:ind w:right="101"/>
              <w:spacing w:after="0"/>
              <w:rPr>
                <w:sz w:val="20"/>
                <w:szCs w:val="20"/>
                <w:color w:val="auto"/>
              </w:rPr>
            </w:pPr>
            <w:r>
              <w:rPr>
                <w:rFonts w:ascii="Arial" w:cs="Arial" w:eastAsia="Arial" w:hAnsi="Arial"/>
                <w:sz w:val="14"/>
                <w:szCs w:val="14"/>
                <w:b w:val="1"/>
                <w:bCs w:val="1"/>
                <w:color w:val="auto"/>
              </w:rPr>
              <w:t>Number of Options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ind w:right="142"/>
              <w:spacing w:after="0"/>
              <w:rPr>
                <w:sz w:val="20"/>
                <w:szCs w:val="20"/>
                <w:color w:val="auto"/>
              </w:rPr>
            </w:pPr>
            <w:r>
              <w:rPr>
                <w:rFonts w:ascii="Arial" w:cs="Arial" w:eastAsia="Arial" w:hAnsi="Arial"/>
                <w:sz w:val="14"/>
                <w:szCs w:val="14"/>
                <w:b w:val="1"/>
                <w:bCs w:val="1"/>
                <w:color w:val="auto"/>
                <w:w w:val="94"/>
              </w:rPr>
              <w:t>Weighted-Average</w:t>
            </w: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Remaining Contractual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102"/>
              <w:spacing w:after="0"/>
              <w:rPr>
                <w:sz w:val="20"/>
                <w:szCs w:val="20"/>
                <w:color w:val="auto"/>
              </w:rPr>
            </w:pPr>
            <w:r>
              <w:rPr>
                <w:rFonts w:ascii="Arial" w:cs="Arial" w:eastAsia="Arial" w:hAnsi="Arial"/>
                <w:sz w:val="14"/>
                <w:szCs w:val="14"/>
                <w:b w:val="1"/>
                <w:bCs w:val="1"/>
                <w:color w:val="auto"/>
                <w:w w:val="95"/>
              </w:rPr>
              <w:t>Aggregate Intrinsic</w:t>
            </w:r>
          </w:p>
        </w:tc>
      </w:tr>
      <w:tr>
        <w:trPr>
          <w:trHeight w:val="22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15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Exercise Price</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 (Years)</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8"/>
                <w:szCs w:val="18"/>
                <w:b w:val="1"/>
                <w:bCs w:val="1"/>
                <w:color w:val="auto"/>
                <w:vertAlign w:val="superscript"/>
              </w:rPr>
              <w:t>(1)</w:t>
            </w:r>
          </w:p>
        </w:tc>
      </w:tr>
      <w:tr>
        <w:trPr>
          <w:trHeight w:val="23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January 1, 2023</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15,988,268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119,467</w:t>
            </w:r>
          </w:p>
        </w:tc>
      </w:tr>
      <w:tr>
        <w:trPr>
          <w:trHeight w:val="223"/>
        </w:trPr>
        <w:tc>
          <w:tcPr>
            <w:tcW w:w="4740" w:type="dxa"/>
            <w:vAlign w:val="bottom"/>
          </w:tcPr>
          <w:p>
            <w:pPr>
              <w:ind w:left="20"/>
              <w:spacing w:after="0"/>
              <w:rPr>
                <w:sz w:val="20"/>
                <w:szCs w:val="20"/>
                <w:color w:val="auto"/>
              </w:rPr>
            </w:pPr>
            <w:r>
              <w:rPr>
                <w:rFonts w:ascii="Arial" w:cs="Arial" w:eastAsia="Arial" w:hAnsi="Arial"/>
                <w:sz w:val="16"/>
                <w:szCs w:val="16"/>
                <w:color w:val="auto"/>
              </w:rPr>
              <w:t>Exercised</w:t>
            </w:r>
          </w:p>
        </w:tc>
        <w:tc>
          <w:tcPr>
            <w:tcW w:w="1540" w:type="dxa"/>
            <w:vAlign w:val="bottom"/>
          </w:tcPr>
          <w:p>
            <w:pPr>
              <w:jc w:val="right"/>
              <w:spacing w:after="0"/>
              <w:rPr>
                <w:sz w:val="20"/>
                <w:szCs w:val="20"/>
                <w:color w:val="auto"/>
              </w:rPr>
            </w:pPr>
            <w:r>
              <w:rPr>
                <w:rFonts w:ascii="Arial" w:cs="Arial" w:eastAsia="Arial" w:hAnsi="Arial"/>
                <w:sz w:val="16"/>
                <w:szCs w:val="16"/>
                <w:color w:val="auto"/>
              </w:rPr>
              <w:t>(2,895,765)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2.70</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38,750</w:t>
            </w:r>
          </w:p>
        </w:tc>
      </w:tr>
      <w:tr>
        <w:trPr>
          <w:trHeight w:val="33"/>
        </w:trPr>
        <w:tc>
          <w:tcPr>
            <w:tcW w:w="4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(451,118)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5.83</w:t>
            </w:r>
          </w:p>
        </w:tc>
        <w:tc>
          <w:tcPr>
            <w:tcW w:w="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5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Balances as of June 30, 2023</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12,641,385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rPr>
              <w:t>4.37</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6.40</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182,621</w:t>
            </w:r>
          </w:p>
        </w:tc>
      </w:tr>
      <w:tr>
        <w:trPr>
          <w:trHeight w:val="26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 and exercisable as of June 30, 2023</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8,718,668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2.81</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139,547</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r>
        <w:trPr>
          <w:trHeight w:val="198"/>
        </w:trPr>
        <w:tc>
          <w:tcPr>
            <w:tcW w:w="4740" w:type="dxa"/>
            <w:vAlign w:val="bottom"/>
          </w:tcPr>
          <w:p>
            <w:pPr>
              <w:ind w:left="20"/>
              <w:spacing w:after="0"/>
              <w:rPr>
                <w:sz w:val="20"/>
                <w:szCs w:val="20"/>
                <w:color w:val="auto"/>
              </w:rPr>
            </w:pPr>
            <w:r>
              <w:rPr>
                <w:rFonts w:ascii="Arial" w:cs="Arial" w:eastAsia="Arial" w:hAnsi="Arial"/>
                <w:sz w:val="16"/>
                <w:szCs w:val="16"/>
                <w:color w:val="auto"/>
              </w:rPr>
              <w:t>Vested and expected to vest as of June 30, 2023</w:t>
            </w:r>
          </w:p>
        </w:tc>
        <w:tc>
          <w:tcPr>
            <w:tcW w:w="1540" w:type="dxa"/>
            <w:vAlign w:val="bottom"/>
          </w:tcPr>
          <w:p>
            <w:pPr>
              <w:jc w:val="right"/>
              <w:spacing w:after="0"/>
              <w:rPr>
                <w:sz w:val="20"/>
                <w:szCs w:val="20"/>
                <w:color w:val="auto"/>
              </w:rPr>
            </w:pPr>
            <w:r>
              <w:rPr>
                <w:rFonts w:ascii="Arial" w:cs="Arial" w:eastAsia="Arial" w:hAnsi="Arial"/>
                <w:sz w:val="16"/>
                <w:szCs w:val="16"/>
                <w:color w:val="auto"/>
              </w:rPr>
              <w:t>12,627,934</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4.39</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6.41</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182,218</w:t>
            </w:r>
          </w:p>
        </w:tc>
      </w:tr>
      <w:tr>
        <w:trPr>
          <w:trHeight w:val="277"/>
        </w:trPr>
        <w:tc>
          <w:tcPr>
            <w:tcW w:w="4740" w:type="dxa"/>
            <w:vAlign w:val="bottom"/>
          </w:tcPr>
          <w:p>
            <w:pPr>
              <w:spacing w:after="0"/>
              <w:rPr>
                <w:sz w:val="20"/>
                <w:szCs w:val="20"/>
                <w:color w:val="auto"/>
              </w:rPr>
            </w:pPr>
            <w:r>
              <w:rPr>
                <w:rFonts w:ascii="Arial" w:cs="Arial" w:eastAsia="Arial" w:hAnsi="Arial"/>
                <w:sz w:val="16"/>
                <w:szCs w:val="16"/>
                <w:color w:val="auto"/>
              </w:rPr>
              <w:t>_________________</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ind w:left="160" w:hanging="152"/>
        <w:spacing w:after="0" w:line="220" w:lineRule="auto"/>
        <w:tabs>
          <w:tab w:leader="none" w:pos="160" w:val="left"/>
        </w:tabs>
        <w:numPr>
          <w:ilvl w:val="0"/>
          <w:numId w:val="18"/>
        </w:numPr>
        <w:rPr>
          <w:rFonts w:ascii="Arial" w:cs="Arial" w:eastAsia="Arial" w:hAnsi="Arial"/>
          <w:sz w:val="18"/>
          <w:szCs w:val="18"/>
          <w:color w:val="auto"/>
          <w:vertAlign w:val="superscript"/>
        </w:rPr>
      </w:pPr>
      <w:r>
        <w:rPr>
          <w:rFonts w:ascii="Arial" w:cs="Arial" w:eastAsia="Arial" w:hAnsi="Arial"/>
          <w:sz w:val="12"/>
          <w:szCs w:val="12"/>
          <w:color w:val="auto"/>
        </w:rPr>
        <w:t>The aggregate intrinsic value is calculated as the difference between the exercise price of the underlying stock options and the estimated fair value of the Company’s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No stock options were granted during the six months ended June 30, 2023 and June 30, 2022.</w:t>
      </w:r>
    </w:p>
    <w:p>
      <w:pPr>
        <w:spacing w:after="0" w:line="18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aggregate grant-date fair value of options vested for the six months ended June 30, 2023 and 2022 was $4.4 million and $7.1 million, respectively. The intrinsic value of options exercised for the six months ended June 30, 2023 and 2022 was $38.8 million and $19.3 million,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Units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Restricted stock unit activity during the six months ended June 30, 2023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center"/>
              <w:ind w:right="82"/>
              <w:spacing w:after="0"/>
              <w:rPr>
                <w:sz w:val="20"/>
                <w:szCs w:val="20"/>
                <w:color w:val="auto"/>
              </w:rPr>
            </w:pPr>
            <w:r>
              <w:rPr>
                <w:rFonts w:ascii="Arial" w:cs="Arial" w:eastAsia="Arial" w:hAnsi="Arial"/>
                <w:sz w:val="14"/>
                <w:szCs w:val="14"/>
                <w:b w:val="1"/>
                <w:bCs w:val="1"/>
                <w:color w:val="auto"/>
                <w:w w:val="92"/>
              </w:rPr>
              <w:t>Weighted-Average</w:t>
            </w:r>
          </w:p>
        </w:tc>
      </w:tr>
      <w:tr>
        <w:trPr>
          <w:trHeight w:val="175"/>
        </w:trPr>
        <w:tc>
          <w:tcPr>
            <w:tcW w:w="80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Grant-Date Fair Value</w:t>
            </w:r>
          </w:p>
        </w:tc>
      </w:tr>
      <w:tr>
        <w:trPr>
          <w:trHeight w:val="186"/>
        </w:trPr>
        <w:tc>
          <w:tcPr>
            <w:tcW w:w="8020" w:type="dxa"/>
            <w:vAlign w:val="bottom"/>
          </w:tcPr>
          <w:p>
            <w:pPr>
              <w:spacing w:after="0"/>
              <w:rPr>
                <w:sz w:val="16"/>
                <w:szCs w:val="16"/>
                <w:color w:val="auto"/>
              </w:rPr>
            </w:pPr>
          </w:p>
        </w:tc>
        <w:tc>
          <w:tcPr>
            <w:tcW w:w="1560" w:type="dxa"/>
            <w:vAlign w:val="bottom"/>
          </w:tcPr>
          <w:p>
            <w:pPr>
              <w:ind w:left="22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62"/>
              <w:spacing w:after="0"/>
              <w:rPr>
                <w:sz w:val="20"/>
                <w:szCs w:val="20"/>
                <w:color w:val="auto"/>
              </w:rPr>
            </w:pPr>
            <w:r>
              <w:rPr>
                <w:rFonts w:ascii="Arial" w:cs="Arial" w:eastAsia="Arial" w:hAnsi="Arial"/>
                <w:sz w:val="14"/>
                <w:szCs w:val="14"/>
                <w:b w:val="1"/>
                <w:bCs w:val="1"/>
                <w:color w:val="auto"/>
                <w:w w:val="91"/>
              </w:rPr>
              <w:t>Per Share</w:t>
            </w:r>
          </w:p>
        </w:tc>
      </w:tr>
      <w:tr>
        <w:trPr>
          <w:trHeight w:val="39"/>
        </w:trPr>
        <w:tc>
          <w:tcPr>
            <w:tcW w:w="80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at January 1, 2023</w:t>
            </w:r>
          </w:p>
        </w:tc>
        <w:tc>
          <w:tcPr>
            <w:tcW w:w="1560" w:type="dxa"/>
            <w:vAlign w:val="bottom"/>
            <w:shd w:val="clear" w:color="auto" w:fill="CCEEFF"/>
          </w:tcPr>
          <w:p>
            <w:pPr>
              <w:ind w:left="760"/>
              <w:spacing w:after="0"/>
              <w:rPr>
                <w:sz w:val="20"/>
                <w:szCs w:val="20"/>
                <w:color w:val="auto"/>
              </w:rPr>
            </w:pPr>
            <w:r>
              <w:rPr>
                <w:rFonts w:ascii="Arial" w:cs="Arial" w:eastAsia="Arial" w:hAnsi="Arial"/>
                <w:sz w:val="16"/>
                <w:szCs w:val="16"/>
                <w:color w:val="auto"/>
                <w:w w:val="97"/>
              </w:rPr>
              <w:t>23,366,355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Granted</w:t>
            </w:r>
          </w:p>
        </w:tc>
        <w:tc>
          <w:tcPr>
            <w:tcW w:w="1560" w:type="dxa"/>
            <w:vAlign w:val="bottom"/>
          </w:tcPr>
          <w:p>
            <w:pPr>
              <w:ind w:left="760"/>
              <w:spacing w:after="0"/>
              <w:rPr>
                <w:sz w:val="20"/>
                <w:szCs w:val="20"/>
                <w:color w:val="auto"/>
              </w:rPr>
            </w:pPr>
            <w:r>
              <w:rPr>
                <w:rFonts w:ascii="Arial" w:cs="Arial" w:eastAsia="Arial" w:hAnsi="Arial"/>
                <w:sz w:val="16"/>
                <w:szCs w:val="16"/>
                <w:color w:val="auto"/>
                <w:w w:val="97"/>
              </w:rPr>
              <w:t>10,170,057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16.24</w:t>
            </w:r>
          </w:p>
        </w:tc>
      </w:tr>
      <w:tr>
        <w:trPr>
          <w:trHeight w:val="24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5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w w:val="92"/>
              </w:rPr>
              <w:t>(4,137,181)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12.18</w:t>
            </w:r>
          </w:p>
        </w:tc>
      </w:tr>
      <w:tr>
        <w:trPr>
          <w:trHeight w:val="237"/>
        </w:trPr>
        <w:tc>
          <w:tcPr>
            <w:tcW w:w="8020" w:type="dxa"/>
            <w:vAlign w:val="bottom"/>
          </w:tcPr>
          <w:p>
            <w:pPr>
              <w:ind w:left="20"/>
              <w:spacing w:after="0"/>
              <w:rPr>
                <w:sz w:val="20"/>
                <w:szCs w:val="20"/>
                <w:color w:val="auto"/>
              </w:rPr>
            </w:pPr>
            <w:r>
              <w:rPr>
                <w:rFonts w:ascii="Arial" w:cs="Arial" w:eastAsia="Arial" w:hAnsi="Arial"/>
                <w:sz w:val="16"/>
                <w:szCs w:val="16"/>
                <w:color w:val="auto"/>
              </w:rPr>
              <w:t>Cancelled/forfeited</w:t>
            </w:r>
          </w:p>
        </w:tc>
        <w:tc>
          <w:tcPr>
            <w:tcW w:w="156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w w:val="92"/>
              </w:rPr>
              <w:t>(1,616,024)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13.51</w:t>
            </w:r>
          </w:p>
        </w:tc>
      </w:tr>
      <w:tr>
        <w:trPr>
          <w:trHeight w:val="26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at June 30, 2023</w:t>
            </w:r>
          </w:p>
        </w:tc>
        <w:tc>
          <w:tcPr>
            <w:tcW w:w="15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w w:val="97"/>
              </w:rPr>
              <w:t>27,783,207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4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weighted-average grant date fair value of RSUs granted during the six months ended June 30, 2023 and 2022 was $16.24 and $10.68, respectively. The aggregate grant-date fair value of RSUs vested for the six months ended June 30, 2023 and 2022 was $50.4 million and $8.2 million,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Stock Purchase Plan (“ESPP”)</w:t>
      </w:r>
    </w:p>
    <w:p>
      <w:pPr>
        <w:spacing w:after="0" w:line="171" w:lineRule="exact"/>
        <w:rPr>
          <w:sz w:val="20"/>
          <w:szCs w:val="20"/>
          <w:color w:val="auto"/>
        </w:rPr>
      </w:pPr>
    </w:p>
    <w:p>
      <w:pPr>
        <w:ind w:right="20"/>
        <w:spacing w:after="0" w:line="308" w:lineRule="auto"/>
        <w:rPr>
          <w:sz w:val="20"/>
          <w:szCs w:val="20"/>
          <w:color w:val="auto"/>
        </w:rPr>
      </w:pPr>
      <w:r>
        <w:rPr>
          <w:rFonts w:ascii="Arial" w:cs="Arial" w:eastAsia="Arial" w:hAnsi="Arial"/>
          <w:sz w:val="14"/>
          <w:szCs w:val="14"/>
          <w:color w:val="auto"/>
        </w:rPr>
        <w:t>The offering period that commenced on September 22, 2021, for which the accounting grant date was met in October 2021, ended on February 28, 2022, due to a decline in the Company’s stock price at the end of the purchase period, triggering a new offering period, as required by the ESPP plan documents. A new 24-month offering period commenced on March 1, 2022. This event was accounted for as a modification under GAAP in the first quarter of 2022, whereby the fair value of the ESPP offering was measured immediately before and after modification, resulting in incremental stock-based compensation expense of $3.6 million, which is being recognized over the new offering period, which is deemed to be the requisite service period. A new subsequent 24-month offering period commences on March 1 and September 1 of each fiscal year.</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spacing w:after="0" w:line="295" w:lineRule="auto"/>
        <w:rPr>
          <w:sz w:val="20"/>
          <w:szCs w:val="20"/>
          <w:color w:val="auto"/>
        </w:rPr>
      </w:pPr>
      <w:r>
        <w:rPr>
          <w:rFonts w:ascii="Arial" w:cs="Arial" w:eastAsia="Arial" w:hAnsi="Arial"/>
          <w:sz w:val="15"/>
          <w:szCs w:val="15"/>
          <w:color w:val="auto"/>
        </w:rPr>
        <w:t>The fair value of the ESPP offerings described above were estimated using the Black-Scholes option-pricing model as of the respective offering dates, using the following assumptions. These assumptions represent the grant date fair value inputs for new offerings which commenced during the six months ended June 30, 2023 and 2022, as well as updated valuation information as of the modification date for any offerings for which a modification occurred during the periods presented herein: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20" w:type="dxa"/>
            <w:vAlign w:val="bottom"/>
          </w:tcPr>
          <w:p>
            <w:pPr>
              <w:spacing w:after="0"/>
              <w:rPr>
                <w:sz w:val="18"/>
                <w:szCs w:val="18"/>
                <w:color w:val="auto"/>
              </w:rPr>
            </w:pPr>
          </w:p>
        </w:tc>
        <w:tc>
          <w:tcPr>
            <w:tcW w:w="3420" w:type="dxa"/>
            <w:vAlign w:val="bottom"/>
            <w:gridSpan w:val="3"/>
          </w:tcPr>
          <w:p>
            <w:pPr>
              <w:jc w:val="right"/>
              <w:ind w:right="67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78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7820" w:type="dxa"/>
            <w:vAlign w:val="bottom"/>
          </w:tcPr>
          <w:p>
            <w:pPr>
              <w:spacing w:after="0"/>
              <w:rPr>
                <w:sz w:val="20"/>
                <w:szCs w:val="20"/>
                <w:color w:val="auto"/>
              </w:rPr>
            </w:pPr>
          </w:p>
        </w:tc>
        <w:tc>
          <w:tcPr>
            <w:tcW w:w="16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76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auto"/>
              </w:rPr>
              <w:t>2022</w:t>
            </w:r>
          </w:p>
        </w:tc>
      </w:tr>
      <w:tr>
        <w:trPr>
          <w:trHeight w:val="243"/>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Risk-free interest rates</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 to 5.13%</w:t>
            </w:r>
          </w:p>
        </w:tc>
        <w:tc>
          <w:tcPr>
            <w:tcW w:w="100" w:type="dxa"/>
            <w:vAlign w:val="bottom"/>
            <w:tcBorders>
              <w:top w:val="single" w:sz="8" w:color="CCEEFF"/>
            </w:tcBorders>
            <w:shd w:val="clear" w:color="auto" w:fill="CCEEFF"/>
          </w:tcPr>
          <w:p>
            <w:pPr>
              <w:spacing w:after="0"/>
              <w:rPr>
                <w:sz w:val="21"/>
                <w:szCs w:val="21"/>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0.60% to 1.31%</w:t>
            </w:r>
          </w:p>
        </w:tc>
      </w:tr>
      <w:tr>
        <w:trPr>
          <w:trHeight w:val="223"/>
        </w:trPr>
        <w:tc>
          <w:tcPr>
            <w:tcW w:w="782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1660" w:type="dxa"/>
            <w:vAlign w:val="bottom"/>
          </w:tcPr>
          <w:p>
            <w:pPr>
              <w:jc w:val="right"/>
              <w:spacing w:after="0"/>
              <w:rPr>
                <w:sz w:val="20"/>
                <w:szCs w:val="20"/>
                <w:color w:val="auto"/>
              </w:rPr>
            </w:pPr>
            <w:r>
              <w:rPr>
                <w:rFonts w:ascii="Arial" w:cs="Arial" w:eastAsia="Arial" w:hAnsi="Arial"/>
                <w:sz w:val="16"/>
                <w:szCs w:val="16"/>
                <w:color w:val="auto"/>
              </w:rPr>
              <w:t>0.5 to 2.0 years</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0.5 to 2.0 years</w:t>
            </w:r>
          </w:p>
        </w:tc>
      </w:tr>
      <w:tr>
        <w:trPr>
          <w:trHeight w:val="33"/>
        </w:trPr>
        <w:tc>
          <w:tcPr>
            <w:tcW w:w="78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Volatility</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 to 59.5%</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 to 73.0%</w:t>
            </w:r>
          </w:p>
        </w:tc>
      </w:tr>
      <w:tr>
        <w:trPr>
          <w:trHeight w:val="224"/>
        </w:trPr>
        <w:tc>
          <w:tcPr>
            <w:tcW w:w="7820" w:type="dxa"/>
            <w:vAlign w:val="bottom"/>
          </w:tcPr>
          <w:p>
            <w:pPr>
              <w:ind w:left="20"/>
              <w:spacing w:after="0"/>
              <w:rPr>
                <w:sz w:val="20"/>
                <w:szCs w:val="20"/>
                <w:color w:val="auto"/>
              </w:rPr>
            </w:pPr>
            <w:r>
              <w:rPr>
                <w:rFonts w:ascii="Arial" w:cs="Arial" w:eastAsia="Arial" w:hAnsi="Arial"/>
                <w:sz w:val="16"/>
                <w:szCs w:val="16"/>
                <w:color w:val="auto"/>
              </w:rPr>
              <w:t>Dividend rate</w:t>
            </w:r>
          </w:p>
        </w:tc>
        <w:tc>
          <w:tcPr>
            <w:tcW w:w="1660" w:type="dxa"/>
            <w:vAlign w:val="bottom"/>
          </w:tcPr>
          <w:p>
            <w:pPr>
              <w:jc w:val="right"/>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 %</w:t>
            </w:r>
          </w:p>
        </w:tc>
      </w:tr>
    </w:tbl>
    <w:p>
      <w:pPr>
        <w:spacing w:after="0" w:line="266" w:lineRule="exact"/>
        <w:rPr>
          <w:sz w:val="20"/>
          <w:szCs w:val="20"/>
          <w:color w:val="auto"/>
        </w:rPr>
      </w:pPr>
    </w:p>
    <w:p>
      <w:pPr>
        <w:ind w:right="300"/>
        <w:spacing w:after="0" w:line="369" w:lineRule="auto"/>
        <w:rPr>
          <w:sz w:val="20"/>
          <w:szCs w:val="20"/>
          <w:color w:val="auto"/>
        </w:rPr>
      </w:pPr>
      <w:r>
        <w:rPr>
          <w:rFonts w:ascii="Arial" w:cs="Arial" w:eastAsia="Arial" w:hAnsi="Arial"/>
          <w:sz w:val="14"/>
          <w:szCs w:val="14"/>
          <w:color w:val="auto"/>
        </w:rPr>
        <w:t>As the March 1, 2022 offering was accounted for as a modification to the October 2021 offering, the ESPP was fair valued immediately before and after modification on March 1, 2022 to assess the incremental fair value provided as a result of the modification. The inputs to the incremental fair value are included in the table above.</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 Expense</w:t>
      </w:r>
    </w:p>
    <w:p>
      <w:pPr>
        <w:spacing w:after="0" w:line="171" w:lineRule="exact"/>
        <w:rPr>
          <w:sz w:val="20"/>
          <w:szCs w:val="20"/>
          <w:color w:val="auto"/>
        </w:rPr>
      </w:pPr>
    </w:p>
    <w:p>
      <w:pPr>
        <w:ind w:right="700"/>
        <w:spacing w:after="0" w:line="293" w:lineRule="auto"/>
        <w:rPr>
          <w:sz w:val="20"/>
          <w:szCs w:val="20"/>
          <w:color w:val="auto"/>
        </w:rPr>
      </w:pPr>
      <w:r>
        <w:rPr>
          <w:rFonts w:ascii="Arial" w:cs="Arial" w:eastAsia="Arial" w:hAnsi="Arial"/>
          <w:sz w:val="16"/>
          <w:szCs w:val="16"/>
          <w:color w:val="auto"/>
        </w:rPr>
        <w:t xml:space="preserve">Stock-based compensation expense for stock options, RSUs, and the ESPP, included within the Condensed Consolidated Statements of Operations, net of amounts capitalized to internal-use software, as described in Note 4. </w:t>
      </w:r>
      <w:r>
        <w:rPr>
          <w:rFonts w:ascii="Arial" w:cs="Arial" w:eastAsia="Arial" w:hAnsi="Arial"/>
          <w:sz w:val="16"/>
          <w:szCs w:val="16"/>
          <w:i w:val="1"/>
          <w:iCs w:val="1"/>
          <w:color w:val="auto"/>
        </w:rPr>
        <w:t>Property and Equipment</w:t>
      </w:r>
      <w:r>
        <w:rPr>
          <w:rFonts w:ascii="Arial" w:cs="Arial" w:eastAsia="Arial" w:hAnsi="Arial"/>
          <w:sz w:val="16"/>
          <w:szCs w:val="16"/>
          <w:color w:val="auto"/>
        </w:rPr>
        <w:t>,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26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7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43"/>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support and operations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100" w:type="dxa"/>
            <w:vAlign w:val="bottom"/>
            <w:gridSpan w:val="2"/>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r>
      <w:tr>
        <w:trPr>
          <w:trHeight w:val="223"/>
        </w:trPr>
        <w:tc>
          <w:tcPr>
            <w:tcW w:w="4740" w:type="dxa"/>
            <w:vAlign w:val="bottom"/>
          </w:tcPr>
          <w:p>
            <w:pPr>
              <w:ind w:left="20"/>
              <w:spacing w:after="0"/>
              <w:rPr>
                <w:sz w:val="20"/>
                <w:szCs w:val="20"/>
                <w:color w:val="auto"/>
              </w:rPr>
            </w:pPr>
            <w:r>
              <w:rPr>
                <w:rFonts w:ascii="Arial" w:cs="Arial" w:eastAsia="Arial" w:hAnsi="Arial"/>
                <w:sz w:val="16"/>
                <w:szCs w:val="16"/>
                <w:color w:val="auto"/>
              </w:rPr>
              <w:t>Marketing</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4,727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3,797</w:t>
            </w:r>
          </w:p>
        </w:tc>
      </w:tr>
      <w:tr>
        <w:trPr>
          <w:trHeight w:val="33"/>
        </w:trPr>
        <w:tc>
          <w:tcPr>
            <w:tcW w:w="4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10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18,588</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13,649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35,219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17,721</w:t>
            </w:r>
          </w:p>
        </w:tc>
      </w:tr>
      <w:tr>
        <w:trPr>
          <w:trHeight w:val="240"/>
        </w:trPr>
        <w:tc>
          <w:tcPr>
            <w:tcW w:w="474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11,466</w:t>
            </w: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15,850</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20,881</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20,247</w:t>
            </w:r>
          </w:p>
        </w:tc>
      </w:tr>
      <w:tr>
        <w:trPr>
          <w:trHeight w:val="270"/>
        </w:trPr>
        <w:tc>
          <w:tcPr>
            <w:tcW w:w="47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35,200</w:t>
            </w:r>
          </w:p>
        </w:tc>
        <w:tc>
          <w:tcPr>
            <w:tcW w:w="1100" w:type="dxa"/>
            <w:vAlign w:val="bottom"/>
            <w:gridSpan w:val="2"/>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32,541</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64,434</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42,135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As of June 30, 2023, the total unamortized compensation cost related to all non-vested equity awards, including options and RSUs, was $337.2 million, which will be amortized over a weighted-average remaining requisite service period of approximately 2.8 years. As of June 30, 2023, the total unrecognized compensation expense related to the ESPP was $4.5 million, which is expected to be amortized over the next 1.7 years.</w:t>
      </w:r>
    </w:p>
    <w:p>
      <w:pPr>
        <w:spacing w:after="0" w:line="138"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significant related party transactions for the three and six months ended June 30, 2023 and 2022.</w:t>
      </w:r>
    </w:p>
    <w:p>
      <w:pPr>
        <w:spacing w:after="0" w:line="163"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185" w:lineRule="exact"/>
        <w:rPr>
          <w:sz w:val="20"/>
          <w:szCs w:val="20"/>
          <w:color w:val="auto"/>
        </w:rPr>
      </w:pPr>
    </w:p>
    <w:p>
      <w:pPr>
        <w:ind w:right="520"/>
        <w:spacing w:after="0" w:line="275" w:lineRule="auto"/>
        <w:rPr>
          <w:sz w:val="20"/>
          <w:szCs w:val="20"/>
          <w:color w:val="auto"/>
        </w:rPr>
      </w:pPr>
      <w:r>
        <w:rPr>
          <w:rFonts w:ascii="Arial" w:cs="Arial" w:eastAsia="Arial" w:hAnsi="Arial"/>
          <w:sz w:val="16"/>
          <w:szCs w:val="16"/>
          <w:color w:val="auto"/>
        </w:rPr>
        <w:t>The Company computes its tax provision for interim periods by applying the estimated annual effective tax rate to year-to-date income from recurring operations and adjusting for discrete items arising in that quarter.</w:t>
      </w:r>
    </w:p>
    <w:p>
      <w:pPr>
        <w:spacing w:after="0" w:line="132"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 Company’s effective tax rates on pre-tax income were 0.8% and (1.8)% for the three months ended June 30, 2023 and 2022, respectively and (0.5)% and (2.0)% for the six months ended June 30, 2023 and 2022, respectively. The difference between the effective tax rate and the U.S. federal statutory rate of 21.0% in both periods was primarily the result of foreign income taxed at different rates and changes in the U.S. valuation allowance, as well a discrete income tax benefit related to excess stock-based compensation deductions during the three months ended June 30, 2023.</w:t>
      </w:r>
    </w:p>
    <w:p>
      <w:pPr>
        <w:spacing w:after="0" w:line="12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Company maintains a full valuation allowance against the U.S. net deferred tax assets, as it believes that these deferred tax assets do not meet the more likely than not threshold.</w:t>
      </w:r>
    </w:p>
    <w:p>
      <w:pPr>
        <w:spacing w:after="0" w:line="104" w:lineRule="exact"/>
        <w:rPr>
          <w:sz w:val="20"/>
          <w:szCs w:val="20"/>
          <w:color w:val="auto"/>
        </w:rPr>
      </w:pPr>
    </w:p>
    <w:p>
      <w:pPr>
        <w:ind w:right="400"/>
        <w:spacing w:after="0" w:line="275" w:lineRule="auto"/>
        <w:rPr>
          <w:sz w:val="20"/>
          <w:szCs w:val="20"/>
          <w:color w:val="auto"/>
        </w:rPr>
      </w:pPr>
      <w:r>
        <w:rPr>
          <w:rFonts w:ascii="Arial" w:cs="Arial" w:eastAsia="Arial" w:hAnsi="Arial"/>
          <w:sz w:val="16"/>
          <w:szCs w:val="16"/>
          <w:color w:val="auto"/>
        </w:rPr>
        <w:t>The Company files income tax returns in the U.S. federal jurisdiction, various state jurisdictions, and internationally. As of June 30, 2023, tax years 2012 through 2022 remain open for examination by taxing authorities.</w:t>
      </w:r>
    </w:p>
    <w:p>
      <w:pPr>
        <w:spacing w:after="0" w:line="132" w:lineRule="exact"/>
        <w:rPr>
          <w:sz w:val="20"/>
          <w:szCs w:val="20"/>
          <w:color w:val="auto"/>
        </w:rPr>
      </w:pPr>
    </w:p>
    <w:p>
      <w:pPr>
        <w:ind w:right="40"/>
        <w:spacing w:after="0" w:line="295" w:lineRule="auto"/>
        <w:rPr>
          <w:sz w:val="20"/>
          <w:szCs w:val="20"/>
          <w:color w:val="auto"/>
        </w:rPr>
      </w:pPr>
      <w:r>
        <w:rPr>
          <w:rFonts w:ascii="Arial" w:cs="Arial" w:eastAsia="Arial" w:hAnsi="Arial"/>
          <w:sz w:val="15"/>
          <w:szCs w:val="15"/>
          <w:color w:val="auto"/>
        </w:rPr>
        <w:t xml:space="preserve">The Company has applied ASC 740, Income Taxes (“ASC 740”), and has determined that it has no uncertain tax positions, with the exception of the tax positions open as part of the Rewire acquisition as disclosed in Note 5. </w:t>
      </w:r>
      <w:r>
        <w:rPr>
          <w:rFonts w:ascii="Arial" w:cs="Arial" w:eastAsia="Arial" w:hAnsi="Arial"/>
          <w:sz w:val="15"/>
          <w:szCs w:val="15"/>
          <w:i w:val="1"/>
          <w:iCs w:val="1"/>
          <w:color w:val="auto"/>
        </w:rPr>
        <w:t>Business Combinations</w:t>
      </w:r>
      <w:r>
        <w:rPr>
          <w:rFonts w:ascii="Arial" w:cs="Arial" w:eastAsia="Arial" w:hAnsi="Arial"/>
          <w:sz w:val="15"/>
          <w:szCs w:val="15"/>
          <w:color w:val="auto"/>
        </w:rPr>
        <w:t>, both during the three and six months ended June 30, 2023 and 2022. The Company recognizes interest and, if applicable, penalties for any uncertain tax positions. Interest and penalties are recorded as a component of income tax expense.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8580" w:firstLine="8"/>
        <w:spacing w:after="0" w:line="536" w:lineRule="auto"/>
        <w:tabs>
          <w:tab w:leader="none" w:pos="365" w:val="left"/>
        </w:tabs>
        <w:numPr>
          <w:ilvl w:val="0"/>
          <w:numId w:val="21"/>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 Guarantees and Indemnification</w:t>
      </w:r>
    </w:p>
    <w:p>
      <w:pPr>
        <w:ind w:right="40"/>
        <w:spacing w:after="0" w:line="262" w:lineRule="auto"/>
        <w:rPr>
          <w:sz w:val="20"/>
          <w:szCs w:val="20"/>
          <w:color w:val="auto"/>
        </w:rPr>
      </w:pPr>
      <w:r>
        <w:rPr>
          <w:rFonts w:ascii="Arial" w:cs="Arial" w:eastAsia="Arial" w:hAnsi="Arial"/>
          <w:sz w:val="16"/>
          <w:szCs w:val="16"/>
          <w:color w:val="auto"/>
        </w:rPr>
        <w:t>In the ordinary course of business to facilitate sales of its services, the Company has entered into agreements with, among others, suppliers and partners that include guarantees or indemnity provisions. The Company also enters into indemnification agreements with its officers and directors, and the Company’s certificate of incorporation and bylaws include similar indemnification obligations to its officers and directors. To date, there have been no claims under any indemnification provisions; therefore, no such amounts have been accrued as of June 30, 2023 and December 31, 2022.</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 and Loss 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Litigation</w:t>
      </w:r>
    </w:p>
    <w:p>
      <w:pPr>
        <w:spacing w:after="0" w:line="167"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color w:val="auto"/>
        </w:rPr>
        <w:t>From time to time, the Company may be a party to litigation and subject to claims incident to the ordinary course of business, including intellectual property claims, labor and employment claims, threatened claims, breach of contract claims, and other matters. The Company accrues estimates for resolution of legal and other contingencies when losses are probable and estimable. Although the results of litigation and claims are inherently unpredictable, the Company does not believe that there was a reasonable possibility that it had incurred a material loss with respect to such loss contingencies, as of June 30, 2023 and December 31, 2022.</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Indirect taxes</w:t>
      </w:r>
    </w:p>
    <w:p>
      <w:pPr>
        <w:spacing w:after="0" w:line="167"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The Company is subject to indirect taxation in various states and foreign jurisdictions in which it conducts business. The Company continually evaluates those jurisdictions in which indirect tax obligations exist to determine whether a loss is probable, as defined under GAAP, and the amount can be estimated. Determination of whether a loss is probable, and an estimate can be made, is a complex undertaking and takes into account the judgment of management, third-party research, and the potential outcome of negotiation and interpretations by regulators and courts, among other information. Such assessments include consideration of management’s evaluation of domestic and international tax laws and regulations, external legal advice, and the extent to which they may apply to the Company’s business and industry. The Company’s assessment of probability includes consideration of recent inquiries, potential or actual self-disclosure, and applicability of tax rules. As a result of this assessment, management accrued an estimated liability of approximately $7.1 million and $6.0 million as of June 30, 2023 and December 31, 2022, respectively, reflecting the amount that the Company believes is probable and estimable. The estimated liability is recorded within ‘</w:t>
      </w:r>
      <w:r>
        <w:rPr>
          <w:rFonts w:ascii="Arial" w:cs="Arial" w:eastAsia="Arial" w:hAnsi="Arial"/>
          <w:sz w:val="15"/>
          <w:szCs w:val="15"/>
          <w:i w:val="1"/>
          <w:iCs w:val="1"/>
          <w:color w:val="auto"/>
        </w:rPr>
        <w:t>Accrued expenses and other current liabilities</w:t>
      </w:r>
      <w:r>
        <w:rPr>
          <w:rFonts w:ascii="Arial" w:cs="Arial" w:eastAsia="Arial" w:hAnsi="Arial"/>
          <w:sz w:val="15"/>
          <w:szCs w:val="15"/>
          <w:color w:val="auto"/>
        </w:rPr>
        <w:t>’ on the Company’s Condensed Consolidated Balance Sheets. Although the Company believes its indirect tax estimates and associated liabilities are reasonable, the final determination of indirect tax audits or settlements could be materially different than the amounts recorded.</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Reserve for Transaction Losses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Company’s reserve for transaction losses for the three and six months ended June 30, 2023 and 2022: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40" w:type="dxa"/>
            <w:vAlign w:val="bottom"/>
          </w:tcPr>
          <w:p>
            <w:pPr>
              <w:spacing w:after="0"/>
              <w:rPr>
                <w:sz w:val="19"/>
                <w:szCs w:val="19"/>
                <w:color w:val="auto"/>
              </w:rPr>
            </w:pPr>
          </w:p>
        </w:tc>
        <w:tc>
          <w:tcPr>
            <w:tcW w:w="26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Six Months Ended June 30,</w:t>
            </w:r>
          </w:p>
        </w:tc>
      </w:tr>
      <w:tr>
        <w:trPr>
          <w:trHeight w:val="223"/>
        </w:trPr>
        <w:tc>
          <w:tcPr>
            <w:tcW w:w="47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2022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33"/>
        </w:trPr>
        <w:tc>
          <w:tcPr>
            <w:tcW w:w="4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3,069</w:t>
            </w:r>
          </w:p>
        </w:tc>
        <w:tc>
          <w:tcPr>
            <w:tcW w:w="112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3,819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3,762</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3,134</w:t>
            </w:r>
          </w:p>
        </w:tc>
      </w:tr>
      <w:tr>
        <w:trPr>
          <w:trHeight w:val="233"/>
        </w:trPr>
        <w:tc>
          <w:tcPr>
            <w:tcW w:w="4740" w:type="dxa"/>
            <w:vAlign w:val="bottom"/>
          </w:tcPr>
          <w:p>
            <w:pPr>
              <w:ind w:left="140"/>
              <w:spacing w:after="0"/>
              <w:rPr>
                <w:sz w:val="20"/>
                <w:szCs w:val="20"/>
                <w:color w:val="auto"/>
              </w:rPr>
            </w:pPr>
            <w:r>
              <w:rPr>
                <w:rFonts w:ascii="Arial" w:cs="Arial" w:eastAsia="Arial" w:hAnsi="Arial"/>
                <w:sz w:val="16"/>
                <w:szCs w:val="16"/>
                <w:color w:val="auto"/>
              </w:rPr>
              <w:t>Provisions for transaction losses</w:t>
            </w:r>
          </w:p>
        </w:tc>
        <w:tc>
          <w:tcPr>
            <w:tcW w:w="100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9,038</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7,645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19,146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18,235</w:t>
            </w:r>
          </w:p>
        </w:tc>
      </w:tr>
      <w:tr>
        <w:trPr>
          <w:trHeight w:val="260"/>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Losses incurred, net of recoveries</w:t>
            </w:r>
          </w:p>
        </w:tc>
        <w:tc>
          <w:tcPr>
            <w:tcW w:w="10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(9,299)</w:t>
            </w:r>
          </w:p>
        </w:tc>
        <w:tc>
          <w:tcPr>
            <w:tcW w:w="10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(9,200)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(20,100)</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(19,105)</w:t>
            </w:r>
          </w:p>
        </w:tc>
      </w:tr>
      <w:tr>
        <w:trPr>
          <w:trHeight w:val="243"/>
        </w:trPr>
        <w:tc>
          <w:tcPr>
            <w:tcW w:w="474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2,808</w:t>
            </w:r>
          </w:p>
        </w:tc>
        <w:tc>
          <w:tcPr>
            <w:tcW w:w="1120" w:type="dxa"/>
            <w:vAlign w:val="bottom"/>
            <w:gridSpan w:val="2"/>
          </w:tcPr>
          <w:p>
            <w:pPr>
              <w:jc w:val="right"/>
              <w:ind w:right="920"/>
              <w:spacing w:after="0"/>
              <w:rPr>
                <w:sz w:val="20"/>
                <w:szCs w:val="20"/>
                <w:color w:val="auto"/>
              </w:rPr>
            </w:pPr>
            <w:r>
              <w:rPr>
                <w:rFonts w:ascii="Arial" w:cs="Arial" w:eastAsia="Arial" w:hAnsi="Arial"/>
                <w:sz w:val="16"/>
                <w:szCs w:val="16"/>
                <w:color w:val="auto"/>
              </w:rPr>
              <w:t>$</w:t>
            </w: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2,264</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2,808</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2,264</w:t>
            </w:r>
          </w:p>
        </w:tc>
      </w:tr>
      <w:tr>
        <w:trPr>
          <w:trHeight w:val="20"/>
        </w:trPr>
        <w:tc>
          <w:tcPr>
            <w:tcW w:w="4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Pr>
          <w:p>
            <w:pPr>
              <w:spacing w:after="0"/>
              <w:rPr>
                <w:sz w:val="20"/>
                <w:szCs w:val="20"/>
                <w:color w:val="auto"/>
              </w:rPr>
            </w:pPr>
            <w:r>
              <w:rPr>
                <w:rFonts w:ascii="Arial" w:cs="Arial" w:eastAsia="Arial" w:hAnsi="Arial"/>
                <w:sz w:val="16"/>
                <w:szCs w:val="16"/>
                <w:b w:val="1"/>
                <w:bCs w:val="1"/>
                <w:color w:val="auto"/>
              </w:rPr>
              <w:t>15.  Accrued Expenses &amp; Other Current Liabilities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51"/>
        </w:trPr>
        <w:tc>
          <w:tcPr>
            <w:tcW w:w="8020" w:type="dxa"/>
            <w:vAlign w:val="bottom"/>
          </w:tcPr>
          <w:p>
            <w:pPr>
              <w:spacing w:after="0"/>
              <w:rPr>
                <w:sz w:val="20"/>
                <w:szCs w:val="20"/>
                <w:color w:val="auto"/>
              </w:rPr>
            </w:pPr>
            <w:r>
              <w:rPr>
                <w:rFonts w:ascii="Arial" w:cs="Arial" w:eastAsia="Arial" w:hAnsi="Arial"/>
                <w:sz w:val="16"/>
                <w:szCs w:val="16"/>
                <w:color w:val="auto"/>
              </w:rPr>
              <w:t>Accrued expenses and other current liabilities consisted of the following:</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8"/>
        </w:trPr>
        <w:tc>
          <w:tcPr>
            <w:tcW w:w="8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ind w:right="419"/>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b w:val="1"/>
                <w:bCs w:val="1"/>
                <w:color w:val="auto"/>
                <w:w w:val="97"/>
              </w:rPr>
              <w:t>December 31,</w:t>
            </w:r>
          </w:p>
        </w:tc>
      </w:tr>
      <w:tr>
        <w:trPr>
          <w:trHeight w:val="243"/>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21"/>
                <w:szCs w:val="21"/>
                <w:color w:val="auto"/>
              </w:rPr>
            </w:pPr>
          </w:p>
        </w:tc>
        <w:tc>
          <w:tcPr>
            <w:tcW w:w="1280" w:type="dxa"/>
            <w:vAlign w:val="bottom"/>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33"/>
        </w:trPr>
        <w:tc>
          <w:tcPr>
            <w:tcW w:w="8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8020" w:type="dxa"/>
            <w:vAlign w:val="bottom"/>
            <w:shd w:val="clear" w:color="auto" w:fill="CCEEFF"/>
          </w:tcPr>
          <w:p>
            <w:pPr>
              <w:ind w:left="20"/>
              <w:spacing w:after="0" w:line="237" w:lineRule="exact"/>
              <w:rPr>
                <w:sz w:val="20"/>
                <w:szCs w:val="20"/>
                <w:color w:val="auto"/>
              </w:rPr>
            </w:pPr>
            <w:r>
              <w:rPr>
                <w:rFonts w:ascii="Arial" w:cs="Arial" w:eastAsia="Arial" w:hAnsi="Arial"/>
                <w:sz w:val="16"/>
                <w:szCs w:val="16"/>
                <w:color w:val="auto"/>
              </w:rPr>
              <w:t>Trade settlement liability</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20,123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26,266</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ESPP employee contributions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1,926</w:t>
            </w:r>
          </w:p>
        </w:tc>
      </w:tr>
      <w:tr>
        <w:trPr>
          <w:trHeight w:val="24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transaction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15,878</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Accrued marketing expense</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11,777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11,394</w:t>
            </w:r>
          </w:p>
        </w:tc>
      </w:tr>
      <w:tr>
        <w:trPr>
          <w:trHeight w:val="24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Reserve for transaction losses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3,762</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Accrued salaries, benefits, and related taxes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10,597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4,026</w:t>
            </w: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taxes and taxes payable</w:t>
            </w: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8,288</w:t>
            </w:r>
          </w:p>
        </w:tc>
      </w:tr>
      <w:tr>
        <w:trPr>
          <w:trHeight w:val="257"/>
        </w:trPr>
        <w:tc>
          <w:tcPr>
            <w:tcW w:w="8020" w:type="dxa"/>
            <w:vAlign w:val="bottom"/>
          </w:tcPr>
          <w:p>
            <w:pPr>
              <w:ind w:left="20"/>
              <w:spacing w:after="0"/>
              <w:rPr>
                <w:sz w:val="20"/>
                <w:szCs w:val="20"/>
                <w:color w:val="auto"/>
              </w:rPr>
            </w:pPr>
            <w:r>
              <w:rPr>
                <w:rFonts w:ascii="Arial" w:cs="Arial" w:eastAsia="Arial" w:hAnsi="Arial"/>
                <w:sz w:val="16"/>
                <w:szCs w:val="16"/>
                <w:color w:val="auto"/>
              </w:rPr>
              <w:t>Holdback liability</w:t>
            </w:r>
            <w:r>
              <w:rPr>
                <w:rFonts w:ascii="Arial" w:cs="Arial" w:eastAsia="Arial" w:hAnsi="Arial"/>
                <w:sz w:val="21"/>
                <w:szCs w:val="21"/>
                <w:color w:val="auto"/>
                <w:vertAlign w:val="superscript"/>
              </w:rPr>
              <w:t>(2)</w:t>
            </w: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12,910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accrued expenses</w:t>
            </w:r>
          </w:p>
        </w:tc>
        <w:tc>
          <w:tcPr>
            <w:tcW w:w="2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16,212</w:t>
            </w:r>
          </w:p>
        </w:tc>
      </w:tr>
      <w:tr>
        <w:trPr>
          <w:trHeight w:val="243"/>
        </w:trPr>
        <w:tc>
          <w:tcPr>
            <w:tcW w:w="8020" w:type="dxa"/>
            <w:vAlign w:val="bottom"/>
          </w:tcPr>
          <w:p>
            <w:pPr>
              <w:ind w:left="24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98,717</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87,752</w:t>
            </w:r>
          </w:p>
        </w:tc>
      </w:tr>
      <w:tr>
        <w:trPr>
          <w:trHeight w:val="21"/>
        </w:trPr>
        <w:tc>
          <w:tcPr>
            <w:tcW w:w="8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21" w:lineRule="exact"/>
        <w:rPr>
          <w:sz w:val="20"/>
          <w:szCs w:val="20"/>
          <w:color w:val="auto"/>
        </w:rPr>
      </w:pPr>
    </w:p>
    <w:p>
      <w:pPr>
        <w:ind w:left="340" w:right="160" w:hanging="332"/>
        <w:spacing w:after="0" w:line="241" w:lineRule="auto"/>
        <w:tabs>
          <w:tab w:leader="none" w:pos="165" w:val="left"/>
        </w:tabs>
        <w:numPr>
          <w:ilvl w:val="0"/>
          <w:numId w:val="22"/>
        </w:numPr>
        <w:rPr>
          <w:rFonts w:ascii="Arial" w:cs="Arial" w:eastAsia="Arial" w:hAnsi="Arial"/>
          <w:sz w:val="19"/>
          <w:szCs w:val="19"/>
          <w:color w:val="auto"/>
          <w:vertAlign w:val="superscript"/>
        </w:rPr>
      </w:pPr>
      <w:r>
        <w:rPr>
          <w:rFonts w:ascii="Arial" w:cs="Arial" w:eastAsia="Arial" w:hAnsi="Arial"/>
          <w:sz w:val="13"/>
          <w:szCs w:val="13"/>
          <w:color w:val="auto"/>
        </w:rPr>
        <w:t xml:space="preserve">The trade settlement liability amount represents the total of book overdrafts and disbursement postfunding liabilities owed to the Company’s disbursement partners. Refer to Note 2. </w:t>
      </w:r>
      <w:r>
        <w:rPr>
          <w:rFonts w:ascii="Arial" w:cs="Arial" w:eastAsia="Arial" w:hAnsi="Arial"/>
          <w:sz w:val="13"/>
          <w:szCs w:val="13"/>
          <w:i w:val="1"/>
          <w:iCs w:val="1"/>
          <w:color w:val="auto"/>
        </w:rPr>
        <w:t>Basis of</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Presentation and Summary of Significant Accounting Policies </w:t>
      </w:r>
      <w:r>
        <w:rPr>
          <w:rFonts w:ascii="Arial" w:cs="Arial" w:eastAsia="Arial" w:hAnsi="Arial"/>
          <w:sz w:val="13"/>
          <w:szCs w:val="13"/>
          <w:color w:val="auto"/>
        </w:rPr>
        <w:t>within the Notes to Consolidated Financial Statements included in the Company’s Annual Report on Form 10-K for the year</w:t>
      </w:r>
      <w:r>
        <w:rPr>
          <w:rFonts w:ascii="Arial" w:cs="Arial" w:eastAsia="Arial" w:hAnsi="Arial"/>
          <w:sz w:val="13"/>
          <w:szCs w:val="13"/>
          <w:i w:val="1"/>
          <w:iCs w:val="1"/>
          <w:color w:val="auto"/>
        </w:rPr>
        <w:t xml:space="preserve"> </w:t>
      </w:r>
      <w:r>
        <w:rPr>
          <w:rFonts w:ascii="Arial" w:cs="Arial" w:eastAsia="Arial" w:hAnsi="Arial"/>
          <w:sz w:val="13"/>
          <w:szCs w:val="13"/>
          <w:color w:val="auto"/>
        </w:rPr>
        <w:t>ended December 31, 2022 for further discussion.</w:t>
      </w:r>
    </w:p>
    <w:p>
      <w:pPr>
        <w:spacing w:after="0" w:line="22"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22"/>
        </w:numPr>
        <w:rPr>
          <w:rFonts w:ascii="Arial" w:cs="Arial" w:eastAsia="Arial" w:hAnsi="Arial"/>
          <w:sz w:val="18"/>
          <w:szCs w:val="18"/>
          <w:color w:val="auto"/>
          <w:vertAlign w:val="superscript"/>
        </w:rPr>
      </w:pPr>
      <w:r>
        <w:rPr>
          <w:rFonts w:ascii="Arial" w:cs="Arial" w:eastAsia="Arial" w:hAnsi="Arial"/>
          <w:sz w:val="12"/>
          <w:szCs w:val="12"/>
          <w:color w:val="auto"/>
        </w:rPr>
        <w:t xml:space="preserve">Refer to Note 5. </w:t>
      </w:r>
      <w:r>
        <w:rPr>
          <w:rFonts w:ascii="Arial" w:cs="Arial" w:eastAsia="Arial" w:hAnsi="Arial"/>
          <w:sz w:val="12"/>
          <w:szCs w:val="12"/>
          <w:i w:val="1"/>
          <w:iCs w:val="1"/>
          <w:color w:val="auto"/>
        </w:rPr>
        <w:t>Business Combinations</w:t>
      </w:r>
      <w:r>
        <w:rPr>
          <w:rFonts w:ascii="Arial" w:cs="Arial" w:eastAsia="Arial" w:hAnsi="Arial"/>
          <w:sz w:val="12"/>
          <w:szCs w:val="12"/>
          <w:color w:val="auto"/>
        </w:rPr>
        <w:t xml:space="preserve"> for further detail on the Holdback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6"/>
          <w:szCs w:val="16"/>
          <w:i w:val="1"/>
          <w:iCs w:val="1"/>
          <w:color w:val="auto"/>
        </w:rPr>
        <w:t xml:space="preserve">You should read the following discussion and analysis of our financial condition and results of operations together with our Condensed Consolidated Financial Statements and the related notes, appearing elsewhere in this Quarterly Report on Form 10-Q and our audited Consolidated Financial Statements and the related notes and the discussion under the heading </w:t>
      </w:r>
      <w:r>
        <w:rPr>
          <w:rFonts w:ascii="Arial" w:cs="Arial" w:eastAsia="Arial" w:hAnsi="Arial"/>
          <w:sz w:val="17"/>
          <w:szCs w:val="17"/>
          <w:i w:val="1"/>
          <w:iCs w:val="1"/>
          <w:color w:val="auto"/>
        </w:rPr>
        <w:t>“</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7"/>
          <w:szCs w:val="17"/>
          <w:i w:val="1"/>
          <w:iCs w:val="1"/>
          <w:color w:val="auto"/>
        </w:rPr>
        <w:t>”</w:t>
      </w:r>
      <w:r>
        <w:rPr>
          <w:rFonts w:ascii="Arial" w:cs="Arial" w:eastAsia="Arial" w:hAnsi="Arial"/>
          <w:sz w:val="16"/>
          <w:szCs w:val="16"/>
          <w:i w:val="1"/>
          <w:iCs w:val="1"/>
          <w:color w:val="auto"/>
        </w:rPr>
        <w:t xml:space="preserve"> included in the Annual Report on Form 10-K for the year ended December 31, 2022. You should read the sections titled “Risk Factors” in this Quarterly Report on Form 10-Q as well as in the Annual Report on Form 10-K and “Special Note Regarding Forward-Looking Statements” for a discussion of important factors that could cause actual results to differ materially from the results described in or implied by the forward-looking statements contained in the following discussion and analysis. The forward-looking statements in this Form 10-Q represent our views as of the date of this Form 10-Q. Except as may be required by law, we assume no obligation to update these forward-looking statements or the reasons that results could differ from these forward-looking statements. You should, therefore, not rely on these forward-looking statements as representing our views as of any date subsequent to the date of this Form 10-Q.</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71" w:lineRule="exact"/>
        <w:rPr>
          <w:sz w:val="20"/>
          <w:szCs w:val="20"/>
          <w:color w:val="auto"/>
        </w:rPr>
      </w:pPr>
    </w:p>
    <w:p>
      <w:pPr>
        <w:ind w:right="460"/>
        <w:spacing w:after="0" w:line="295" w:lineRule="auto"/>
        <w:rPr>
          <w:sz w:val="20"/>
          <w:szCs w:val="20"/>
          <w:color w:val="auto"/>
        </w:rPr>
      </w:pPr>
      <w:r>
        <w:rPr>
          <w:rFonts w:ascii="Arial" w:cs="Arial" w:eastAsia="Arial" w:hAnsi="Arial"/>
          <w:sz w:val="15"/>
          <w:szCs w:val="15"/>
          <w:color w:val="auto"/>
        </w:rPr>
        <w:t>Remitly is a leading digital financial services provider for immigrants and their families in over 170 countries around the world. The combination of our differentiated approach and our relentless focus on meeting the financial services needs of our immigrant communities has resulted in significant customer growth, high customer engagement, rapid send volume and transaction growth, and attractive customer economics built on top of an expansive global network.</w:t>
      </w:r>
    </w:p>
    <w:p>
      <w:pPr>
        <w:spacing w:after="0" w:line="106"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Our brand promise is to bring “peace of mind” into everything we do. We focus on bringing trust, reliability, and a fair and transparent price to cross-border remittances and complementary financial services.</w:t>
      </w:r>
    </w:p>
    <w:p>
      <w:pPr>
        <w:spacing w:after="0" w:line="132"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To deliver on our brand promise, we have a differentiated approach that aligns with the specific needs and interests of our customers and solves the problems immigrant communities often face in making remittances. There are four core elements to our differentiated approach:</w:t>
      </w:r>
    </w:p>
    <w:p>
      <w:pPr>
        <w:spacing w:after="0" w:line="128" w:lineRule="exact"/>
        <w:rPr>
          <w:sz w:val="20"/>
          <w:szCs w:val="20"/>
          <w:color w:val="auto"/>
        </w:rPr>
      </w:pPr>
    </w:p>
    <w:p>
      <w:pPr>
        <w:ind w:left="660" w:right="80" w:hanging="328"/>
        <w:spacing w:after="0" w:line="263"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 xml:space="preserve">Providing a Simple and Reliable Way of Sending Money with Our Mobile-Centric Suite of Products. </w:t>
      </w:r>
      <w:r>
        <w:rPr>
          <w:rFonts w:ascii="Arial" w:cs="Arial" w:eastAsia="Arial" w:hAnsi="Arial"/>
          <w:sz w:val="16"/>
          <w:szCs w:val="16"/>
          <w:color w:val="auto"/>
        </w:rPr>
        <w:t>As of June 30, 2023, our Remitly mobile app had a 4.9</w:t>
      </w:r>
      <w:r>
        <w:rPr>
          <w:rFonts w:ascii="Arial" w:cs="Arial" w:eastAsia="Arial" w:hAnsi="Arial"/>
          <w:sz w:val="16"/>
          <w:szCs w:val="16"/>
          <w:b w:val="1"/>
          <w:bCs w:val="1"/>
          <w:color w:val="auto"/>
        </w:rPr>
        <w:t xml:space="preserve"> </w:t>
      </w:r>
      <w:r>
        <w:rPr>
          <w:rFonts w:ascii="Arial" w:cs="Arial" w:eastAsia="Arial" w:hAnsi="Arial"/>
          <w:sz w:val="16"/>
          <w:szCs w:val="16"/>
          <w:color w:val="auto"/>
        </w:rPr>
        <w:t>iOS App Store rating with approximately 1.2 million reviewers and a 4.8 Android Google Play rating with approximately 650,000 reviewers. We have achieved this level of engagement and these high ratings by designing mobile-centric products that make the customer experience simple and convenient and give our customers complete peace of mind.</w:t>
      </w:r>
    </w:p>
    <w:p>
      <w:pPr>
        <w:spacing w:after="0" w:line="129" w:lineRule="exact"/>
        <w:rPr>
          <w:rFonts w:ascii="Arial" w:cs="Arial" w:eastAsia="Arial" w:hAnsi="Arial"/>
          <w:sz w:val="16"/>
          <w:szCs w:val="16"/>
          <w:color w:val="auto"/>
        </w:rPr>
      </w:pPr>
    </w:p>
    <w:p>
      <w:pPr>
        <w:ind w:left="660" w:right="180"/>
        <w:spacing w:after="0" w:line="262" w:lineRule="auto"/>
        <w:rPr>
          <w:rFonts w:ascii="Arial" w:cs="Arial" w:eastAsia="Arial" w:hAnsi="Arial"/>
          <w:sz w:val="16"/>
          <w:szCs w:val="16"/>
          <w:color w:val="auto"/>
        </w:rPr>
      </w:pPr>
      <w:r>
        <w:rPr>
          <w:rFonts w:ascii="Arial" w:cs="Arial" w:eastAsia="Arial" w:hAnsi="Arial"/>
          <w:sz w:val="16"/>
          <w:szCs w:val="16"/>
          <w:color w:val="auto"/>
        </w:rPr>
        <w:t>Our mobile app for cross-border remittances provides an easy-to-use, end-to-end process. In just a few minutes, customers are able to set up and send money for the first time with Remitly, and repeat transactions become easier with just a few taps. Our customers and their families can also track the status of their transactions in real time. This mobile-centric experience enables us to engage beyond the initial transaction, generating strong repeat usage and high customer loyalty.</w:t>
      </w:r>
    </w:p>
    <w:p>
      <w:pPr>
        <w:spacing w:after="0" w:line="137" w:lineRule="exact"/>
        <w:rPr>
          <w:rFonts w:ascii="Arial" w:cs="Arial" w:eastAsia="Arial" w:hAnsi="Arial"/>
          <w:sz w:val="16"/>
          <w:szCs w:val="16"/>
          <w:color w:val="auto"/>
        </w:rPr>
      </w:pPr>
    </w:p>
    <w:p>
      <w:pPr>
        <w:ind w:left="660" w:right="20" w:hanging="328"/>
        <w:spacing w:after="0" w:line="281" w:lineRule="auto"/>
        <w:tabs>
          <w:tab w:leader="none" w:pos="660" w:val="left"/>
        </w:tabs>
        <w:numPr>
          <w:ilvl w:val="0"/>
          <w:numId w:val="23"/>
        </w:numPr>
        <w:rPr>
          <w:rFonts w:ascii="Arial" w:cs="Arial" w:eastAsia="Arial" w:hAnsi="Arial"/>
          <w:sz w:val="15"/>
          <w:szCs w:val="15"/>
          <w:b w:val="1"/>
          <w:bCs w:val="1"/>
          <w:color w:val="auto"/>
        </w:rPr>
      </w:pPr>
      <w:r>
        <w:rPr>
          <w:rFonts w:ascii="Arial" w:cs="Arial" w:eastAsia="Arial" w:hAnsi="Arial"/>
          <w:sz w:val="15"/>
          <w:szCs w:val="15"/>
          <w:b w:val="1"/>
          <w:bCs w:val="1"/>
          <w:color w:val="auto"/>
        </w:rPr>
        <w:t>Conveniently Putting Money Safely in the Hands of Our Customers’ Families, Wherever They Are, by Relying on Our Global Network</w:t>
      </w:r>
      <w:r>
        <w:rPr>
          <w:rFonts w:ascii="Arial" w:cs="Arial" w:eastAsia="Arial" w:hAnsi="Arial"/>
          <w:sz w:val="15"/>
          <w:szCs w:val="15"/>
          <w:color w:val="auto"/>
        </w:rPr>
        <w:t>. Our global</w:t>
      </w:r>
      <w:r>
        <w:rPr>
          <w:rFonts w:ascii="Arial" w:cs="Arial" w:eastAsia="Arial" w:hAnsi="Arial"/>
          <w:sz w:val="15"/>
          <w:szCs w:val="15"/>
          <w:b w:val="1"/>
          <w:bCs w:val="1"/>
          <w:color w:val="auto"/>
        </w:rPr>
        <w:t xml:space="preserve"> </w:t>
      </w:r>
      <w:r>
        <w:rPr>
          <w:rFonts w:ascii="Arial" w:cs="Arial" w:eastAsia="Arial" w:hAnsi="Arial"/>
          <w:sz w:val="15"/>
          <w:szCs w:val="15"/>
          <w:color w:val="auto"/>
        </w:rPr>
        <w:t>network of funding and disbursement partnerships enables us to complete money transfers in approximately 4,800 corridors without the need to deploy local operations in each country. We are able to do this while complying with global and local licensing and regulatory requirements. A corridor represents the pairing of a send country, from which a customer can send a remittance, with a specific receive country to which such remittance can be sent. As a result of the quality of our network and the foundational investments we have made, in general, every new send country we add results in a significant number of new corridors, as we are able to quickly connect send countries with receive countries, allowing us to continue to scale rapidly.</w:t>
      </w:r>
    </w:p>
    <w:p>
      <w:pPr>
        <w:spacing w:after="0" w:line="115" w:lineRule="exact"/>
        <w:rPr>
          <w:rFonts w:ascii="Arial" w:cs="Arial" w:eastAsia="Arial" w:hAnsi="Arial"/>
          <w:sz w:val="15"/>
          <w:szCs w:val="15"/>
          <w:b w:val="1"/>
          <w:bCs w:val="1"/>
          <w:color w:val="auto"/>
        </w:rPr>
      </w:pPr>
    </w:p>
    <w:p>
      <w:pPr>
        <w:ind w:left="660" w:right="60"/>
        <w:spacing w:after="0" w:line="299" w:lineRule="auto"/>
        <w:rPr>
          <w:rFonts w:ascii="Arial" w:cs="Arial" w:eastAsia="Arial" w:hAnsi="Arial"/>
          <w:sz w:val="15"/>
          <w:szCs w:val="15"/>
          <w:b w:val="1"/>
          <w:bCs w:val="1"/>
          <w:color w:val="auto"/>
        </w:rPr>
      </w:pPr>
      <w:r>
        <w:rPr>
          <w:rFonts w:ascii="Arial" w:cs="Arial" w:eastAsia="Arial" w:hAnsi="Arial"/>
          <w:sz w:val="14"/>
          <w:szCs w:val="14"/>
          <w:color w:val="auto"/>
        </w:rPr>
        <w:t>Our disbursement options within our global network continue to grow and remain an important driver of customer loyalty. We have partner relationships with global banks and leading payment providers to give our customers an array of payment (or pay-in) options, including with a bank account, card-based payments, and alternative payment methods. Our disbursement network provides our customers with various digital and traditional delivery methods and enables us to send (or pay-out) funds to approximately 4.0 billion bank accounts, approximately 1.2 billion mobile wallets, and over 460,000 cash pickup locations. We focus on creating financial inclusion by providing payout optionality and access for recipients who do not always have convenient access to traditional banking. We believe our focus on financial inclusion creates peace of mind for our customers and their families while attracting and retaining loyal customers. We continue to believe the quality of our network and our focus on customer preference in disbursement options remain a competitive differentiator.</w:t>
      </w:r>
    </w:p>
    <w:p>
      <w:pPr>
        <w:spacing w:after="0" w:line="117" w:lineRule="exact"/>
        <w:rPr>
          <w:rFonts w:ascii="Arial" w:cs="Arial" w:eastAsia="Arial" w:hAnsi="Arial"/>
          <w:sz w:val="15"/>
          <w:szCs w:val="15"/>
          <w:b w:val="1"/>
          <w:bCs w:val="1"/>
          <w:color w:val="auto"/>
        </w:rPr>
      </w:pPr>
    </w:p>
    <w:p>
      <w:pPr>
        <w:ind w:left="660" w:right="20" w:hanging="328"/>
        <w:spacing w:after="0" w:line="258"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Creating Trusted and Personalized Experiences with Our Localization Expertise at Scale</w:t>
      </w:r>
      <w:r>
        <w:rPr>
          <w:rFonts w:ascii="Arial" w:cs="Arial" w:eastAsia="Arial" w:hAnsi="Arial"/>
          <w:sz w:val="16"/>
          <w:szCs w:val="16"/>
          <w:color w:val="auto"/>
        </w:rPr>
        <w:t>. We believe our expertise in localizing our marketing, products, and</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 support at scale is a key differentiator and enables us to provide customers with a personalized experience that drives peace of mind. Localization can mean many things. To us, it means speaking with our customers in their preferred language, reaching them through the media channels they frequent, and being culturally relevant through their journey. While our business is global, we recognize the importance of a culturally relevant experience being delivered to our customers and their families in the many countries we serve. We strive to deliver marketing, product, and support experiences that connect with them in meaningful ways. For example, we tailor our customer experience with more than 15 native languages, and we provide peace of mind with our global customer support team. Additionally, for disbursement of funds, we partner with local brands that are among the most trusted and recognized by our customers and their families.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ind w:left="660" w:right="100" w:hanging="328"/>
        <w:spacing w:after="0" w:line="263"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Using Our Data-Driven Approach to Better Serve Our Customers and Provide More Value</w:t>
      </w:r>
      <w:r>
        <w:rPr>
          <w:rFonts w:ascii="Arial" w:cs="Arial" w:eastAsia="Arial" w:hAnsi="Arial"/>
          <w:sz w:val="16"/>
          <w:szCs w:val="16"/>
          <w:color w:val="auto"/>
        </w:rPr>
        <w:t>. We have a data-driven approach to how we grow our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prioritize our investments, and manage our operations. Because our customers initiate transfers digitally, we capture and leverage a body of transaction-related data that provides insight into customer behavior and customer experience. This data and the analytics we perform inform our marketing investments and product development prioritization. In addition, we leverage our data platform and proprietary models to improve our compliance systems and manage pricing, treasury, fraud risk, and customer support.</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 of Rewire</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On January 5, 2023, we acquired 100% of the outstanding equity interests of Rewire (O.S.G) Research and Development Ltd., a company organized under the laws of the State of Israel (“Rewire”), for approximately $77.9 million of aggregate consideration, the majority of which was or will be settled in cash, with the remaining consideration settled or to be settled in Remitly equity. The acquisition of Rewire allows us to accelerate our opportunity to differentiate the remittance experience with complementary products, by bringing together our remittance businesses in new geographies, along with a strong team that is culturally aligned with Remitly.</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Revenue Model</w:t>
      </w:r>
    </w:p>
    <w:p>
      <w:pPr>
        <w:spacing w:after="0" w:line="17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For our remittance business, which represents substantially all of our revenue today, we generate revenue from transaction fees charged to customers and foreign exchange spreads applied to the amount the customer is sending.</w:t>
      </w:r>
    </w:p>
    <w:p>
      <w:pPr>
        <w:spacing w:after="0" w:line="104"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color w:val="auto"/>
        </w:rPr>
        <w:t>Transaction fees vary based on the corridor, the currency in which funds are delivered to the recipient, the funding method a customer chooses (e.g., ACH, credit card, debit card, etc.), the disbursement method a customer chooses (e.g., bank deposit, mobile wallet, cash pick-up, etc.), and the amount the customer is sending.</w:t>
      </w:r>
    </w:p>
    <w:p>
      <w:pPr>
        <w:spacing w:after="0" w:line="108"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Foreign exchange spreads represent the difference between the foreign exchange rate offered to customers and the foreign exchange rate on the Company’s currency purchases. They are an output of proprietary and dynamic models that are designed to provide fair and competitive rates to our customers, while generating a spread for the Company based on our ability to buy foreign currency at generally advantageous rates.</w:t>
      </w:r>
    </w:p>
    <w:p>
      <w:pPr>
        <w:spacing w:after="0" w:line="124"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Revenue from transaction fees and foreign exchange spreads is reduced by customer promotions. For example, we may, from time to time, waive transaction fees for first-time customers, or provide customers with better foreign exchange rates on their first transaction. These incentives are accounted for as reductions to revenue, up to the point where net historical cumulative revenue, at the customer level, is reduced to zero. We consider these incentives to be an investment in our long-term relationship with customers.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Business Metrics</w:t>
      </w:r>
    </w:p>
    <w:p>
      <w:pPr>
        <w:spacing w:after="0" w:line="171"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color w:val="auto"/>
        </w:rPr>
        <w:t>We regularly review the following key business metrics to evaluate our performance, identify trends affecting our business, prepare financial projections, and make strategic decisions. We believe that these key business metrics provide meaningful supplemental information for management and investors in assessing our historical and future operating performance. The calculation of these key business metrics discussed below may differ from other similarly titled metrics used by other companies, analysts, or investors. The key business metrics that we use to measure the performance of our business are defined as follows:</w:t>
      </w:r>
    </w:p>
    <w:p>
      <w:pPr>
        <w:spacing w:after="0" w:line="129" w:lineRule="exact"/>
        <w:rPr>
          <w:sz w:val="20"/>
          <w:szCs w:val="20"/>
          <w:color w:val="auto"/>
        </w:rPr>
      </w:pPr>
    </w:p>
    <w:p>
      <w:pPr>
        <w:ind w:left="660" w:right="80" w:hanging="328"/>
        <w:spacing w:after="0" w:line="275"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“Active customers” is defined as the number of distinct customers that have successfully completed at least one transaction using Remitly during a given calendar quarter. We identify customers through unique account numbers.</w:t>
      </w:r>
    </w:p>
    <w:p>
      <w:pPr>
        <w:spacing w:after="0" w:line="118" w:lineRule="exact"/>
        <w:rPr>
          <w:rFonts w:ascii="Arial" w:cs="Arial" w:eastAsia="Arial" w:hAnsi="Arial"/>
          <w:sz w:val="16"/>
          <w:szCs w:val="16"/>
          <w:color w:val="auto"/>
        </w:rPr>
      </w:pPr>
    </w:p>
    <w:p>
      <w:pPr>
        <w:ind w:left="660" w:right="120" w:hanging="328"/>
        <w:spacing w:after="0" w:line="269"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“Send volume” is defined as the sum of the amount that customers send, measured in U.S. dollars, related to transactions completed during a given period. This amount is net of cancellations, does not include transaction fees from customers, and does not include any credits, offers, or bonuses applied to the transaction by us.</w:t>
      </w:r>
    </w:p>
    <w:p>
      <w:pPr>
        <w:spacing w:after="0" w:line="13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As active customers are measured on a quarterly basis, the data for the full-year periods for active customers is not meaningful, and therefore this metric is only presented on a quarterly basis herein.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Active Customers</w:t>
      </w:r>
    </w:p>
    <w:p>
      <w:pPr>
        <w:spacing w:after="0" w:line="231" w:lineRule="exact"/>
        <w:rPr>
          <w:sz w:val="20"/>
          <w:szCs w:val="20"/>
          <w:color w:val="auto"/>
        </w:rPr>
      </w:pPr>
    </w:p>
    <w:p>
      <w:pPr>
        <w:ind w:left="858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29210</wp:posOffset>
            </wp:positionV>
            <wp:extent cx="20491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4914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5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Active customers</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3,419</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the number of our active customers is an important indicator of customer engagement and the overall growth of our business.</w:t>
      </w:r>
    </w:p>
    <w:p>
      <w:pPr>
        <w:spacing w:after="0" w:line="167"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Active customers increased to approximately 5.0 million, or 47% growth, for the three months ended June 30, 2023, compared to the three months ended June 30, 2022. This increase was primarily due to an increase in new customers, driven by investments in our mobile platform and efficient marketing spend, our focus on customer experience, expansion of our global disbursement network, and the continued diversification across both send and receive countries. While we continue to see strong results in our largest existing receive countries, our successful diversification of our corridor portfolio across both send and receive countries has contributed to new customer growth.</w:t>
      </w:r>
    </w:p>
    <w:p>
      <w:pPr>
        <w:sectPr>
          <w:pgSz w:w="11900" w:h="16838" w:orient="portrait"/>
          <w:cols w:equalWidth="0" w:num="1">
            <w:col w:w="11240"/>
          </w:cols>
          <w:pgMar w:left="320" w:top="10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06"/>
        </w:trPr>
        <w:tc>
          <w:tcPr>
            <w:tcW w:w="4740" w:type="dxa"/>
            <w:vAlign w:val="bottom"/>
          </w:tcPr>
          <w:p>
            <w:pPr>
              <w:spacing w:after="0"/>
              <w:rPr>
                <w:sz w:val="20"/>
                <w:szCs w:val="20"/>
                <w:color w:val="auto"/>
              </w:rPr>
            </w:pPr>
            <w:r>
              <w:rPr>
                <w:rFonts w:ascii="Arial" w:cs="Arial" w:eastAsia="Arial" w:hAnsi="Arial"/>
                <w:sz w:val="16"/>
                <w:szCs w:val="16"/>
                <w:b w:val="1"/>
                <w:bCs w:val="1"/>
                <w:i w:val="1"/>
                <w:iCs w:val="1"/>
                <w:color w:val="auto"/>
              </w:rPr>
              <w:t>Send Volume</w:t>
            </w: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4740" w:type="dxa"/>
            <w:vAlign w:val="bottom"/>
          </w:tcPr>
          <w:p>
            <w:pPr>
              <w:spacing w:after="0"/>
              <w:rPr>
                <w:sz w:val="24"/>
                <w:szCs w:val="24"/>
                <w:color w:val="auto"/>
              </w:rPr>
            </w:pPr>
          </w:p>
        </w:tc>
        <w:tc>
          <w:tcPr>
            <w:tcW w:w="27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7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24"/>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Send volume</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9,580</w:t>
            </w:r>
          </w:p>
        </w:tc>
        <w:tc>
          <w:tcPr>
            <w:tcW w:w="1140" w:type="dxa"/>
            <w:vAlign w:val="bottom"/>
            <w:gridSpan w:val="2"/>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18,124</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13,058</w:t>
            </w:r>
          </w:p>
        </w:tc>
      </w:tr>
      <w:tr>
        <w:trPr>
          <w:trHeight w:val="33"/>
        </w:trPr>
        <w:tc>
          <w:tcPr>
            <w:tcW w:w="47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33" w:lineRule="exact"/>
        <w:rPr>
          <w:sz w:val="20"/>
          <w:szCs w:val="20"/>
          <w:color w:val="auto"/>
        </w:rPr>
      </w:pPr>
    </w:p>
    <w:p>
      <w:pPr>
        <w:jc w:val="both"/>
        <w:ind w:right="380"/>
        <w:spacing w:after="0" w:line="269" w:lineRule="auto"/>
        <w:rPr>
          <w:sz w:val="20"/>
          <w:szCs w:val="20"/>
          <w:color w:val="auto"/>
        </w:rPr>
      </w:pPr>
      <w:r>
        <w:rPr>
          <w:rFonts w:ascii="Arial" w:cs="Arial" w:eastAsia="Arial" w:hAnsi="Arial"/>
          <w:sz w:val="16"/>
          <w:szCs w:val="16"/>
          <w:color w:val="auto"/>
        </w:rPr>
        <w:t>We measure send volume to assess the scale of remittances sent using our platform. Our customers mostly send from the United States, Canada, and other countries in Europe. Our customers and their recipients are located in over 170 countries and territories across the globe; the largest receive countries by send volume include India, Mexico, and the Philippines.</w:t>
      </w:r>
    </w:p>
    <w:p>
      <w:pPr>
        <w:spacing w:after="0" w:line="124" w:lineRule="exact"/>
        <w:rPr>
          <w:sz w:val="20"/>
          <w:szCs w:val="20"/>
          <w:color w:val="auto"/>
        </w:rPr>
      </w:pPr>
    </w:p>
    <w:p>
      <w:pPr>
        <w:jc w:val="both"/>
        <w:ind w:right="380"/>
        <w:spacing w:after="0" w:line="293" w:lineRule="auto"/>
        <w:rPr>
          <w:sz w:val="20"/>
          <w:szCs w:val="20"/>
          <w:color w:val="auto"/>
        </w:rPr>
      </w:pPr>
      <w:r>
        <w:rPr>
          <w:rFonts w:ascii="Arial" w:cs="Arial" w:eastAsia="Arial" w:hAnsi="Arial"/>
          <w:sz w:val="16"/>
          <w:szCs w:val="16"/>
          <w:color w:val="auto"/>
        </w:rPr>
        <w:t>Send volume increased 38% to $9.6 billion for the three months ended June 30, 2023, compared to $7.0 billion for the three months ended June 30, 2022, driven by the increase in active customers.</w:t>
      </w:r>
    </w:p>
    <w:p>
      <w:pPr>
        <w:spacing w:after="0" w:line="104" w:lineRule="exact"/>
        <w:rPr>
          <w:sz w:val="20"/>
          <w:szCs w:val="20"/>
          <w:color w:val="auto"/>
        </w:rPr>
      </w:pPr>
    </w:p>
    <w:p>
      <w:pPr>
        <w:ind w:right="460"/>
        <w:spacing w:after="0" w:line="293" w:lineRule="auto"/>
        <w:rPr>
          <w:sz w:val="20"/>
          <w:szCs w:val="20"/>
          <w:color w:val="auto"/>
        </w:rPr>
      </w:pPr>
      <w:r>
        <w:rPr>
          <w:rFonts w:ascii="Arial" w:cs="Arial" w:eastAsia="Arial" w:hAnsi="Arial"/>
          <w:sz w:val="16"/>
          <w:szCs w:val="16"/>
          <w:color w:val="auto"/>
        </w:rPr>
        <w:t>Send volume increased 39%, to $18.1 billion for the six months ended June 30, 2023, compared to $13.1 billion for the six months ended June 30, 2022, driven by the increase in active customers.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Factors Affecting Our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Customer Retention and High Customer Engagement</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send volume is primarily driven by existing customers who regularly use our remittance product to send money home. We believe our mobile-first products and superior customer experience encourage high retention and repeat usage, which are significant though not the only drivers of our performance.</w:t>
      </w:r>
    </w:p>
    <w:p>
      <w:pPr>
        <w:spacing w:after="0" w:line="132" w:lineRule="exact"/>
        <w:rPr>
          <w:sz w:val="20"/>
          <w:szCs w:val="20"/>
          <w:color w:val="auto"/>
        </w:rPr>
      </w:pPr>
    </w:p>
    <w:p>
      <w:pPr>
        <w:ind w:right="800"/>
        <w:spacing w:after="0" w:line="275" w:lineRule="auto"/>
        <w:rPr>
          <w:sz w:val="20"/>
          <w:szCs w:val="20"/>
          <w:color w:val="auto"/>
        </w:rPr>
      </w:pPr>
      <w:r>
        <w:rPr>
          <w:rFonts w:ascii="Arial" w:cs="Arial" w:eastAsia="Arial" w:hAnsi="Arial"/>
          <w:sz w:val="16"/>
          <w:szCs w:val="16"/>
          <w:color w:val="auto"/>
        </w:rPr>
        <w:t>We measure active customers to monitor the growth and performance of our customer base. The majority of our active customers send money for recurring, non-discretionary needs multiple times per month, providing a recurring revenue stream with high visibility and predictability.</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Attracting New Customers</w:t>
      </w:r>
    </w:p>
    <w:p>
      <w:pPr>
        <w:spacing w:after="0" w:line="181" w:lineRule="exact"/>
        <w:rPr>
          <w:sz w:val="20"/>
          <w:szCs w:val="20"/>
          <w:color w:val="auto"/>
        </w:rPr>
      </w:pPr>
    </w:p>
    <w:p>
      <w:pPr>
        <w:jc w:val="both"/>
        <w:ind w:right="200"/>
        <w:spacing w:after="0" w:line="290" w:lineRule="auto"/>
        <w:rPr>
          <w:sz w:val="20"/>
          <w:szCs w:val="20"/>
          <w:color w:val="auto"/>
        </w:rPr>
      </w:pPr>
      <w:r>
        <w:rPr>
          <w:rFonts w:ascii="Arial" w:cs="Arial" w:eastAsia="Arial" w:hAnsi="Arial"/>
          <w:sz w:val="14"/>
          <w:szCs w:val="14"/>
          <w:color w:val="auto"/>
        </w:rPr>
        <w:t>Our continued ability to attract new customers to our platform is a key driver for our long-term growth. We continue to expand our customer base by launching new send and receive corridors, by continuing to innovate on existing and new products, and by providing the most trusted financial services for immigrants. We plan to continue to acquire new customers through digital marketing channels and word-of-mouth referrals from existing customers, and by exploring new customer acquisition channels.</w:t>
      </w:r>
    </w:p>
    <w:p>
      <w:pPr>
        <w:spacing w:after="0" w:line="1" w:lineRule="exact"/>
        <w:rPr>
          <w:sz w:val="20"/>
          <w:szCs w:val="20"/>
          <w:color w:val="auto"/>
        </w:rPr>
      </w:pPr>
    </w:p>
    <w:p>
      <w:pPr>
        <w:jc w:val="both"/>
        <w:ind w:right="220"/>
        <w:spacing w:after="0" w:line="270" w:lineRule="auto"/>
        <w:rPr>
          <w:sz w:val="20"/>
          <w:szCs w:val="20"/>
          <w:color w:val="auto"/>
        </w:rPr>
      </w:pPr>
      <w:r>
        <w:rPr>
          <w:rFonts w:ascii="Arial" w:cs="Arial" w:eastAsia="Arial" w:hAnsi="Arial"/>
          <w:sz w:val="16"/>
          <w:szCs w:val="16"/>
          <w:color w:val="auto"/>
        </w:rPr>
        <w:t>Given the nature of our business, new customer acquisition may negatively impact net loss and Adjusted EBITDA in the initial period, while positively impacting net loss and Adjusted EBITDA in subsequent periods.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Customer Acquisition</w:t>
      </w:r>
    </w:p>
    <w:p>
      <w:pPr>
        <w:spacing w:after="0" w:line="167" w:lineRule="exact"/>
        <w:rPr>
          <w:sz w:val="20"/>
          <w:szCs w:val="20"/>
          <w:color w:val="auto"/>
        </w:rPr>
      </w:pPr>
    </w:p>
    <w:p>
      <w:pPr>
        <w:ind w:right="40"/>
        <w:spacing w:after="0" w:line="308" w:lineRule="auto"/>
        <w:rPr>
          <w:sz w:val="20"/>
          <w:szCs w:val="20"/>
          <w:color w:val="auto"/>
        </w:rPr>
      </w:pPr>
      <w:r>
        <w:rPr>
          <w:rFonts w:ascii="Arial" w:cs="Arial" w:eastAsia="Arial" w:hAnsi="Arial"/>
          <w:sz w:val="14"/>
          <w:szCs w:val="14"/>
          <w:color w:val="auto"/>
        </w:rPr>
        <w:t>Efficiently acquiring customers is critical to our growth and maintaining of attractive customer economics, which are impacted by online marketing competition, our ability to effectively target the right demographic, and competitor pricing. We have a history of successfully monitoring customer acquisition costs and will continue to be strategic and disciplined toward customer acquisition. For example, for performance marketing, we set rigorous customer acquisition targets that we continuously monitor to ensure a high return on investment over the long term, and we can increase or decrease this investment as desired. Customer acquisition costs refer to direct marketing expenses deployed to acquire new customers and primarily include digital advertising costs. As we look ahead, we expect to increase our investment in marketing.</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Corridor Mix</w:t>
      </w:r>
    </w:p>
    <w:p>
      <w:pPr>
        <w:spacing w:after="0" w:line="167"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Our business is global and certain attributes of our business vary by corridor, such as send amount, customer funding sources, and transaction frequency. For example, a period of high growth in receive corridors with large average send amounts, such as India, could disproportionately impact send volume while impacting active customers to a lesser extent. While shifts in our corridor mix could impact the trends in our global business, including send volume and customer economics, we have the ability to optimize these corridors over the long term based on their specific dynamics.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Seasonality</w:t>
      </w:r>
    </w:p>
    <w:p>
      <w:pPr>
        <w:spacing w:after="0" w:line="167" w:lineRule="exact"/>
        <w:rPr>
          <w:sz w:val="20"/>
          <w:szCs w:val="20"/>
          <w:color w:val="auto"/>
        </w:rPr>
      </w:pPr>
    </w:p>
    <w:p>
      <w:pPr>
        <w:ind w:right="60"/>
        <w:spacing w:after="0" w:line="303" w:lineRule="auto"/>
        <w:rPr>
          <w:sz w:val="20"/>
          <w:szCs w:val="20"/>
          <w:color w:val="auto"/>
        </w:rPr>
      </w:pPr>
      <w:r>
        <w:rPr>
          <w:rFonts w:ascii="Arial" w:cs="Arial" w:eastAsia="Arial" w:hAnsi="Arial"/>
          <w:sz w:val="14"/>
          <w:szCs w:val="14"/>
          <w:color w:val="auto"/>
        </w:rPr>
        <w:t>Our operating results and metrics are subject to seasonality, which may result in fluctuations in our quarterly revenues and operating results. For example, active customers and send volume generally peak as customers send gifts for regional and global holidays including, most notably, in the fourth quarter around the Christmas holiday. This seasonality typically drives higher fourth quarter customer acquisition, which generally results in higher fourth quarter marketing costs and transaction losses. It also results in higher transactions and transaction expenses, along with higher working capital needs. Other periods of favorable seasonality include Ramadan/Eid, Lunar New Year/Tết, and Mother’s Day, although the impact is generally lower than the seasonality we see in the fourth quarter. Conversely, we typically observe lower customer acquisition and existing customer activity through most of the first quarter, especially in regions that experience favorable seasonality in the fourth quarter.The number of business days in a quarter and the day of week that the last day of the quarter falls on may also introduce variability in our results, working capital balances, or cash flows period over period.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i w:val="1"/>
          <w:iCs w:val="1"/>
          <w:color w:val="auto"/>
        </w:rPr>
        <w:t>Our Technology Platform</w:t>
      </w:r>
    </w:p>
    <w:p>
      <w:pPr>
        <w:spacing w:after="0" w:line="167" w:lineRule="exact"/>
        <w:rPr>
          <w:sz w:val="20"/>
          <w:szCs w:val="20"/>
          <w:color w:val="auto"/>
        </w:rPr>
      </w:pPr>
    </w:p>
    <w:p>
      <w:pPr>
        <w:ind w:right="60"/>
        <w:spacing w:after="0" w:line="291" w:lineRule="auto"/>
        <w:rPr>
          <w:sz w:val="20"/>
          <w:szCs w:val="20"/>
          <w:color w:val="auto"/>
        </w:rPr>
      </w:pPr>
      <w:r>
        <w:rPr>
          <w:rFonts w:ascii="Arial" w:cs="Arial" w:eastAsia="Arial" w:hAnsi="Arial"/>
          <w:sz w:val="15"/>
          <w:szCs w:val="15"/>
          <w:color w:val="auto"/>
        </w:rPr>
        <w:t>We will continue to invest significant resources in our technology platform. These investments will allow us to introduce new and innovative products, add features to current products, enhance the customer and recipient experience, grow our payment and disbursement network, invest in our risk and security infrastructure, and continue to secure data in accordance with evolving best practices and legal requirements. While we expect our expenses related to technology and development to increase, which may impact short-term profitability, we believe these investments will ultimately contribute to our long-term growth.</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 of Risk and Fraud</w:t>
      </w:r>
    </w:p>
    <w:p>
      <w:pPr>
        <w:spacing w:after="0" w:line="167" w:lineRule="exact"/>
        <w:rPr>
          <w:sz w:val="20"/>
          <w:szCs w:val="20"/>
          <w:color w:val="auto"/>
        </w:rPr>
      </w:pPr>
    </w:p>
    <w:p>
      <w:pPr>
        <w:ind w:right="140"/>
        <w:spacing w:after="0" w:line="308" w:lineRule="auto"/>
        <w:rPr>
          <w:sz w:val="20"/>
          <w:szCs w:val="20"/>
          <w:color w:val="auto"/>
        </w:rPr>
      </w:pPr>
      <w:r>
        <w:rPr>
          <w:rFonts w:ascii="Arial" w:cs="Arial" w:eastAsia="Arial" w:hAnsi="Arial"/>
          <w:sz w:val="14"/>
          <w:szCs w:val="14"/>
          <w:color w:val="auto"/>
        </w:rPr>
        <w:t>We manage fraud (e.g., through identity theft) and other illegitimate activity (e.g., money laundering) by utilizing our proprietary risk models, which include machine learning processes, early warning systems, bespoke rules, and manual investigation processes. Our models and processes enable us to identify and address complex and evolving risks in these unwanted activities, while maintaining a differentiated customer experience. In addition, we integrate historical fraud loss data and other transaction data into our risk models, which helps us identify emerging patterns and quantify fraud and compliance risks across all aspects of our customer interactions. These models and processes allow us to achieve and maintain fraud loss rates within desired guardrails, as well as tailor our risk models to target other illegitimate activity.</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Macroeconomic and Geopolitical Changes</w:t>
      </w:r>
    </w:p>
    <w:p>
      <w:pPr>
        <w:spacing w:after="0" w:line="181"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 xml:space="preserve">Global macroeconomic and geopolitical factors, including inflation, currency fluctuations, immigration, trade and regulatory policies, the conflict in Ukraine, global crises and natural disasters, unemployment, potential recession, and the rate of digital remittance adoption impact demand for our services and the options that we can offer. These factors evolve over time, and periods of significant currency appreciation or depreciation, whether in send or receive currencies, changes to global migration patterns, and changes to digital adoption trends may shift the timing and volume of transactions, or the number of customers using our service. In addition, foreign currency movements do impact our business in numerous ways. For example, as the U.S. dollar strengthens, we see customers in certain markets taking advantage of the ability to get more local currency to their families and friends. We also believe the strength of the U.S. dollar and the strength of other developed market currencies versus emerging market currencies make it easier to acquire new customers in certain markets. Conversely, expansion of our international business can negatively impact our condensed consolidated results when these currencies weaken against the U.S. dollar. As we grow we are becoming more diversified across geographies and currencies which can help mitigate some localized geopolitical risks and macroeconomic trends. As foreign currency can have a significant impact on our business, we strive to maintain a diversified cash balance portfolio and frequently assess for foreign currency cash concentrations. See Note 2. </w:t>
      </w:r>
      <w:r>
        <w:rPr>
          <w:rFonts w:ascii="Arial" w:cs="Arial" w:eastAsia="Arial" w:hAnsi="Arial"/>
          <w:sz w:val="15"/>
          <w:szCs w:val="15"/>
          <w:i w:val="1"/>
          <w:iCs w:val="1"/>
          <w:color w:val="auto"/>
        </w:rPr>
        <w:t>Basis of Presentation and Summary of Significant Accounting Policies</w:t>
      </w:r>
      <w:r>
        <w:rPr>
          <w:rFonts w:ascii="Arial" w:cs="Arial" w:eastAsia="Arial" w:hAnsi="Arial"/>
          <w:sz w:val="15"/>
          <w:szCs w:val="15"/>
          <w:color w:val="auto"/>
        </w:rPr>
        <w:t xml:space="preserve"> in the Company’s Notes to the Condensed Consolidated Financial Statements included in Part I, Item 1 of this Quarterly Report on Form 10-Q for a more comprehensive description of current business concentrations.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67"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The Company’s revenue is generated on transaction fees charged to customers and foreign exchange spreads between the foreign exchange rate offered to customers and the foreign exchange rate on the Company’s currency purchases. Revenue is recognized when control of these services is transferred to the Company’s customers, which is the time the funds have been delivered to the intended recipient in an amount that reflects the consideration the Company expects to be entitled to in exchange for services provided.</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Costs and expenses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Transaction Expenses</w:t>
      </w:r>
    </w:p>
    <w:p>
      <w:pPr>
        <w:spacing w:after="0" w:line="181"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Transaction expenses include fees paid to disbursement partners for paying funds to the recipient, provisions for transaction losses, and fees paid to payment processors for funding transactions. Transaction expenses also include credit losses, chargebacks, fraud prevention, fraud management tools, and compliance tools. Over the long term we expect to continue to benefit from increasing scale and improvements in our proprietary fraud models, although we expect some variability in transaction expense from quarter to quarter.</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Provisions for Transaction Losses</w:t>
      </w:r>
    </w:p>
    <w:p>
      <w:pPr>
        <w:spacing w:after="0" w:line="167"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The Company is exposed to transaction losses, including chargebacks, unauthorized credit card use, fraud associated with customer transactions, and other non-fraud-related losses. The Company establishes reserves for such losses based on historical trends and any specific risks identified in processing customer transactions. This reserve is included in ‘</w:t>
      </w:r>
      <w:r>
        <w:rPr>
          <w:rFonts w:ascii="Arial" w:cs="Arial" w:eastAsia="Arial" w:hAnsi="Arial"/>
          <w:sz w:val="16"/>
          <w:szCs w:val="16"/>
          <w:i w:val="1"/>
          <w:iCs w:val="1"/>
          <w:color w:val="auto"/>
        </w:rPr>
        <w:t>Accrued expenses and other current liabilities</w:t>
      </w:r>
      <w:r>
        <w:rPr>
          <w:rFonts w:ascii="Arial" w:cs="Arial" w:eastAsia="Arial" w:hAnsi="Arial"/>
          <w:sz w:val="16"/>
          <w:szCs w:val="16"/>
          <w:color w:val="auto"/>
        </w:rPr>
        <w:t>’ on the Condensed Consolidated Balance Sheets. The provision for transaction losses is included as a component of ‘</w:t>
      </w:r>
      <w:r>
        <w:rPr>
          <w:rFonts w:ascii="Arial" w:cs="Arial" w:eastAsia="Arial" w:hAnsi="Arial"/>
          <w:sz w:val="16"/>
          <w:szCs w:val="16"/>
          <w:i w:val="1"/>
          <w:iCs w:val="1"/>
          <w:color w:val="auto"/>
        </w:rPr>
        <w:t>Transaction expenses</w:t>
      </w:r>
      <w:r>
        <w:rPr>
          <w:rFonts w:ascii="Arial" w:cs="Arial" w:eastAsia="Arial" w:hAnsi="Arial"/>
          <w:sz w:val="16"/>
          <w:szCs w:val="16"/>
          <w:color w:val="auto"/>
        </w:rPr>
        <w:t>’ within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i w:val="1"/>
          <w:iCs w:val="1"/>
          <w:color w:val="auto"/>
        </w:rPr>
        <w:t>Customer Support and Operations</w:t>
      </w:r>
    </w:p>
    <w:p>
      <w:pPr>
        <w:spacing w:after="0" w:line="167" w:lineRule="exact"/>
        <w:rPr>
          <w:sz w:val="20"/>
          <w:szCs w:val="20"/>
          <w:color w:val="auto"/>
        </w:rPr>
      </w:pPr>
    </w:p>
    <w:p>
      <w:pPr>
        <w:ind w:right="100"/>
        <w:spacing w:after="0" w:line="284" w:lineRule="auto"/>
        <w:rPr>
          <w:sz w:val="20"/>
          <w:szCs w:val="20"/>
          <w:color w:val="auto"/>
        </w:rPr>
      </w:pPr>
      <w:r>
        <w:rPr>
          <w:rFonts w:ascii="Arial" w:cs="Arial" w:eastAsia="Arial" w:hAnsi="Arial"/>
          <w:sz w:val="15"/>
          <w:szCs w:val="15"/>
          <w:color w:val="auto"/>
        </w:rPr>
        <w:t>Customer support and operations expenses consist primarily of personnel-related expenses associated with the Company’s customer support and operations organization, including salaries, benefits, and stock-based compensation expense, as well as third-party costs for customer support services, and travel and related office expenses. This includes our customer service teams which directly support our customers, consisting of online support and call centers, and other costs incurred to support our customers, including related telephony costs to support these teams, customer protection and risk teams, investments in tools to effectively service our customers, and increased customer self-service capabilities. Customer support and operations expenses also include professional services fees.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Marketing</w:t>
      </w:r>
    </w:p>
    <w:p>
      <w:pPr>
        <w:spacing w:after="0" w:line="181" w:lineRule="exact"/>
        <w:rPr>
          <w:sz w:val="20"/>
          <w:szCs w:val="20"/>
          <w:color w:val="auto"/>
        </w:rPr>
      </w:pPr>
    </w:p>
    <w:p>
      <w:pPr>
        <w:ind w:right="100"/>
        <w:spacing w:after="0" w:line="295" w:lineRule="auto"/>
        <w:rPr>
          <w:sz w:val="20"/>
          <w:szCs w:val="20"/>
          <w:color w:val="auto"/>
        </w:rPr>
      </w:pPr>
      <w:r>
        <w:rPr>
          <w:rFonts w:ascii="Arial" w:cs="Arial" w:eastAsia="Arial" w:hAnsi="Arial"/>
          <w:sz w:val="15"/>
          <w:szCs w:val="15"/>
          <w:color w:val="auto"/>
        </w:rPr>
        <w:t>Marketing expenses consist primarily of advertising costs used to attract new customers, including branding-related expenses. Marketing expenses also include personnel-related expenses associated with the Company’s marketing organization staff, including salaries, benefits and stock-based compensation expense, promotions, software subscription services dedicated for use by the Company’s marketing functions, and outside services contracted for marketing purposes.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Technology and Development</w:t>
      </w:r>
    </w:p>
    <w:p>
      <w:pPr>
        <w:spacing w:after="0" w:line="167"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Technology and development expenses consist primarily of personnel-related expenses for employees involved in the research, design, development, and maintenance of both new and existing products and services, including salaries, benefits, and stock-based compensation expense. Technology and development expenses also include professional services fees and costs for software subscription services dedicated for use by the Company’s technology and development teams, as well as other company-wide technology tools. Technology and development expenses also include product and engineering teams used to support the development of both internal infrastructure and internal-use software, to the extent such costs do not qualify for capitalization.</w:t>
      </w:r>
    </w:p>
    <w:p>
      <w:pPr>
        <w:spacing w:after="0" w:line="130" w:lineRule="exact"/>
        <w:rPr>
          <w:sz w:val="20"/>
          <w:szCs w:val="20"/>
          <w:color w:val="auto"/>
        </w:rPr>
      </w:pPr>
    </w:p>
    <w:p>
      <w:pPr>
        <w:ind w:right="280"/>
        <w:spacing w:after="0" w:line="328" w:lineRule="auto"/>
        <w:rPr>
          <w:sz w:val="20"/>
          <w:szCs w:val="20"/>
          <w:color w:val="auto"/>
        </w:rPr>
      </w:pPr>
      <w:r>
        <w:rPr>
          <w:rFonts w:ascii="Arial" w:cs="Arial" w:eastAsia="Arial" w:hAnsi="Arial"/>
          <w:sz w:val="15"/>
          <w:szCs w:val="15"/>
          <w:color w:val="auto"/>
        </w:rPr>
        <w:t>We believe delivering new functionality and improving existing technology is critical to attract new customers and expand our relationship with existing customers. We expect to continue to make investments to expand our solutions in order to enhance our customers’ experience and satisfaction, and to attract new customers.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 xml:space="preserve">General and administrative expenses consist primarily of personnel-related expenses for the Company’s finance, legal, corporate and business development, human resources, facilities, administrative personnel, and other leadership functions, including salaries, benefits, and stock-based compensation expense. General and administrative expenses also include professional services fees, software subscriptions, facilities, indirect taxes, and other corporate expenses, including acquisition and integration expenses. Such expenses primarily include external legal, accounting, valuation, and due diligence costs, advisory and other professional services fees necessary to integrate acquired businesses. See Note 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in the Notes to the Condensed Consolidated Financial Statements included in Part I, Item 1 of this Quarterly Report on Form 10-Q for further details.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6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Depreciation and amortization expense includes depreciation on property and equipment and leasehold improvements, as well as the amortization of internal-use software costs and amortization of intangible assets.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consists primarily of interest income earned on our cash and cash equivalents.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consists primarily of the interest expense on our borrowings.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Income (Expense), net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 primarily consists of foreign exchange gains and losses.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for Income Taxes</w:t>
      </w:r>
    </w:p>
    <w:p>
      <w:pPr>
        <w:spacing w:after="0" w:line="181" w:lineRule="exact"/>
        <w:rPr>
          <w:sz w:val="20"/>
          <w:szCs w:val="20"/>
          <w:color w:val="auto"/>
        </w:rPr>
      </w:pPr>
    </w:p>
    <w:p>
      <w:pPr>
        <w:jc w:val="both"/>
        <w:ind w:right="60"/>
        <w:spacing w:after="0" w:line="286" w:lineRule="auto"/>
        <w:rPr>
          <w:sz w:val="20"/>
          <w:szCs w:val="20"/>
          <w:color w:val="auto"/>
        </w:rPr>
      </w:pPr>
      <w:r>
        <w:rPr>
          <w:rFonts w:ascii="Arial" w:cs="Arial" w:eastAsia="Arial" w:hAnsi="Arial"/>
          <w:sz w:val="15"/>
          <w:szCs w:val="15"/>
          <w:color w:val="auto"/>
        </w:rPr>
        <w:t>Provision for income taxes consists primarily of income taxes in certain foreign jurisdictions in which we conduct business and state income taxes in the United States. We maintain a full valuation allowance for U.S. deferred tax assets, which includes net operating loss carryforwards. We expect to maintain this full valuation allowance in the U.S. for the foreseeable future as it is more likely than not that the assets will not be realized based on our history of losses.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02" w:right="41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three and six months ended June 30, 2023 and 2022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4"/>
          </w:tcPr>
          <w:p>
            <w:pPr>
              <w:jc w:val="right"/>
              <w:ind w:right="104"/>
              <w:spacing w:after="0"/>
              <w:rPr>
                <w:sz w:val="20"/>
                <w:szCs w:val="20"/>
                <w:color w:val="auto"/>
              </w:rPr>
            </w:pPr>
            <w:r>
              <w:rPr>
                <w:rFonts w:ascii="Arial" w:cs="Arial" w:eastAsia="Arial" w:hAnsi="Arial"/>
                <w:sz w:val="14"/>
                <w:szCs w:val="14"/>
                <w:b w:val="1"/>
                <w:bCs w:val="1"/>
                <w:color w:val="auto"/>
                <w:w w:val="94"/>
              </w:rPr>
              <w:t>Three Months Ended June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ind w:left="680"/>
              <w:spacing w:after="0"/>
              <w:rPr>
                <w:sz w:val="20"/>
                <w:szCs w:val="20"/>
                <w:color w:val="auto"/>
              </w:rPr>
            </w:pPr>
            <w:r>
              <w:rPr>
                <w:rFonts w:ascii="Arial" w:cs="Arial" w:eastAsia="Arial" w:hAnsi="Arial"/>
                <w:sz w:val="14"/>
                <w:szCs w:val="14"/>
                <w:b w:val="1"/>
                <w:bCs w:val="1"/>
                <w:color w:val="auto"/>
                <w:w w:val="97"/>
              </w:rPr>
              <w:t>Change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4"/>
          </w:tcPr>
          <w:p>
            <w:pPr>
              <w:jc w:val="right"/>
              <w:ind w:right="204"/>
              <w:spacing w:after="0"/>
              <w:rPr>
                <w:sz w:val="20"/>
                <w:szCs w:val="20"/>
                <w:color w:val="auto"/>
              </w:rPr>
            </w:pPr>
            <w:r>
              <w:rPr>
                <w:rFonts w:ascii="Arial" w:cs="Arial" w:eastAsia="Arial" w:hAnsi="Arial"/>
                <w:sz w:val="14"/>
                <w:szCs w:val="14"/>
                <w:b w:val="1"/>
                <w:bCs w:val="1"/>
                <w:color w:val="auto"/>
                <w:w w:val="95"/>
              </w:rPr>
              <w:t>Six Months Ended June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ind w:left="700"/>
              <w:spacing w:after="0"/>
              <w:rPr>
                <w:sz w:val="20"/>
                <w:szCs w:val="20"/>
                <w:color w:val="auto"/>
              </w:rPr>
            </w:pPr>
            <w:r>
              <w:rPr>
                <w:rFonts w:ascii="Arial" w:cs="Arial" w:eastAsia="Arial" w:hAnsi="Arial"/>
                <w:sz w:val="14"/>
                <w:szCs w:val="14"/>
                <w:b w:val="1"/>
                <w:bCs w:val="1"/>
                <w:color w:val="auto"/>
                <w:w w:val="97"/>
              </w:rPr>
              <w:t>Change</w:t>
            </w:r>
          </w:p>
        </w:tc>
        <w:tc>
          <w:tcPr>
            <w:tcW w:w="820" w:type="dxa"/>
            <w:vAlign w:val="bottom"/>
          </w:tcPr>
          <w:p>
            <w:pPr>
              <w:spacing w:after="0"/>
              <w:rPr>
                <w:sz w:val="16"/>
                <w:szCs w:val="16"/>
                <w:color w:val="auto"/>
              </w:rPr>
            </w:pPr>
          </w:p>
        </w:tc>
      </w:tr>
      <w:tr>
        <w:trPr>
          <w:trHeight w:val="39"/>
        </w:trPr>
        <w:tc>
          <w:tcPr>
            <w:tcW w:w="20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4"/>
        </w:trPr>
        <w:tc>
          <w:tcPr>
            <w:tcW w:w="202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6"/>
                <w:szCs w:val="16"/>
                <w:color w:val="auto"/>
              </w:rPr>
            </w:pPr>
          </w:p>
        </w:tc>
        <w:tc>
          <w:tcPr>
            <w:tcW w:w="920" w:type="dxa"/>
            <w:vAlign w:val="bottom"/>
          </w:tcPr>
          <w:p>
            <w:pPr>
              <w:jc w:val="right"/>
              <w:ind w:right="32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7"/>
              </w:rPr>
              <w:t>Percent</w:t>
            </w:r>
          </w:p>
        </w:tc>
        <w:tc>
          <w:tcPr>
            <w:tcW w:w="880" w:type="dxa"/>
            <w:vAlign w:val="bottom"/>
          </w:tcPr>
          <w:p>
            <w:pPr>
              <w:jc w:val="right"/>
              <w:ind w:right="32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244"/>
              <w:spacing w:after="0"/>
              <w:rPr>
                <w:sz w:val="20"/>
                <w:szCs w:val="20"/>
                <w:color w:val="auto"/>
              </w:rPr>
            </w:pPr>
            <w:r>
              <w:rPr>
                <w:rFonts w:ascii="Arial" w:cs="Arial" w:eastAsia="Arial" w:hAnsi="Arial"/>
                <w:sz w:val="14"/>
                <w:szCs w:val="14"/>
                <w:b w:val="1"/>
                <w:bCs w:val="1"/>
                <w:color w:val="auto"/>
                <w:w w:val="93"/>
              </w:rPr>
              <w:t>Percent</w:t>
            </w:r>
          </w:p>
        </w:tc>
      </w:tr>
      <w:tr>
        <w:trPr>
          <w:trHeight w:val="39"/>
        </w:trPr>
        <w:tc>
          <w:tcPr>
            <w:tcW w:w="20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7"/>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234,033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157,255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76,778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49 %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437,898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293,269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144,629</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49 %</w:t>
            </w:r>
          </w:p>
        </w:tc>
      </w:tr>
    </w:tbl>
    <w:p>
      <w:pPr>
        <w:spacing w:after="0" w:line="247" w:lineRule="exact"/>
        <w:rPr>
          <w:sz w:val="20"/>
          <w:szCs w:val="20"/>
          <w:color w:val="auto"/>
        </w:rPr>
      </w:pPr>
    </w:p>
    <w:p>
      <w:pPr>
        <w:jc w:val="both"/>
        <w:ind w:right="40"/>
        <w:spacing w:after="0" w:line="295" w:lineRule="auto"/>
        <w:rPr>
          <w:sz w:val="20"/>
          <w:szCs w:val="20"/>
          <w:color w:val="auto"/>
        </w:rPr>
      </w:pPr>
      <w:r>
        <w:rPr>
          <w:rFonts w:ascii="Arial" w:cs="Arial" w:eastAsia="Arial" w:hAnsi="Arial"/>
          <w:sz w:val="15"/>
          <w:szCs w:val="15"/>
          <w:color w:val="auto"/>
        </w:rPr>
        <w:t>Revenue increased $76.8 million and $144.6 million, or 49%, for the three and six months months ended June 30, 2023, as compared to the three and six months ended June 30, 2022. This increase was primarily driven by an increase in active customers period over period and continued strength in the retention of existing customers, as well as a continued mix shift trending towards digital disbursements. Rewire contributed approximately 2% to the year over year revenue growth rate in both periods.</w:t>
      </w:r>
    </w:p>
    <w:p>
      <w:pPr>
        <w:spacing w:after="0" w:line="10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As a reflection of this growth, send volume increased 38%, to $9.6 billion for the three months ended June 30, 2023, and 39%, to $18.1 billion for the six months ended June 30, 2023, as compared to $7.0 billion and $13.1 billion, for the three and six months ended June 30, 2022,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Transaction Expenses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gridSpan w:val="4"/>
          </w:tcPr>
          <w:p>
            <w:pPr>
              <w:jc w:val="right"/>
              <w:ind w:right="182"/>
              <w:spacing w:after="0"/>
              <w:rPr>
                <w:sz w:val="20"/>
                <w:szCs w:val="20"/>
                <w:color w:val="auto"/>
              </w:rPr>
            </w:pPr>
            <w:r>
              <w:rPr>
                <w:rFonts w:ascii="Arial" w:cs="Arial" w:eastAsia="Arial" w:hAnsi="Arial"/>
                <w:sz w:val="14"/>
                <w:szCs w:val="14"/>
                <w:b w:val="1"/>
                <w:bCs w:val="1"/>
                <w:color w:val="auto"/>
                <w:w w:val="96"/>
              </w:rPr>
              <w:t>Three Months Ended June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ind w:left="640"/>
              <w:spacing w:after="0"/>
              <w:rPr>
                <w:sz w:val="20"/>
                <w:szCs w:val="20"/>
                <w:color w:val="auto"/>
              </w:rPr>
            </w:pPr>
            <w:r>
              <w:rPr>
                <w:rFonts w:ascii="Arial" w:cs="Arial" w:eastAsia="Arial" w:hAnsi="Arial"/>
                <w:sz w:val="14"/>
                <w:szCs w:val="14"/>
                <w:b w:val="1"/>
                <w:bCs w:val="1"/>
                <w:color w:val="auto"/>
                <w:w w:val="93"/>
              </w:rPr>
              <w:t>Change</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4"/>
          </w:tcPr>
          <w:p>
            <w:pPr>
              <w:jc w:val="right"/>
              <w:ind w:right="282"/>
              <w:spacing w:after="0"/>
              <w:rPr>
                <w:sz w:val="20"/>
                <w:szCs w:val="20"/>
                <w:color w:val="auto"/>
              </w:rPr>
            </w:pPr>
            <w:r>
              <w:rPr>
                <w:rFonts w:ascii="Arial" w:cs="Arial" w:eastAsia="Arial" w:hAnsi="Arial"/>
                <w:sz w:val="14"/>
                <w:szCs w:val="14"/>
                <w:b w:val="1"/>
                <w:bCs w:val="1"/>
                <w:color w:val="auto"/>
                <w:w w:val="99"/>
              </w:rPr>
              <w:t>Six Months Ended June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ind w:left="640"/>
              <w:spacing w:after="0"/>
              <w:rPr>
                <w:sz w:val="20"/>
                <w:szCs w:val="20"/>
                <w:color w:val="auto"/>
              </w:rPr>
            </w:pPr>
            <w:r>
              <w:rPr>
                <w:rFonts w:ascii="Arial" w:cs="Arial" w:eastAsia="Arial" w:hAnsi="Arial"/>
                <w:sz w:val="14"/>
                <w:szCs w:val="14"/>
                <w:b w:val="1"/>
                <w:bCs w:val="1"/>
                <w:color w:val="auto"/>
                <w:w w:val="93"/>
              </w:rPr>
              <w:t>Change</w:t>
            </w:r>
          </w:p>
        </w:tc>
        <w:tc>
          <w:tcPr>
            <w:tcW w:w="800" w:type="dxa"/>
            <w:vAlign w:val="bottom"/>
          </w:tcPr>
          <w:p>
            <w:pPr>
              <w:spacing w:after="0"/>
              <w:rPr>
                <w:sz w:val="16"/>
                <w:szCs w:val="16"/>
                <w:color w:val="auto"/>
              </w:rPr>
            </w:pPr>
          </w:p>
        </w:tc>
      </w:tr>
      <w:tr>
        <w:trPr>
          <w:trHeight w:val="39"/>
        </w:trPr>
        <w:tc>
          <w:tcPr>
            <w:tcW w:w="19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4"/>
        </w:trPr>
        <w:tc>
          <w:tcPr>
            <w:tcW w:w="196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6"/>
                <w:szCs w:val="16"/>
                <w:color w:val="auto"/>
              </w:rPr>
            </w:pPr>
          </w:p>
        </w:tc>
        <w:tc>
          <w:tcPr>
            <w:tcW w:w="980" w:type="dxa"/>
            <w:vAlign w:val="bottom"/>
          </w:tcPr>
          <w:p>
            <w:pPr>
              <w:jc w:val="right"/>
              <w:ind w:right="36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3"/>
              </w:rPr>
              <w:t>Percent</w:t>
            </w:r>
          </w:p>
        </w:tc>
        <w:tc>
          <w:tcPr>
            <w:tcW w:w="920" w:type="dxa"/>
            <w:vAlign w:val="bottom"/>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224"/>
              <w:spacing w:after="0"/>
              <w:rPr>
                <w:sz w:val="20"/>
                <w:szCs w:val="20"/>
                <w:color w:val="auto"/>
              </w:rPr>
            </w:pPr>
            <w:r>
              <w:rPr>
                <w:rFonts w:ascii="Arial" w:cs="Arial" w:eastAsia="Arial" w:hAnsi="Arial"/>
                <w:sz w:val="14"/>
                <w:szCs w:val="14"/>
                <w:b w:val="1"/>
                <w:bCs w:val="1"/>
                <w:color w:val="auto"/>
                <w:w w:val="93"/>
              </w:rPr>
              <w:t>Percent</w:t>
            </w:r>
          </w:p>
        </w:tc>
      </w:tr>
      <w:tr>
        <w:trPr>
          <w:trHeight w:val="39"/>
        </w:trPr>
        <w:tc>
          <w:tcPr>
            <w:tcW w:w="19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3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80,187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60,826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19,361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32 %  $</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154,253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117,089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37,164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r>
      <w:tr>
        <w:trPr>
          <w:trHeight w:val="224"/>
        </w:trPr>
        <w:tc>
          <w:tcPr>
            <w:tcW w:w="1960" w:type="dxa"/>
            <w:vAlign w:val="bottom"/>
          </w:tcPr>
          <w:p>
            <w:pPr>
              <w:ind w:left="20"/>
              <w:spacing w:after="0"/>
              <w:rPr>
                <w:sz w:val="20"/>
                <w:szCs w:val="20"/>
                <w:color w:val="auto"/>
              </w:rPr>
            </w:pPr>
            <w:r>
              <w:rPr>
                <w:rFonts w:ascii="Arial" w:cs="Arial" w:eastAsia="Arial" w:hAnsi="Arial"/>
                <w:sz w:val="16"/>
                <w:szCs w:val="16"/>
                <w:color w:val="auto"/>
                <w:w w:val="97"/>
              </w:rPr>
              <w:t>Percentage of total revenue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266" w:lineRule="exact"/>
        <w:rPr>
          <w:sz w:val="20"/>
          <w:szCs w:val="20"/>
          <w:color w:val="auto"/>
        </w:rPr>
      </w:pPr>
    </w:p>
    <w:p>
      <w:pPr>
        <w:ind w:right="140"/>
        <w:spacing w:after="0" w:line="284" w:lineRule="auto"/>
        <w:rPr>
          <w:sz w:val="20"/>
          <w:szCs w:val="20"/>
          <w:color w:val="auto"/>
        </w:rPr>
      </w:pPr>
      <w:r>
        <w:rPr>
          <w:rFonts w:ascii="Arial" w:cs="Arial" w:eastAsia="Arial" w:hAnsi="Arial"/>
          <w:sz w:val="15"/>
          <w:szCs w:val="15"/>
          <w:color w:val="auto"/>
        </w:rPr>
        <w:t>Transaction expenses increased $19.4 million, or 32%, to $80.2 million for the three months ended June 30, 2023, compared to $60.8 million for the three months ended June 30, 2022. The increase was primarily due to a $17.5 million increase in direct costs associated with processing a higher volume of our customers’ remittance transactions and the disbursement of our customers’ funds to their recipients, a $1.2 million increase in our provision for fraud and other losses, and a $0.7 million increase in other transaction expenses, primarily related to software and tools that support our compliance and risk operations.</w:t>
      </w:r>
    </w:p>
    <w:p>
      <w:pPr>
        <w:spacing w:after="0" w:line="129"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Transaction expenses increased $37.2 million, or 32%, to $154.3 million for the six months ended June 30, 2023, compared to $117.1 million, for the six months ended June 30, 2022. The increase was primarily due to a $34.5 million increase in direct costs associated with processing a higher volume of our customers’ remittance transactions and the disbursement of our customers’ funds to their recipients, a $2.1 million increase in other transaction expenses, primarily related to software and tools that support our compliance and risk operations, and a $0.6 million increase in our provision for fraud and other losses.</w:t>
      </w:r>
    </w:p>
    <w:p>
      <w:pPr>
        <w:spacing w:after="0" w:line="128" w:lineRule="exact"/>
        <w:rPr>
          <w:sz w:val="20"/>
          <w:szCs w:val="20"/>
          <w:color w:val="auto"/>
        </w:rPr>
      </w:pPr>
    </w:p>
    <w:p>
      <w:pPr>
        <w:ind w:right="160"/>
        <w:spacing w:after="0" w:line="295" w:lineRule="auto"/>
        <w:rPr>
          <w:sz w:val="20"/>
          <w:szCs w:val="20"/>
          <w:color w:val="auto"/>
        </w:rPr>
      </w:pPr>
      <w:r>
        <w:rPr>
          <w:rFonts w:ascii="Arial" w:cs="Arial" w:eastAsia="Arial" w:hAnsi="Arial"/>
          <w:sz w:val="15"/>
          <w:szCs w:val="15"/>
          <w:color w:val="auto"/>
        </w:rPr>
        <w:t>As a percentage of revenue, transaction expenses decreased to 34% and 35% for the three and six months ended June 30, 2023, respectively, as compared to 39% and 40% for the three six months June 30, 2022, respectively. The decrease was primarily due to better economics with partners as we are able to secure better terms with our payment and disbursement partners as a result of increasing scale, and also due to improvements in our ability to prevent fraud and other losses.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Customer Support and Operations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gridSpan w:val="4"/>
          </w:tcPr>
          <w:p>
            <w:pPr>
              <w:jc w:val="right"/>
              <w:ind w:right="182"/>
              <w:spacing w:after="0"/>
              <w:rPr>
                <w:sz w:val="20"/>
                <w:szCs w:val="20"/>
                <w:color w:val="auto"/>
              </w:rPr>
            </w:pPr>
            <w:r>
              <w:rPr>
                <w:rFonts w:ascii="Arial" w:cs="Arial" w:eastAsia="Arial" w:hAnsi="Arial"/>
                <w:sz w:val="14"/>
                <w:szCs w:val="14"/>
                <w:b w:val="1"/>
                <w:bCs w:val="1"/>
                <w:color w:val="auto"/>
                <w:w w:val="96"/>
              </w:rPr>
              <w:t>Three Months Ended June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ind w:left="660"/>
              <w:spacing w:after="0"/>
              <w:rPr>
                <w:sz w:val="20"/>
                <w:szCs w:val="20"/>
                <w:color w:val="auto"/>
              </w:rPr>
            </w:pPr>
            <w:r>
              <w:rPr>
                <w:rFonts w:ascii="Arial" w:cs="Arial" w:eastAsia="Arial" w:hAnsi="Arial"/>
                <w:sz w:val="14"/>
                <w:szCs w:val="14"/>
                <w:b w:val="1"/>
                <w:bCs w:val="1"/>
                <w:color w:val="auto"/>
                <w:w w:val="93"/>
              </w:rPr>
              <w:t>Change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4"/>
          </w:tcPr>
          <w:p>
            <w:pPr>
              <w:jc w:val="right"/>
              <w:ind w:right="282"/>
              <w:spacing w:after="0"/>
              <w:rPr>
                <w:sz w:val="20"/>
                <w:szCs w:val="20"/>
                <w:color w:val="auto"/>
              </w:rPr>
            </w:pPr>
            <w:r>
              <w:rPr>
                <w:rFonts w:ascii="Arial" w:cs="Arial" w:eastAsia="Arial" w:hAnsi="Arial"/>
                <w:sz w:val="14"/>
                <w:szCs w:val="14"/>
                <w:b w:val="1"/>
                <w:bCs w:val="1"/>
                <w:color w:val="auto"/>
                <w:w w:val="98"/>
              </w:rPr>
              <w:t>Six Months Ended June 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ind w:left="660"/>
              <w:spacing w:after="0"/>
              <w:rPr>
                <w:sz w:val="20"/>
                <w:szCs w:val="20"/>
                <w:color w:val="auto"/>
              </w:rPr>
            </w:pPr>
            <w:r>
              <w:rPr>
                <w:rFonts w:ascii="Arial" w:cs="Arial" w:eastAsia="Arial" w:hAnsi="Arial"/>
                <w:sz w:val="14"/>
                <w:szCs w:val="14"/>
                <w:b w:val="1"/>
                <w:bCs w:val="1"/>
                <w:color w:val="auto"/>
                <w:w w:val="93"/>
              </w:rPr>
              <w:t>Change</w:t>
            </w:r>
          </w:p>
        </w:tc>
        <w:tc>
          <w:tcPr>
            <w:tcW w:w="800" w:type="dxa"/>
            <w:vAlign w:val="bottom"/>
          </w:tcPr>
          <w:p>
            <w:pPr>
              <w:spacing w:after="0"/>
              <w:rPr>
                <w:sz w:val="16"/>
                <w:szCs w:val="16"/>
                <w:color w:val="auto"/>
              </w:rPr>
            </w:pPr>
          </w:p>
        </w:tc>
      </w:tr>
      <w:tr>
        <w:trPr>
          <w:trHeight w:val="39"/>
        </w:trPr>
        <w:tc>
          <w:tcPr>
            <w:tcW w:w="19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4"/>
        </w:trPr>
        <w:tc>
          <w:tcPr>
            <w:tcW w:w="19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6"/>
                <w:szCs w:val="16"/>
                <w:color w:val="auto"/>
              </w:rPr>
            </w:pPr>
          </w:p>
        </w:tc>
        <w:tc>
          <w:tcPr>
            <w:tcW w:w="960" w:type="dxa"/>
            <w:vAlign w:val="bottom"/>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3"/>
              </w:rPr>
              <w:t>Percent</w:t>
            </w:r>
          </w:p>
        </w:tc>
        <w:tc>
          <w:tcPr>
            <w:tcW w:w="920" w:type="dxa"/>
            <w:vAlign w:val="bottom"/>
          </w:tcPr>
          <w:p>
            <w:pPr>
              <w:jc w:val="right"/>
              <w:ind w:right="36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224"/>
              <w:spacing w:after="0"/>
              <w:rPr>
                <w:sz w:val="20"/>
                <w:szCs w:val="20"/>
                <w:color w:val="auto"/>
              </w:rPr>
            </w:pPr>
            <w:r>
              <w:rPr>
                <w:rFonts w:ascii="Arial" w:cs="Arial" w:eastAsia="Arial" w:hAnsi="Arial"/>
                <w:sz w:val="14"/>
                <w:szCs w:val="14"/>
                <w:b w:val="1"/>
                <w:bCs w:val="1"/>
                <w:color w:val="auto"/>
                <w:w w:val="93"/>
              </w:rPr>
              <w:t>Percent</w:t>
            </w:r>
          </w:p>
        </w:tc>
      </w:tr>
      <w:tr>
        <w:trPr>
          <w:trHeight w:val="25"/>
        </w:trPr>
        <w:tc>
          <w:tcPr>
            <w:tcW w:w="1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0"/>
        </w:trPr>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support and</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9"/>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21,483</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16,855</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27 %  $</w:t>
            </w:r>
          </w:p>
        </w:tc>
        <w:tc>
          <w:tcPr>
            <w:tcW w:w="9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41,414</w:t>
            </w: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30,725</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10,689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35 %</w:t>
            </w:r>
          </w:p>
        </w:tc>
      </w:tr>
      <w:tr>
        <w:trPr>
          <w:trHeight w:val="223"/>
        </w:trPr>
        <w:tc>
          <w:tcPr>
            <w:tcW w:w="1940" w:type="dxa"/>
            <w:vAlign w:val="bottom"/>
          </w:tcPr>
          <w:p>
            <w:pPr>
              <w:ind w:left="20"/>
              <w:spacing w:after="0"/>
              <w:rPr>
                <w:sz w:val="20"/>
                <w:szCs w:val="20"/>
                <w:color w:val="auto"/>
              </w:rPr>
            </w:pPr>
            <w:r>
              <w:rPr>
                <w:rFonts w:ascii="Arial" w:cs="Arial" w:eastAsia="Arial" w:hAnsi="Arial"/>
                <w:sz w:val="16"/>
                <w:szCs w:val="16"/>
                <w:color w:val="auto"/>
                <w:w w:val="96"/>
              </w:rPr>
              <w:t>Percentage of total revenue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266"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Customer support and operations expenses increased $4.6 million, or 27%, for the three months ended June 30, 2023, compared to the three months ended June 30, 2022. The increase was primarily driven by a $2.2 million increase in third-party customer support costs, a $1.5 million increase in internal personnel costs at our sites in the Philippines, Nicaragua, Ireland, and Israel that support customer operations, and a $1.2 million increase in software and telephony costs as we supported an increased volume of active customers, partially offset by a $0.3 million decrease in other operating expenses.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29" w:name="page30"/>
    <w:bookmarkEnd w:id="29"/>
    <w:p>
      <w:pPr>
        <w:ind w:right="140"/>
        <w:spacing w:after="0" w:line="262" w:lineRule="auto"/>
        <w:rPr>
          <w:sz w:val="20"/>
          <w:szCs w:val="20"/>
          <w:color w:val="auto"/>
        </w:rPr>
      </w:pPr>
      <w:r>
        <w:rPr>
          <w:rFonts w:ascii="Arial" w:cs="Arial" w:eastAsia="Arial" w:hAnsi="Arial"/>
          <w:sz w:val="16"/>
          <w:szCs w:val="16"/>
          <w:color w:val="auto"/>
        </w:rPr>
        <w:t>Customer support and operations expenses increased $10.7 million, or 35%, for the six months ended June 30, 2023, compared to the six months ended June 30, 2022. The increase was primarily driven by a $5.0 million increase in third-party customer support costs, a $3.6 million increase in internal personnel costs at our sites in the Philippines, Nicaragua, Ireland, and Israel that support customer operations, and a $2.4 million increase in software and telephony costs as we supported an increased volume of active customers, partially offset by by a $0.3 million decrease in other operating expenses.</w:t>
      </w:r>
    </w:p>
    <w:p>
      <w:pPr>
        <w:spacing w:after="0" w:line="142" w:lineRule="exact"/>
        <w:rPr>
          <w:sz w:val="20"/>
          <w:szCs w:val="20"/>
          <w:color w:val="auto"/>
        </w:rPr>
      </w:pPr>
    </w:p>
    <w:p>
      <w:pPr>
        <w:jc w:val="both"/>
        <w:ind w:right="140"/>
        <w:spacing w:after="0" w:line="261" w:lineRule="auto"/>
        <w:rPr>
          <w:sz w:val="20"/>
          <w:szCs w:val="20"/>
          <w:color w:val="auto"/>
        </w:rPr>
      </w:pPr>
      <w:r>
        <w:rPr>
          <w:rFonts w:ascii="Arial" w:cs="Arial" w:eastAsia="Arial" w:hAnsi="Arial"/>
          <w:sz w:val="16"/>
          <w:szCs w:val="16"/>
          <w:color w:val="auto"/>
        </w:rPr>
        <w:t>As a percentage of revenue, customer support and operations expenses decreased to 9% for both the three and six months ended June 30, 2023, from 11% and 10% for the three and six months ended June 30, 2022, respectively, due to process improvements and automation driving scale across customer support headcount at internal and third party customer support sites.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Marketing Expenses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gridSpan w:val="4"/>
          </w:tcPr>
          <w:p>
            <w:pPr>
              <w:jc w:val="right"/>
              <w:ind w:right="182"/>
              <w:spacing w:after="0"/>
              <w:rPr>
                <w:sz w:val="20"/>
                <w:szCs w:val="20"/>
                <w:color w:val="auto"/>
              </w:rPr>
            </w:pPr>
            <w:r>
              <w:rPr>
                <w:rFonts w:ascii="Arial" w:cs="Arial" w:eastAsia="Arial" w:hAnsi="Arial"/>
                <w:sz w:val="14"/>
                <w:szCs w:val="14"/>
                <w:b w:val="1"/>
                <w:bCs w:val="1"/>
                <w:color w:val="auto"/>
                <w:w w:val="96"/>
              </w:rPr>
              <w:t>Three Months Ended June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ind w:left="660"/>
              <w:spacing w:after="0"/>
              <w:rPr>
                <w:sz w:val="20"/>
                <w:szCs w:val="20"/>
                <w:color w:val="auto"/>
              </w:rPr>
            </w:pPr>
            <w:r>
              <w:rPr>
                <w:rFonts w:ascii="Arial" w:cs="Arial" w:eastAsia="Arial" w:hAnsi="Arial"/>
                <w:sz w:val="14"/>
                <w:szCs w:val="14"/>
                <w:b w:val="1"/>
                <w:bCs w:val="1"/>
                <w:color w:val="auto"/>
                <w:w w:val="93"/>
              </w:rPr>
              <w:t>Change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4"/>
          </w:tcPr>
          <w:p>
            <w:pPr>
              <w:jc w:val="right"/>
              <w:ind w:right="282"/>
              <w:spacing w:after="0"/>
              <w:rPr>
                <w:sz w:val="20"/>
                <w:szCs w:val="20"/>
                <w:color w:val="auto"/>
              </w:rPr>
            </w:pPr>
            <w:r>
              <w:rPr>
                <w:rFonts w:ascii="Arial" w:cs="Arial" w:eastAsia="Arial" w:hAnsi="Arial"/>
                <w:sz w:val="14"/>
                <w:szCs w:val="14"/>
                <w:b w:val="1"/>
                <w:bCs w:val="1"/>
                <w:color w:val="auto"/>
                <w:w w:val="98"/>
              </w:rPr>
              <w:t>Six Months Ended June 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ind w:left="660"/>
              <w:spacing w:after="0"/>
              <w:rPr>
                <w:sz w:val="20"/>
                <w:szCs w:val="20"/>
                <w:color w:val="auto"/>
              </w:rPr>
            </w:pPr>
            <w:r>
              <w:rPr>
                <w:rFonts w:ascii="Arial" w:cs="Arial" w:eastAsia="Arial" w:hAnsi="Arial"/>
                <w:sz w:val="14"/>
                <w:szCs w:val="14"/>
                <w:b w:val="1"/>
                <w:bCs w:val="1"/>
                <w:color w:val="auto"/>
                <w:w w:val="93"/>
              </w:rPr>
              <w:t>Change</w:t>
            </w:r>
          </w:p>
        </w:tc>
        <w:tc>
          <w:tcPr>
            <w:tcW w:w="800" w:type="dxa"/>
            <w:vAlign w:val="bottom"/>
          </w:tcPr>
          <w:p>
            <w:pPr>
              <w:spacing w:after="0"/>
              <w:rPr>
                <w:sz w:val="16"/>
                <w:szCs w:val="16"/>
                <w:color w:val="auto"/>
              </w:rPr>
            </w:pPr>
          </w:p>
        </w:tc>
      </w:tr>
      <w:tr>
        <w:trPr>
          <w:trHeight w:val="39"/>
        </w:trPr>
        <w:tc>
          <w:tcPr>
            <w:tcW w:w="19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4"/>
        </w:trPr>
        <w:tc>
          <w:tcPr>
            <w:tcW w:w="19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6"/>
                <w:szCs w:val="16"/>
                <w:color w:val="auto"/>
              </w:rPr>
            </w:pPr>
          </w:p>
        </w:tc>
        <w:tc>
          <w:tcPr>
            <w:tcW w:w="960" w:type="dxa"/>
            <w:vAlign w:val="bottom"/>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3"/>
              </w:rPr>
              <w:t>Percent</w:t>
            </w:r>
          </w:p>
        </w:tc>
        <w:tc>
          <w:tcPr>
            <w:tcW w:w="920" w:type="dxa"/>
            <w:vAlign w:val="bottom"/>
          </w:tcPr>
          <w:p>
            <w:pPr>
              <w:jc w:val="right"/>
              <w:ind w:right="36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224"/>
              <w:spacing w:after="0"/>
              <w:rPr>
                <w:sz w:val="20"/>
                <w:szCs w:val="20"/>
                <w:color w:val="auto"/>
              </w:rPr>
            </w:pPr>
            <w:r>
              <w:rPr>
                <w:rFonts w:ascii="Arial" w:cs="Arial" w:eastAsia="Arial" w:hAnsi="Arial"/>
                <w:sz w:val="14"/>
                <w:szCs w:val="14"/>
                <w:b w:val="1"/>
                <w:bCs w:val="1"/>
                <w:color w:val="auto"/>
                <w:w w:val="93"/>
              </w:rPr>
              <w:t>Percent</w:t>
            </w:r>
          </w:p>
        </w:tc>
      </w:tr>
      <w:tr>
        <w:trPr>
          <w:trHeight w:val="39"/>
        </w:trPr>
        <w:tc>
          <w:tcPr>
            <w:tcW w:w="19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37"/>
        </w:trPr>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Marketing</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53,600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43,849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22 %  $</w:t>
            </w: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97,723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84,470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24"/>
        </w:trPr>
        <w:tc>
          <w:tcPr>
            <w:tcW w:w="1940" w:type="dxa"/>
            <w:vAlign w:val="bottom"/>
          </w:tcPr>
          <w:p>
            <w:pPr>
              <w:ind w:left="20"/>
              <w:spacing w:after="0"/>
              <w:rPr>
                <w:sz w:val="20"/>
                <w:szCs w:val="20"/>
                <w:color w:val="auto"/>
              </w:rPr>
            </w:pPr>
            <w:r>
              <w:rPr>
                <w:rFonts w:ascii="Arial" w:cs="Arial" w:eastAsia="Arial" w:hAnsi="Arial"/>
                <w:sz w:val="16"/>
                <w:szCs w:val="16"/>
                <w:color w:val="auto"/>
                <w:w w:val="96"/>
              </w:rPr>
              <w:t>Percentage of total revenue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266" w:lineRule="exact"/>
        <w:rPr>
          <w:sz w:val="20"/>
          <w:szCs w:val="20"/>
          <w:color w:val="auto"/>
        </w:rPr>
      </w:pPr>
    </w:p>
    <w:p>
      <w:pPr>
        <w:ind w:right="120"/>
        <w:spacing w:after="0" w:line="308" w:lineRule="auto"/>
        <w:rPr>
          <w:sz w:val="20"/>
          <w:szCs w:val="20"/>
          <w:color w:val="auto"/>
        </w:rPr>
      </w:pPr>
      <w:r>
        <w:rPr>
          <w:rFonts w:ascii="Arial" w:cs="Arial" w:eastAsia="Arial" w:hAnsi="Arial"/>
          <w:sz w:val="14"/>
          <w:szCs w:val="14"/>
          <w:color w:val="auto"/>
        </w:rPr>
        <w:t>Marketing expenses increased $9.8 million, or 22%, for the three months ended June 30, 2023, compared to the three months ended June 30, 2022, due primarily to an increase of $4.8 million in direct marketing expense, including online and offline marketing spend and promotion costs to acquire new customers. Personnel-related costs increased by $4.1 million, driven by a 65% increase in marketing headcount compared to the same period in 2022, and inclusive of a $2.0 million increase in stock-based compensation expense. The increase in marketing expense was also driven by a $0.9 million increase in other marketing expenses, including professional fees, software, employee-related costs, and indirect marketing. Contributing to the increase in our marketing headcount expense and direct marketing expense is the acquisition of Rewire.</w:t>
      </w:r>
    </w:p>
    <w:p>
      <w:pPr>
        <w:spacing w:after="0" w:line="101"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color w:val="auto"/>
        </w:rPr>
        <w:t>Marketing expenses increased $13.3 million, or 16%, for the six months ended June 30, 2023, compared to the six months ended June 30, 2022, due primarily to an increase of $7.3 million in personnel-related costs driven by a 56% increase in marketing headcount compared to the same period in 2022, and inclusive of a $3.9 million increase in stock-based compensation expense. The increase in marketing expense was also driven by a $4.7 million increase in direct marketing expense, including online and offline marketing spend and promotion costs to acquire new customers, as well as an increase in $1.3 million in other marketing expenses, including software and indirect marketing. Contributing to the increase in our marketing headcount expense and direct marketing expense is the acquisition of Rewire.</w:t>
      </w:r>
    </w:p>
    <w:p>
      <w:pPr>
        <w:spacing w:after="0" w:line="113"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As a percentage of revenue, marketing expenses decreased to 23% and 22% for the three and six months ended June 30, 2023, respectively, from 28% and 29% for the three and six months ended June 30, 2022, due to continued channel optimizations and momentum from a larger customer base.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Technology and Development Expenses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4"/>
          </w:tcPr>
          <w:p>
            <w:pPr>
              <w:jc w:val="right"/>
              <w:ind w:right="182"/>
              <w:spacing w:after="0"/>
              <w:rPr>
                <w:sz w:val="20"/>
                <w:szCs w:val="20"/>
                <w:color w:val="auto"/>
              </w:rPr>
            </w:pPr>
            <w:r>
              <w:rPr>
                <w:rFonts w:ascii="Arial" w:cs="Arial" w:eastAsia="Arial" w:hAnsi="Arial"/>
                <w:sz w:val="14"/>
                <w:szCs w:val="14"/>
                <w:b w:val="1"/>
                <w:bCs w:val="1"/>
                <w:color w:val="auto"/>
                <w:w w:val="95"/>
              </w:rPr>
              <w:t>Three Months Ended June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ind w:left="660"/>
              <w:spacing w:after="0"/>
              <w:rPr>
                <w:sz w:val="20"/>
                <w:szCs w:val="20"/>
                <w:color w:val="auto"/>
              </w:rPr>
            </w:pPr>
            <w:r>
              <w:rPr>
                <w:rFonts w:ascii="Arial" w:cs="Arial" w:eastAsia="Arial" w:hAnsi="Arial"/>
                <w:sz w:val="14"/>
                <w:szCs w:val="14"/>
                <w:b w:val="1"/>
                <w:bCs w:val="1"/>
                <w:color w:val="auto"/>
                <w:w w:val="93"/>
              </w:rPr>
              <w:t>Change</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4"/>
          </w:tcPr>
          <w:p>
            <w:pPr>
              <w:jc w:val="right"/>
              <w:ind w:right="262"/>
              <w:spacing w:after="0"/>
              <w:rPr>
                <w:sz w:val="20"/>
                <w:szCs w:val="20"/>
                <w:color w:val="auto"/>
              </w:rPr>
            </w:pPr>
            <w:r>
              <w:rPr>
                <w:rFonts w:ascii="Arial" w:cs="Arial" w:eastAsia="Arial" w:hAnsi="Arial"/>
                <w:sz w:val="14"/>
                <w:szCs w:val="14"/>
                <w:b w:val="1"/>
                <w:bCs w:val="1"/>
                <w:color w:val="auto"/>
                <w:w w:val="99"/>
              </w:rPr>
              <w:t>Six Months Ended June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ind w:left="660"/>
              <w:spacing w:after="0"/>
              <w:rPr>
                <w:sz w:val="20"/>
                <w:szCs w:val="20"/>
                <w:color w:val="auto"/>
              </w:rPr>
            </w:pPr>
            <w:r>
              <w:rPr>
                <w:rFonts w:ascii="Arial" w:cs="Arial" w:eastAsia="Arial" w:hAnsi="Arial"/>
                <w:sz w:val="14"/>
                <w:szCs w:val="14"/>
                <w:b w:val="1"/>
                <w:bCs w:val="1"/>
                <w:color w:val="auto"/>
                <w:w w:val="93"/>
              </w:rPr>
              <w:t>Change</w:t>
            </w:r>
          </w:p>
        </w:tc>
        <w:tc>
          <w:tcPr>
            <w:tcW w:w="800" w:type="dxa"/>
            <w:vAlign w:val="bottom"/>
          </w:tcPr>
          <w:p>
            <w:pPr>
              <w:spacing w:after="0"/>
              <w:rPr>
                <w:sz w:val="16"/>
                <w:szCs w:val="16"/>
                <w:color w:val="auto"/>
              </w:rPr>
            </w:pPr>
          </w:p>
        </w:tc>
      </w:tr>
      <w:tr>
        <w:trPr>
          <w:trHeight w:val="39"/>
        </w:trPr>
        <w:tc>
          <w:tcPr>
            <w:tcW w:w="19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98"/>
        </w:trPr>
        <w:tc>
          <w:tcPr>
            <w:tcW w:w="196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7"/>
                <w:szCs w:val="17"/>
                <w:color w:val="auto"/>
              </w:rPr>
            </w:pPr>
          </w:p>
        </w:tc>
        <w:tc>
          <w:tcPr>
            <w:tcW w:w="960" w:type="dxa"/>
            <w:vAlign w:val="bottom"/>
          </w:tcPr>
          <w:p>
            <w:pPr>
              <w:jc w:val="right"/>
              <w:ind w:right="36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3"/>
              </w:rPr>
              <w:t>Percent</w:t>
            </w:r>
          </w:p>
        </w:tc>
        <w:tc>
          <w:tcPr>
            <w:tcW w:w="940" w:type="dxa"/>
            <w:vAlign w:val="bottom"/>
          </w:tcPr>
          <w:p>
            <w:pPr>
              <w:jc w:val="right"/>
              <w:ind w:right="36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224"/>
              <w:spacing w:after="0"/>
              <w:rPr>
                <w:sz w:val="20"/>
                <w:szCs w:val="20"/>
                <w:color w:val="auto"/>
              </w:rPr>
            </w:pPr>
            <w:r>
              <w:rPr>
                <w:rFonts w:ascii="Arial" w:cs="Arial" w:eastAsia="Arial" w:hAnsi="Arial"/>
                <w:sz w:val="14"/>
                <w:szCs w:val="14"/>
                <w:b w:val="1"/>
                <w:bCs w:val="1"/>
                <w:color w:val="auto"/>
                <w:w w:val="93"/>
              </w:rPr>
              <w:t>Percent</w:t>
            </w:r>
          </w:p>
        </w:tc>
      </w:tr>
      <w:tr>
        <w:trPr>
          <w:trHeight w:val="25"/>
        </w:trPr>
        <w:tc>
          <w:tcPr>
            <w:tcW w:w="1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0"/>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6"/>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development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54,309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36,083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18,226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51 %  $</w:t>
            </w: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103,685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59,658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44,027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74 %</w:t>
            </w:r>
          </w:p>
        </w:tc>
      </w:tr>
      <w:tr>
        <w:trPr>
          <w:trHeight w:val="223"/>
        </w:trPr>
        <w:tc>
          <w:tcPr>
            <w:tcW w:w="1960" w:type="dxa"/>
            <w:vAlign w:val="bottom"/>
          </w:tcPr>
          <w:p>
            <w:pPr>
              <w:ind w:left="20"/>
              <w:spacing w:after="0"/>
              <w:rPr>
                <w:sz w:val="20"/>
                <w:szCs w:val="20"/>
                <w:color w:val="auto"/>
              </w:rPr>
            </w:pPr>
            <w:r>
              <w:rPr>
                <w:rFonts w:ascii="Arial" w:cs="Arial" w:eastAsia="Arial" w:hAnsi="Arial"/>
                <w:sz w:val="16"/>
                <w:szCs w:val="16"/>
                <w:color w:val="auto"/>
                <w:w w:val="97"/>
              </w:rPr>
              <w:t>Percentage of total revenue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266"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auto"/>
        </w:rPr>
        <w:t>Technology and development expenses increased $18.2 million, or 51% for the three months ended June 30, 2023, compared to the three months ended June 30, 2022. The increase was driven by $15.2 million in personnel-related expenses resulting from a 61% increase in headcount compared to the same period in 2022, as part of our continued investment in our technology platform, and included a $4.9 million increase in stock-based compensation expense. The increase in technology and development expense was also driven by a $2.3 million increase in software costs for cloud services to support incremental transaction volume, and a $0.7 million increase in professional fees. Contributing to the increase in our technology and development headcount expense is the acquisition of Rewire.</w:t>
      </w:r>
    </w:p>
    <w:p>
      <w:pPr>
        <w:spacing w:after="0" w:line="113"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As a percentage of revenue, technology and development expenses remained flat at 23% for the three months ended June 30, 2023, from 23% for the three months ended June 30, 2022.</w:t>
      </w:r>
    </w:p>
    <w:p>
      <w:pPr>
        <w:spacing w:after="0" w:line="104" w:lineRule="exact"/>
        <w:rPr>
          <w:sz w:val="20"/>
          <w:szCs w:val="20"/>
          <w:color w:val="auto"/>
        </w:rPr>
      </w:pPr>
    </w:p>
    <w:p>
      <w:pPr>
        <w:ind w:right="100"/>
        <w:spacing w:after="0" w:line="303" w:lineRule="auto"/>
        <w:rPr>
          <w:sz w:val="20"/>
          <w:szCs w:val="20"/>
          <w:color w:val="auto"/>
        </w:rPr>
      </w:pPr>
      <w:r>
        <w:rPr>
          <w:rFonts w:ascii="Arial" w:cs="Arial" w:eastAsia="Arial" w:hAnsi="Arial"/>
          <w:sz w:val="14"/>
          <w:szCs w:val="14"/>
          <w:color w:val="auto"/>
        </w:rPr>
        <w:t>Technology and development expenses increased $44.0 million, or 74%, for the six months ended June 30, 2023, compared to the six months ended June 30, 2022. The increase was driven by $38.2 million in personnel-related expenses resulting from a 60% increase in headcount compared to the same period in 2022, as part of our continued investment in our technology platform, and included a $17.5 million increase in stock-based compensation expense. The increase in technology and development expense was also driven by a $4.0 million increase in software costs for cloud services to support incremental transaction volume, a $1.1 million increase in professional fees, and a $0.7 million increase in employee-related costs. Contributing to the increase in our technology and development headcount expense is the acquisition of Rewire.</w:t>
      </w:r>
    </w:p>
    <w:p>
      <w:pPr>
        <w:spacing w:after="0" w:line="118" w:lineRule="exact"/>
        <w:rPr>
          <w:sz w:val="20"/>
          <w:szCs w:val="20"/>
          <w:color w:val="auto"/>
        </w:rPr>
      </w:pPr>
    </w:p>
    <w:p>
      <w:pPr>
        <w:jc w:val="both"/>
        <w:ind w:right="120"/>
        <w:spacing w:after="0" w:line="262" w:lineRule="auto"/>
        <w:rPr>
          <w:sz w:val="20"/>
          <w:szCs w:val="20"/>
          <w:color w:val="auto"/>
        </w:rPr>
      </w:pPr>
      <w:r>
        <w:rPr>
          <w:rFonts w:ascii="Arial" w:cs="Arial" w:eastAsia="Arial" w:hAnsi="Arial"/>
          <w:sz w:val="16"/>
          <w:szCs w:val="16"/>
          <w:color w:val="auto"/>
        </w:rPr>
        <w:t>As a percentage of revenue, technology and development expenses increased to 24% for the six months ended June 30, 2023, from 20% for the six months ended June 30, 2022, driven by an increase in stock-based compensation expense and headcount due to hiring additional personnel and contractors who are directly engaged in developing our platform, developing complementary new products, enabling increasing automation, and providing technology support and security, and inclusive of our acquisition of Rewire.</w:t>
      </w:r>
    </w:p>
    <w:p>
      <w:pPr>
        <w:sectPr>
          <w:pgSz w:w="11900" w:h="16838" w:orient="portrait"/>
          <w:cols w:equalWidth="0" w:num="1">
            <w:col w:w="11240"/>
          </w:cols>
          <w:pgMar w:left="320" w:top="11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gridSpan w:val="4"/>
          </w:tcPr>
          <w:p>
            <w:pPr>
              <w:jc w:val="right"/>
              <w:ind w:right="182"/>
              <w:spacing w:after="0"/>
              <w:rPr>
                <w:sz w:val="20"/>
                <w:szCs w:val="20"/>
                <w:color w:val="auto"/>
              </w:rPr>
            </w:pPr>
            <w:r>
              <w:rPr>
                <w:rFonts w:ascii="Arial" w:cs="Arial" w:eastAsia="Arial" w:hAnsi="Arial"/>
                <w:sz w:val="14"/>
                <w:szCs w:val="14"/>
                <w:b w:val="1"/>
                <w:bCs w:val="1"/>
                <w:color w:val="auto"/>
                <w:w w:val="96"/>
              </w:rPr>
              <w:t>Three Months Ended June 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ind w:left="660"/>
              <w:spacing w:after="0"/>
              <w:rPr>
                <w:sz w:val="20"/>
                <w:szCs w:val="20"/>
                <w:color w:val="auto"/>
              </w:rPr>
            </w:pPr>
            <w:r>
              <w:rPr>
                <w:rFonts w:ascii="Arial" w:cs="Arial" w:eastAsia="Arial" w:hAnsi="Arial"/>
                <w:sz w:val="14"/>
                <w:szCs w:val="14"/>
                <w:b w:val="1"/>
                <w:bCs w:val="1"/>
                <w:color w:val="auto"/>
                <w:w w:val="93"/>
              </w:rPr>
              <w:t>Change</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4"/>
          </w:tcPr>
          <w:p>
            <w:pPr>
              <w:jc w:val="right"/>
              <w:ind w:right="262"/>
              <w:spacing w:after="0"/>
              <w:rPr>
                <w:sz w:val="20"/>
                <w:szCs w:val="20"/>
                <w:color w:val="auto"/>
              </w:rPr>
            </w:pPr>
            <w:r>
              <w:rPr>
                <w:rFonts w:ascii="Arial" w:cs="Arial" w:eastAsia="Arial" w:hAnsi="Arial"/>
                <w:sz w:val="14"/>
                <w:szCs w:val="14"/>
                <w:b w:val="1"/>
                <w:bCs w:val="1"/>
                <w:color w:val="auto"/>
                <w:w w:val="99"/>
              </w:rPr>
              <w:t>Six Months Ended June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ind w:left="660"/>
              <w:spacing w:after="0"/>
              <w:rPr>
                <w:sz w:val="20"/>
                <w:szCs w:val="20"/>
                <w:color w:val="auto"/>
              </w:rPr>
            </w:pPr>
            <w:r>
              <w:rPr>
                <w:rFonts w:ascii="Arial" w:cs="Arial" w:eastAsia="Arial" w:hAnsi="Arial"/>
                <w:sz w:val="14"/>
                <w:szCs w:val="14"/>
                <w:b w:val="1"/>
                <w:bCs w:val="1"/>
                <w:color w:val="auto"/>
                <w:w w:val="93"/>
              </w:rPr>
              <w:t>Change</w:t>
            </w:r>
          </w:p>
        </w:tc>
        <w:tc>
          <w:tcPr>
            <w:tcW w:w="800" w:type="dxa"/>
            <w:vAlign w:val="bottom"/>
          </w:tcPr>
          <w:p>
            <w:pPr>
              <w:spacing w:after="0"/>
              <w:rPr>
                <w:sz w:val="16"/>
                <w:szCs w:val="16"/>
                <w:color w:val="auto"/>
              </w:rPr>
            </w:pPr>
          </w:p>
        </w:tc>
      </w:tr>
      <w:tr>
        <w:trPr>
          <w:trHeight w:val="39"/>
        </w:trPr>
        <w:tc>
          <w:tcPr>
            <w:tcW w:w="19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97"/>
        </w:trPr>
        <w:tc>
          <w:tcPr>
            <w:tcW w:w="216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960" w:type="dxa"/>
            <w:vAlign w:val="bottom"/>
          </w:tcPr>
          <w:p>
            <w:pPr>
              <w:jc w:val="right"/>
              <w:ind w:right="36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85"/>
              </w:rPr>
              <w:t>Percent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224"/>
              <w:spacing w:after="0"/>
              <w:rPr>
                <w:sz w:val="20"/>
                <w:szCs w:val="20"/>
                <w:color w:val="auto"/>
              </w:rPr>
            </w:pPr>
            <w:r>
              <w:rPr>
                <w:rFonts w:ascii="Arial" w:cs="Arial" w:eastAsia="Arial" w:hAnsi="Arial"/>
                <w:sz w:val="14"/>
                <w:szCs w:val="14"/>
                <w:b w:val="1"/>
                <w:bCs w:val="1"/>
                <w:color w:val="auto"/>
                <w:w w:val="93"/>
              </w:rPr>
              <w:t>Percent</w:t>
            </w:r>
          </w:p>
        </w:tc>
      </w:tr>
      <w:tr>
        <w:trPr>
          <w:trHeight w:val="26"/>
        </w:trPr>
        <w:tc>
          <w:tcPr>
            <w:tcW w:w="1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9"/>
              </w:rPr>
              <w:t>General and administrative   $</w:t>
            </w: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39,490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37,509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5 %  $</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80,898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60,851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20,047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24"/>
        </w:trPr>
        <w:tc>
          <w:tcPr>
            <w:tcW w:w="216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960" w:type="dxa"/>
            <w:vAlign w:val="bottom"/>
          </w:tcPr>
          <w:p>
            <w:pPr>
              <w:jc w:val="right"/>
              <w:spacing w:after="0"/>
              <w:rPr>
                <w:sz w:val="20"/>
                <w:szCs w:val="20"/>
                <w:color w:val="auto"/>
              </w:rPr>
            </w:pPr>
            <w:r>
              <w:rPr>
                <w:rFonts w:ascii="Arial" w:cs="Arial" w:eastAsia="Arial" w:hAnsi="Arial"/>
                <w:sz w:val="16"/>
                <w:szCs w:val="16"/>
                <w:color w:val="auto"/>
              </w:rPr>
              <w:t>17 %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266"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Included in the three months ended June 30, 3022 results is approximately $6.5 million of stock-based compensation expense related to a prior period that was identified and corrected for in the three months ended June 30, 2022, of which $5.2 million is also included in the six months ended June 30, 2022. The discussion below excludes this amount from the three and six months ended June 30, 2022 results in all places, for comparative purposes. Excluding the aforementioned amount, general and administrative expenses would have increased $8.5 million, or 27%, and $25.2 million, or 45%, for the three and six months ended June 30, 2023, compared to the three and six months ended June 30, 2022, respectively.</w:t>
      </w:r>
    </w:p>
    <w:p>
      <w:pPr>
        <w:spacing w:after="0" w:line="130" w:lineRule="exact"/>
        <w:rPr>
          <w:sz w:val="20"/>
          <w:szCs w:val="20"/>
          <w:color w:val="auto"/>
        </w:rPr>
      </w:pPr>
    </w:p>
    <w:p>
      <w:pPr>
        <w:ind w:right="20"/>
        <w:spacing w:after="0" w:line="295" w:lineRule="auto"/>
        <w:rPr>
          <w:sz w:val="20"/>
          <w:szCs w:val="20"/>
          <w:color w:val="auto"/>
        </w:rPr>
      </w:pPr>
      <w:r>
        <w:rPr>
          <w:rFonts w:ascii="Arial" w:cs="Arial" w:eastAsia="Arial" w:hAnsi="Arial"/>
          <w:sz w:val="15"/>
          <w:szCs w:val="15"/>
          <w:color w:val="auto"/>
        </w:rPr>
        <w:t>The increase in general and administrative expenses for the three and six months ended June 30, 2023, compared to the three months ended June 30, 2022, was primarily driven by an increase in personnel-related costs and other operating expenses, primarily to support the growth of the business. Contributing to the increase in our general and administrative expenses were additional headcount, employee-related costs, facility costs, and professional fees as a result of the acquisition of Rewire.</w:t>
      </w:r>
    </w:p>
    <w:p>
      <w:pPr>
        <w:spacing w:after="0" w:line="120" w:lineRule="exact"/>
        <w:rPr>
          <w:sz w:val="20"/>
          <w:szCs w:val="20"/>
          <w:color w:val="auto"/>
        </w:rPr>
      </w:pPr>
    </w:p>
    <w:p>
      <w:pPr>
        <w:jc w:val="both"/>
        <w:ind w:right="100"/>
        <w:spacing w:after="0" w:line="261" w:lineRule="auto"/>
        <w:rPr>
          <w:sz w:val="20"/>
          <w:szCs w:val="20"/>
          <w:color w:val="auto"/>
        </w:rPr>
      </w:pPr>
      <w:r>
        <w:rPr>
          <w:rFonts w:ascii="Arial" w:cs="Arial" w:eastAsia="Arial" w:hAnsi="Arial"/>
          <w:sz w:val="16"/>
          <w:szCs w:val="16"/>
          <w:color w:val="auto"/>
        </w:rPr>
        <w:t>For the three months ended June 30, 2023, personnel-related expenses increased $5.3 million, inclusive of $2.1 million increase in stock-based compensation expense, as a result of a 43% increase in general and administrative headcount compared to the same period in 2022. We also experienced an increase in other operating expenses of $3.2 million, primarily driven by employee-related costs and professional fees.</w:t>
      </w:r>
    </w:p>
    <w:p>
      <w:pPr>
        <w:spacing w:after="0" w:line="142"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For the six months ended June 30, 2023, personnel-related expenses increased $13.5 million, inclusive of a $5.8 million increase in stock-based compensation expense, as a result of a 48% increase in general and administrative headcount compared to the same period in 2022. We also experienced an increase in other operating expenses of $10.2 million, driven by a $3.4 million increase in professional fees, a $2.3 million increase in employee-related costs, a $1.8 million increase in facilities costs, a $1.7 million increase in indirect taxes, and a $1.0 million increase in software. Additionally, we incurred approximately $1.5 million in expenses related to the acquisition and integration of Rewire.</w:t>
      </w:r>
    </w:p>
    <w:p>
      <w:pPr>
        <w:spacing w:after="0" w:line="145" w:lineRule="exact"/>
        <w:rPr>
          <w:sz w:val="20"/>
          <w:szCs w:val="20"/>
          <w:color w:val="auto"/>
        </w:rPr>
      </w:pPr>
    </w:p>
    <w:p>
      <w:pPr>
        <w:jc w:val="both"/>
        <w:ind w:right="100"/>
        <w:spacing w:after="0" w:line="310" w:lineRule="auto"/>
        <w:rPr>
          <w:sz w:val="20"/>
          <w:szCs w:val="20"/>
          <w:color w:val="auto"/>
        </w:rPr>
      </w:pPr>
      <w:r>
        <w:rPr>
          <w:rFonts w:ascii="Arial" w:cs="Arial" w:eastAsia="Arial" w:hAnsi="Arial"/>
          <w:sz w:val="15"/>
          <w:szCs w:val="15"/>
          <w:color w:val="auto"/>
        </w:rPr>
        <w:t>As a percentage of revenue, general and administrative expenses slightly decreased for the three and six months ended June 30, 2023, compared to the three and six months ended June 30, 2022, as we begin to leverage scale in our general and administrative functions as a result of our continued revenue growth.</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4"/>
          </w:tcPr>
          <w:p>
            <w:pPr>
              <w:jc w:val="right"/>
              <w:ind w:right="182"/>
              <w:spacing w:after="0"/>
              <w:rPr>
                <w:sz w:val="20"/>
                <w:szCs w:val="20"/>
                <w:color w:val="auto"/>
              </w:rPr>
            </w:pPr>
            <w:r>
              <w:rPr>
                <w:rFonts w:ascii="Arial" w:cs="Arial" w:eastAsia="Arial" w:hAnsi="Arial"/>
                <w:sz w:val="14"/>
                <w:szCs w:val="14"/>
                <w:b w:val="1"/>
                <w:bCs w:val="1"/>
                <w:color w:val="auto"/>
                <w:w w:val="95"/>
              </w:rPr>
              <w:t>Three Months Ended June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ind w:left="660"/>
              <w:spacing w:after="0"/>
              <w:rPr>
                <w:sz w:val="20"/>
                <w:szCs w:val="20"/>
                <w:color w:val="auto"/>
              </w:rPr>
            </w:pPr>
            <w:r>
              <w:rPr>
                <w:rFonts w:ascii="Arial" w:cs="Arial" w:eastAsia="Arial" w:hAnsi="Arial"/>
                <w:sz w:val="14"/>
                <w:szCs w:val="14"/>
                <w:b w:val="1"/>
                <w:bCs w:val="1"/>
                <w:color w:val="auto"/>
                <w:w w:val="93"/>
              </w:rPr>
              <w:t>Change</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4"/>
          </w:tcPr>
          <w:p>
            <w:pPr>
              <w:jc w:val="right"/>
              <w:ind w:right="262"/>
              <w:spacing w:after="0"/>
              <w:rPr>
                <w:sz w:val="20"/>
                <w:szCs w:val="20"/>
                <w:color w:val="auto"/>
              </w:rPr>
            </w:pPr>
            <w:r>
              <w:rPr>
                <w:rFonts w:ascii="Arial" w:cs="Arial" w:eastAsia="Arial" w:hAnsi="Arial"/>
                <w:sz w:val="14"/>
                <w:szCs w:val="14"/>
                <w:b w:val="1"/>
                <w:bCs w:val="1"/>
                <w:color w:val="auto"/>
                <w:w w:val="98"/>
              </w:rPr>
              <w:t>Six Months Ended June 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ind w:left="660"/>
              <w:spacing w:after="0"/>
              <w:rPr>
                <w:sz w:val="20"/>
                <w:szCs w:val="20"/>
                <w:color w:val="auto"/>
              </w:rPr>
            </w:pPr>
            <w:r>
              <w:rPr>
                <w:rFonts w:ascii="Arial" w:cs="Arial" w:eastAsia="Arial" w:hAnsi="Arial"/>
                <w:sz w:val="14"/>
                <w:szCs w:val="14"/>
                <w:b w:val="1"/>
                <w:bCs w:val="1"/>
                <w:color w:val="auto"/>
                <w:w w:val="93"/>
              </w:rPr>
              <w:t>Change</w:t>
            </w:r>
          </w:p>
        </w:tc>
        <w:tc>
          <w:tcPr>
            <w:tcW w:w="800" w:type="dxa"/>
            <w:vAlign w:val="bottom"/>
          </w:tcPr>
          <w:p>
            <w:pPr>
              <w:spacing w:after="0"/>
              <w:rPr>
                <w:sz w:val="16"/>
                <w:szCs w:val="16"/>
                <w:color w:val="auto"/>
              </w:rPr>
            </w:pPr>
          </w:p>
        </w:tc>
      </w:tr>
      <w:tr>
        <w:trPr>
          <w:trHeight w:val="39"/>
        </w:trPr>
        <w:tc>
          <w:tcPr>
            <w:tcW w:w="19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4"/>
        </w:trPr>
        <w:tc>
          <w:tcPr>
            <w:tcW w:w="19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6"/>
                <w:szCs w:val="16"/>
                <w:color w:val="auto"/>
              </w:rPr>
            </w:pPr>
          </w:p>
        </w:tc>
        <w:tc>
          <w:tcPr>
            <w:tcW w:w="960" w:type="dxa"/>
            <w:vAlign w:val="bottom"/>
          </w:tcPr>
          <w:p>
            <w:pPr>
              <w:jc w:val="right"/>
              <w:ind w:right="36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3"/>
              </w:rPr>
              <w:t>Percent</w:t>
            </w:r>
          </w:p>
        </w:tc>
        <w:tc>
          <w:tcPr>
            <w:tcW w:w="900" w:type="dxa"/>
            <w:vAlign w:val="bottom"/>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224"/>
              <w:spacing w:after="0"/>
              <w:rPr>
                <w:sz w:val="20"/>
                <w:szCs w:val="20"/>
                <w:color w:val="auto"/>
              </w:rPr>
            </w:pPr>
            <w:r>
              <w:rPr>
                <w:rFonts w:ascii="Arial" w:cs="Arial" w:eastAsia="Arial" w:hAnsi="Arial"/>
                <w:sz w:val="14"/>
                <w:szCs w:val="14"/>
                <w:b w:val="1"/>
                <w:bCs w:val="1"/>
                <w:color w:val="auto"/>
                <w:w w:val="93"/>
              </w:rPr>
              <w:t>Percent</w:t>
            </w:r>
          </w:p>
        </w:tc>
      </w:tr>
      <w:tr>
        <w:trPr>
          <w:trHeight w:val="25"/>
        </w:trPr>
        <w:tc>
          <w:tcPr>
            <w:tcW w:w="1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0"/>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9"/>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3,187</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1,510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1,677</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111 %  $</w:t>
            </w:r>
          </w:p>
        </w:tc>
        <w:tc>
          <w:tcPr>
            <w:tcW w:w="9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6,216</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3,027</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105 %</w:t>
            </w:r>
          </w:p>
        </w:tc>
      </w:tr>
      <w:tr>
        <w:trPr>
          <w:trHeight w:val="224"/>
        </w:trPr>
        <w:tc>
          <w:tcPr>
            <w:tcW w:w="1980" w:type="dxa"/>
            <w:vAlign w:val="bottom"/>
          </w:tcPr>
          <w:p>
            <w:pPr>
              <w:ind w:left="20"/>
              <w:spacing w:after="0"/>
              <w:rPr>
                <w:sz w:val="20"/>
                <w:szCs w:val="20"/>
                <w:color w:val="auto"/>
              </w:rPr>
            </w:pPr>
            <w:r>
              <w:rPr>
                <w:rFonts w:ascii="Arial" w:cs="Arial" w:eastAsia="Arial" w:hAnsi="Arial"/>
                <w:sz w:val="16"/>
                <w:szCs w:val="16"/>
                <w:color w:val="auto"/>
              </w:rPr>
              <w:t>Percentage of revenue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266" w:lineRule="exact"/>
        <w:rPr>
          <w:sz w:val="20"/>
          <w:szCs w:val="20"/>
          <w:color w:val="auto"/>
        </w:rPr>
      </w:pPr>
    </w:p>
    <w:p>
      <w:pPr>
        <w:jc w:val="both"/>
        <w:ind w:right="80"/>
        <w:spacing w:after="0" w:line="295" w:lineRule="auto"/>
        <w:rPr>
          <w:sz w:val="20"/>
          <w:szCs w:val="20"/>
          <w:color w:val="auto"/>
        </w:rPr>
      </w:pPr>
      <w:r>
        <w:rPr>
          <w:rFonts w:ascii="Arial" w:cs="Arial" w:eastAsia="Arial" w:hAnsi="Arial"/>
          <w:sz w:val="15"/>
          <w:szCs w:val="15"/>
          <w:color w:val="auto"/>
        </w:rPr>
        <w:t>Depreciation and amortization increased $1.7 million, or 111%, for the three months ended June 30, 2023, compared to the three months ended June 30, 2022. Depreciation and amortization increased $3.2 million, or 105%, for the six months ended June 30, 2023, compared to the six months ended June 30, 2022. The increase in both periods is primarily driven by the amortization of acquired intangible assets, as part of the acquisition of Rewire in the first quarter of 2023.</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4"/>
          </w:tcPr>
          <w:p>
            <w:pPr>
              <w:jc w:val="right"/>
              <w:ind w:right="124"/>
              <w:spacing w:after="0"/>
              <w:rPr>
                <w:sz w:val="20"/>
                <w:szCs w:val="20"/>
                <w:color w:val="auto"/>
              </w:rPr>
            </w:pPr>
            <w:r>
              <w:rPr>
                <w:rFonts w:ascii="Arial" w:cs="Arial" w:eastAsia="Arial" w:hAnsi="Arial"/>
                <w:sz w:val="14"/>
                <w:szCs w:val="14"/>
                <w:b w:val="1"/>
                <w:bCs w:val="1"/>
                <w:color w:val="auto"/>
                <w:w w:val="94"/>
              </w:rPr>
              <w:t>Three Months Ended June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ind w:left="660"/>
              <w:spacing w:after="0"/>
              <w:rPr>
                <w:sz w:val="20"/>
                <w:szCs w:val="20"/>
                <w:color w:val="auto"/>
              </w:rPr>
            </w:pPr>
            <w:r>
              <w:rPr>
                <w:rFonts w:ascii="Arial" w:cs="Arial" w:eastAsia="Arial" w:hAnsi="Arial"/>
                <w:sz w:val="14"/>
                <w:szCs w:val="14"/>
                <w:b w:val="1"/>
                <w:bCs w:val="1"/>
                <w:color w:val="auto"/>
                <w:w w:val="97"/>
              </w:rPr>
              <w:t>Change</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4"/>
          </w:tcPr>
          <w:p>
            <w:pPr>
              <w:jc w:val="right"/>
              <w:ind w:right="204"/>
              <w:spacing w:after="0"/>
              <w:rPr>
                <w:sz w:val="20"/>
                <w:szCs w:val="20"/>
                <w:color w:val="auto"/>
              </w:rPr>
            </w:pPr>
            <w:r>
              <w:rPr>
                <w:rFonts w:ascii="Arial" w:cs="Arial" w:eastAsia="Arial" w:hAnsi="Arial"/>
                <w:sz w:val="14"/>
                <w:szCs w:val="14"/>
                <w:b w:val="1"/>
                <w:bCs w:val="1"/>
                <w:color w:val="auto"/>
                <w:w w:val="97"/>
              </w:rPr>
              <w:t>Six Months Ended June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ind w:left="660"/>
              <w:spacing w:after="0"/>
              <w:rPr>
                <w:sz w:val="20"/>
                <w:szCs w:val="20"/>
                <w:color w:val="auto"/>
              </w:rPr>
            </w:pPr>
            <w:r>
              <w:rPr>
                <w:rFonts w:ascii="Arial" w:cs="Arial" w:eastAsia="Arial" w:hAnsi="Arial"/>
                <w:sz w:val="14"/>
                <w:szCs w:val="14"/>
                <w:b w:val="1"/>
                <w:bCs w:val="1"/>
                <w:color w:val="auto"/>
                <w:w w:val="97"/>
              </w:rPr>
              <w:t>Change</w:t>
            </w:r>
          </w:p>
        </w:tc>
        <w:tc>
          <w:tcPr>
            <w:tcW w:w="800" w:type="dxa"/>
            <w:vAlign w:val="bottom"/>
          </w:tcPr>
          <w:p>
            <w:pPr>
              <w:spacing w:after="0"/>
              <w:rPr>
                <w:sz w:val="16"/>
                <w:szCs w:val="16"/>
                <w:color w:val="auto"/>
              </w:rPr>
            </w:pPr>
          </w:p>
        </w:tc>
      </w:tr>
      <w:tr>
        <w:trPr>
          <w:trHeight w:val="39"/>
        </w:trPr>
        <w:tc>
          <w:tcPr>
            <w:tcW w:w="2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98"/>
        </w:trPr>
        <w:tc>
          <w:tcPr>
            <w:tcW w:w="212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7"/>
                <w:szCs w:val="17"/>
                <w:color w:val="auto"/>
              </w:rPr>
            </w:pPr>
          </w:p>
        </w:tc>
        <w:tc>
          <w:tcPr>
            <w:tcW w:w="920" w:type="dxa"/>
            <w:vAlign w:val="bottom"/>
          </w:tcPr>
          <w:p>
            <w:pPr>
              <w:jc w:val="right"/>
              <w:ind w:right="30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0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w w:val="93"/>
              </w:rPr>
              <w:t>Percent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32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0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Percent</w:t>
            </w:r>
          </w:p>
        </w:tc>
      </w:tr>
      <w:tr>
        <w:trPr>
          <w:trHeight w:val="25"/>
        </w:trPr>
        <w:tc>
          <w:tcPr>
            <w:tcW w:w="2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929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nm  $</w:t>
            </w:r>
          </w:p>
        </w:tc>
        <w:tc>
          <w:tcPr>
            <w:tcW w:w="9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3,392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2,917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ind w:left="580"/>
              <w:spacing w:after="0"/>
              <w:rPr>
                <w:sz w:val="20"/>
                <w:szCs w:val="20"/>
                <w:color w:val="auto"/>
              </w:rPr>
            </w:pPr>
            <w:r>
              <w:rPr>
                <w:rFonts w:ascii="Arial" w:cs="Arial" w:eastAsia="Arial" w:hAnsi="Arial"/>
                <w:sz w:val="16"/>
                <w:szCs w:val="16"/>
                <w:color w:val="auto"/>
                <w:w w:val="89"/>
              </w:rPr>
              <w:t>nm</w:t>
            </w:r>
          </w:p>
        </w:tc>
      </w:tr>
      <w:tr>
        <w:trPr>
          <w:trHeight w:val="223"/>
        </w:trPr>
        <w:tc>
          <w:tcPr>
            <w:tcW w:w="2120" w:type="dxa"/>
            <w:vAlign w:val="bottom"/>
          </w:tcPr>
          <w:p>
            <w:pPr>
              <w:ind w:left="20"/>
              <w:spacing w:after="0"/>
              <w:rPr>
                <w:sz w:val="20"/>
                <w:szCs w:val="20"/>
                <w:color w:val="auto"/>
              </w:rPr>
            </w:pPr>
            <w:r>
              <w:rPr>
                <w:rFonts w:ascii="Arial" w:cs="Arial" w:eastAsia="Arial" w:hAnsi="Arial"/>
                <w:sz w:val="16"/>
                <w:szCs w:val="16"/>
                <w:color w:val="auto"/>
              </w:rPr>
              <w:t>nm = not meaningful</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Interest income increased by $0.9 million and $2.9 million for the three and six months ended June 30, 2023, as compared to the three and six months ended June 30, 2022.</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These increases are primarily due to an increase in yield on interest-bearing accounts driven by the increase in the U.S. federal funds interest rate.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60" w:type="dxa"/>
            <w:vAlign w:val="bottom"/>
          </w:tcPr>
          <w:p>
            <w:pPr>
              <w:spacing w:after="0"/>
              <w:rPr>
                <w:sz w:val="16"/>
                <w:szCs w:val="16"/>
                <w:color w:val="auto"/>
              </w:rPr>
            </w:pPr>
          </w:p>
        </w:tc>
        <w:tc>
          <w:tcPr>
            <w:tcW w:w="2220" w:type="dxa"/>
            <w:vAlign w:val="bottom"/>
            <w:gridSpan w:val="5"/>
          </w:tcPr>
          <w:p>
            <w:pPr>
              <w:jc w:val="right"/>
              <w:ind w:right="10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ind w:left="700"/>
              <w:spacing w:after="0"/>
              <w:rPr>
                <w:sz w:val="20"/>
                <w:szCs w:val="20"/>
                <w:color w:val="auto"/>
              </w:rPr>
            </w:pPr>
            <w:r>
              <w:rPr>
                <w:rFonts w:ascii="Arial" w:cs="Arial" w:eastAsia="Arial" w:hAnsi="Arial"/>
                <w:sz w:val="14"/>
                <w:szCs w:val="14"/>
                <w:b w:val="1"/>
                <w:bCs w:val="1"/>
                <w:color w:val="auto"/>
                <w:w w:val="93"/>
              </w:rPr>
              <w:t>Change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4"/>
          </w:tcPr>
          <w:p>
            <w:pPr>
              <w:jc w:val="right"/>
              <w:ind w:right="204"/>
              <w:spacing w:after="0"/>
              <w:rPr>
                <w:sz w:val="20"/>
                <w:szCs w:val="20"/>
                <w:color w:val="auto"/>
              </w:rPr>
            </w:pPr>
            <w:r>
              <w:rPr>
                <w:rFonts w:ascii="Arial" w:cs="Arial" w:eastAsia="Arial" w:hAnsi="Arial"/>
                <w:sz w:val="14"/>
                <w:szCs w:val="14"/>
                <w:b w:val="1"/>
                <w:bCs w:val="1"/>
                <w:color w:val="auto"/>
                <w:w w:val="95"/>
              </w:rPr>
              <w:t>Six Months Ended June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tcPr>
          <w:p>
            <w:pPr>
              <w:ind w:left="700"/>
              <w:spacing w:after="0"/>
              <w:rPr>
                <w:sz w:val="20"/>
                <w:szCs w:val="20"/>
                <w:color w:val="auto"/>
              </w:rPr>
            </w:pPr>
            <w:r>
              <w:rPr>
                <w:rFonts w:ascii="Arial" w:cs="Arial" w:eastAsia="Arial" w:hAnsi="Arial"/>
                <w:sz w:val="14"/>
                <w:szCs w:val="14"/>
                <w:b w:val="1"/>
                <w:bCs w:val="1"/>
                <w:color w:val="auto"/>
                <w:w w:val="97"/>
              </w:rPr>
              <w:t>Change</w:t>
            </w:r>
          </w:p>
        </w:tc>
        <w:tc>
          <w:tcPr>
            <w:tcW w:w="840" w:type="dxa"/>
            <w:vAlign w:val="bottom"/>
          </w:tcPr>
          <w:p>
            <w:pPr>
              <w:spacing w:after="0"/>
              <w:rPr>
                <w:sz w:val="16"/>
                <w:szCs w:val="16"/>
                <w:color w:val="auto"/>
              </w:rPr>
            </w:pPr>
          </w:p>
        </w:tc>
      </w:tr>
      <w:tr>
        <w:trPr>
          <w:trHeight w:val="39"/>
        </w:trPr>
        <w:tc>
          <w:tcPr>
            <w:tcW w:w="206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97"/>
        </w:trPr>
        <w:tc>
          <w:tcPr>
            <w:tcW w:w="206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7"/>
              </w:rPr>
              <w:t>Percent</w:t>
            </w:r>
          </w:p>
        </w:tc>
        <w:tc>
          <w:tcPr>
            <w:tcW w:w="880" w:type="dxa"/>
            <w:vAlign w:val="bottom"/>
          </w:tcPr>
          <w:p>
            <w:pPr>
              <w:jc w:val="right"/>
              <w:ind w:right="30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2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40" w:type="dxa"/>
            <w:vAlign w:val="bottom"/>
          </w:tcPr>
          <w:p>
            <w:pPr>
              <w:jc w:val="right"/>
              <w:ind w:right="244"/>
              <w:spacing w:after="0"/>
              <w:rPr>
                <w:sz w:val="20"/>
                <w:szCs w:val="20"/>
                <w:color w:val="auto"/>
              </w:rPr>
            </w:pPr>
            <w:r>
              <w:rPr>
                <w:rFonts w:ascii="Arial" w:cs="Arial" w:eastAsia="Arial" w:hAnsi="Arial"/>
                <w:sz w:val="14"/>
                <w:szCs w:val="14"/>
                <w:b w:val="1"/>
                <w:bCs w:val="1"/>
                <w:color w:val="auto"/>
                <w:w w:val="97"/>
              </w:rPr>
              <w:t>Percent</w:t>
            </w:r>
          </w:p>
        </w:tc>
      </w:tr>
      <w:tr>
        <w:trPr>
          <w:trHeight w:val="26"/>
        </w:trPr>
        <w:tc>
          <w:tcPr>
            <w:tcW w:w="20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2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680" w:type="dxa"/>
            <w:vAlign w:val="bottom"/>
            <w:shd w:val="clear" w:color="auto" w:fill="CCEEFF"/>
          </w:tcPr>
          <w:p>
            <w:pPr>
              <w:jc w:val="right"/>
              <w:ind w:right="505"/>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(592)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78 %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r>
    </w:tbl>
    <w:p>
      <w:pPr>
        <w:spacing w:after="0" w:line="247"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Interest expense increased by $0.3 million for the three and six months ended June 30, 2023, as compared to the three and six months ended June 30, 2022, primarily due to draws on the New Revolving Credit Facility in the current year which did not occur in the prior year.</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 income,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4"/>
          </w:tcPr>
          <w:p>
            <w:pPr>
              <w:jc w:val="right"/>
              <w:ind w:right="104"/>
              <w:spacing w:after="0"/>
              <w:rPr>
                <w:sz w:val="20"/>
                <w:szCs w:val="20"/>
                <w:color w:val="auto"/>
              </w:rPr>
            </w:pPr>
            <w:r>
              <w:rPr>
                <w:rFonts w:ascii="Arial" w:cs="Arial" w:eastAsia="Arial" w:hAnsi="Arial"/>
                <w:sz w:val="14"/>
                <w:szCs w:val="14"/>
                <w:b w:val="1"/>
                <w:bCs w:val="1"/>
                <w:color w:val="auto"/>
                <w:w w:val="94"/>
              </w:rPr>
              <w:t>Three Months Ended June 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ind w:left="700"/>
              <w:spacing w:after="0"/>
              <w:rPr>
                <w:sz w:val="20"/>
                <w:szCs w:val="20"/>
                <w:color w:val="auto"/>
              </w:rPr>
            </w:pPr>
            <w:r>
              <w:rPr>
                <w:rFonts w:ascii="Arial" w:cs="Arial" w:eastAsia="Arial" w:hAnsi="Arial"/>
                <w:sz w:val="14"/>
                <w:szCs w:val="14"/>
                <w:b w:val="1"/>
                <w:bCs w:val="1"/>
                <w:color w:val="auto"/>
                <w:w w:val="93"/>
              </w:rPr>
              <w:t>Change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4"/>
          </w:tcPr>
          <w:p>
            <w:pPr>
              <w:jc w:val="right"/>
              <w:ind w:right="204"/>
              <w:spacing w:after="0"/>
              <w:rPr>
                <w:sz w:val="20"/>
                <w:szCs w:val="20"/>
                <w:color w:val="auto"/>
              </w:rPr>
            </w:pPr>
            <w:r>
              <w:rPr>
                <w:rFonts w:ascii="Arial" w:cs="Arial" w:eastAsia="Arial" w:hAnsi="Arial"/>
                <w:sz w:val="14"/>
                <w:szCs w:val="14"/>
                <w:b w:val="1"/>
                <w:bCs w:val="1"/>
                <w:color w:val="auto"/>
                <w:w w:val="95"/>
              </w:rPr>
              <w:t>Six Months Ended June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tcPr>
          <w:p>
            <w:pPr>
              <w:ind w:left="700"/>
              <w:spacing w:after="0"/>
              <w:rPr>
                <w:sz w:val="20"/>
                <w:szCs w:val="20"/>
                <w:color w:val="auto"/>
              </w:rPr>
            </w:pPr>
            <w:r>
              <w:rPr>
                <w:rFonts w:ascii="Arial" w:cs="Arial" w:eastAsia="Arial" w:hAnsi="Arial"/>
                <w:sz w:val="14"/>
                <w:szCs w:val="14"/>
                <w:b w:val="1"/>
                <w:bCs w:val="1"/>
                <w:color w:val="auto"/>
                <w:w w:val="97"/>
              </w:rPr>
              <w:t>Change</w:t>
            </w:r>
          </w:p>
        </w:tc>
        <w:tc>
          <w:tcPr>
            <w:tcW w:w="840" w:type="dxa"/>
            <w:vAlign w:val="bottom"/>
          </w:tcPr>
          <w:p>
            <w:pPr>
              <w:spacing w:after="0"/>
              <w:rPr>
                <w:sz w:val="16"/>
                <w:szCs w:val="16"/>
                <w:color w:val="auto"/>
              </w:rPr>
            </w:pPr>
          </w:p>
        </w:tc>
      </w:tr>
      <w:tr>
        <w:trPr>
          <w:trHeight w:val="39"/>
        </w:trPr>
        <w:tc>
          <w:tcPr>
            <w:tcW w:w="20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98"/>
        </w:trPr>
        <w:tc>
          <w:tcPr>
            <w:tcW w:w="220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920" w:type="dxa"/>
            <w:vAlign w:val="bottom"/>
          </w:tcPr>
          <w:p>
            <w:pPr>
              <w:jc w:val="right"/>
              <w:ind w:right="30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7"/>
              </w:rPr>
              <w:t>Percent</w:t>
            </w:r>
          </w:p>
        </w:tc>
        <w:tc>
          <w:tcPr>
            <w:tcW w:w="880" w:type="dxa"/>
            <w:vAlign w:val="bottom"/>
          </w:tcPr>
          <w:p>
            <w:pPr>
              <w:jc w:val="right"/>
              <w:ind w:right="30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2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40" w:type="dxa"/>
            <w:vAlign w:val="bottom"/>
          </w:tcPr>
          <w:p>
            <w:pPr>
              <w:jc w:val="right"/>
              <w:ind w:right="244"/>
              <w:spacing w:after="0"/>
              <w:rPr>
                <w:sz w:val="20"/>
                <w:szCs w:val="20"/>
                <w:color w:val="auto"/>
              </w:rPr>
            </w:pPr>
            <w:r>
              <w:rPr>
                <w:rFonts w:ascii="Arial" w:cs="Arial" w:eastAsia="Arial" w:hAnsi="Arial"/>
                <w:sz w:val="14"/>
                <w:szCs w:val="14"/>
                <w:b w:val="1"/>
                <w:bCs w:val="1"/>
                <w:color w:val="auto"/>
                <w:w w:val="97"/>
              </w:rPr>
              <w:t>Percent</w:t>
            </w:r>
          </w:p>
        </w:tc>
      </w:tr>
      <w:tr>
        <w:trPr>
          <w:trHeight w:val="26"/>
        </w:trPr>
        <w:tc>
          <w:tcPr>
            <w:tcW w:w="2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5"/>
              </w:rPr>
              <w:t>Other (expense) income, net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(192)%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r>
    </w:tbl>
    <w:p>
      <w:pPr>
        <w:spacing w:after="0" w:line="247"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Other (expense) income, net, was a $1.5 million loss for the three months ended June 30, 2023, as compared to a $1.7 million gain for the three months ended June 30, 2022. Other (expense) income, net, was a $3.1 million loss for the six months ended June 30, 2023, as compared to a $2.4 million gain for the six months ended June 30, 2022. The change in other (expense) income, net is primarily due to unrealized losses and gains on foreign exchange remeasurements related to transactions associated with high-volume balance sheet amounts.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for Income Taxes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4"/>
          </w:tcPr>
          <w:p>
            <w:pPr>
              <w:jc w:val="right"/>
              <w:ind w:right="104"/>
              <w:spacing w:after="0"/>
              <w:rPr>
                <w:sz w:val="20"/>
                <w:szCs w:val="20"/>
                <w:color w:val="auto"/>
              </w:rPr>
            </w:pPr>
            <w:r>
              <w:rPr>
                <w:rFonts w:ascii="Arial" w:cs="Arial" w:eastAsia="Arial" w:hAnsi="Arial"/>
                <w:sz w:val="14"/>
                <w:szCs w:val="14"/>
                <w:b w:val="1"/>
                <w:bCs w:val="1"/>
                <w:color w:val="auto"/>
                <w:w w:val="94"/>
              </w:rPr>
              <w:t>Three Months Ended June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ind w:left="700"/>
              <w:spacing w:after="0"/>
              <w:rPr>
                <w:sz w:val="20"/>
                <w:szCs w:val="20"/>
                <w:color w:val="auto"/>
              </w:rPr>
            </w:pPr>
            <w:r>
              <w:rPr>
                <w:rFonts w:ascii="Arial" w:cs="Arial" w:eastAsia="Arial" w:hAnsi="Arial"/>
                <w:sz w:val="14"/>
                <w:szCs w:val="14"/>
                <w:b w:val="1"/>
                <w:bCs w:val="1"/>
                <w:color w:val="auto"/>
                <w:w w:val="93"/>
              </w:rPr>
              <w:t>Change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4"/>
          </w:tcPr>
          <w:p>
            <w:pPr>
              <w:jc w:val="right"/>
              <w:ind w:right="204"/>
              <w:spacing w:after="0"/>
              <w:rPr>
                <w:sz w:val="20"/>
                <w:szCs w:val="20"/>
                <w:color w:val="auto"/>
              </w:rPr>
            </w:pPr>
            <w:r>
              <w:rPr>
                <w:rFonts w:ascii="Arial" w:cs="Arial" w:eastAsia="Arial" w:hAnsi="Arial"/>
                <w:sz w:val="14"/>
                <w:szCs w:val="14"/>
                <w:b w:val="1"/>
                <w:bCs w:val="1"/>
                <w:color w:val="auto"/>
                <w:w w:val="95"/>
              </w:rPr>
              <w:t>Six Months Ended June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tcPr>
          <w:p>
            <w:pPr>
              <w:ind w:left="700"/>
              <w:spacing w:after="0"/>
              <w:rPr>
                <w:sz w:val="20"/>
                <w:szCs w:val="20"/>
                <w:color w:val="auto"/>
              </w:rPr>
            </w:pPr>
            <w:r>
              <w:rPr>
                <w:rFonts w:ascii="Arial" w:cs="Arial" w:eastAsia="Arial" w:hAnsi="Arial"/>
                <w:sz w:val="14"/>
                <w:szCs w:val="14"/>
                <w:b w:val="1"/>
                <w:bCs w:val="1"/>
                <w:color w:val="auto"/>
                <w:w w:val="97"/>
              </w:rPr>
              <w:t>Change</w:t>
            </w:r>
          </w:p>
        </w:tc>
        <w:tc>
          <w:tcPr>
            <w:tcW w:w="840" w:type="dxa"/>
            <w:vAlign w:val="bottom"/>
          </w:tcPr>
          <w:p>
            <w:pPr>
              <w:spacing w:after="0"/>
              <w:rPr>
                <w:sz w:val="16"/>
                <w:szCs w:val="16"/>
                <w:color w:val="auto"/>
              </w:rPr>
            </w:pPr>
          </w:p>
        </w:tc>
      </w:tr>
      <w:tr>
        <w:trPr>
          <w:trHeight w:val="39"/>
        </w:trPr>
        <w:tc>
          <w:tcPr>
            <w:tcW w:w="20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4"/>
        </w:trPr>
        <w:tc>
          <w:tcPr>
            <w:tcW w:w="20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16"/>
                <w:szCs w:val="16"/>
                <w:color w:val="auto"/>
              </w:rPr>
            </w:pPr>
          </w:p>
        </w:tc>
        <w:tc>
          <w:tcPr>
            <w:tcW w:w="940" w:type="dxa"/>
            <w:vAlign w:val="bottom"/>
          </w:tcPr>
          <w:p>
            <w:pPr>
              <w:jc w:val="right"/>
              <w:ind w:right="32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7"/>
              </w:rPr>
              <w:t>Percent</w:t>
            </w:r>
          </w:p>
        </w:tc>
        <w:tc>
          <w:tcPr>
            <w:tcW w:w="880" w:type="dxa"/>
            <w:vAlign w:val="bottom"/>
          </w:tcPr>
          <w:p>
            <w:pPr>
              <w:jc w:val="right"/>
              <w:ind w:right="30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2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40" w:type="dxa"/>
            <w:vAlign w:val="bottom"/>
          </w:tcPr>
          <w:p>
            <w:pPr>
              <w:jc w:val="right"/>
              <w:ind w:right="244"/>
              <w:spacing w:after="0"/>
              <w:rPr>
                <w:sz w:val="20"/>
                <w:szCs w:val="20"/>
                <w:color w:val="auto"/>
              </w:rPr>
            </w:pPr>
            <w:r>
              <w:rPr>
                <w:rFonts w:ascii="Arial" w:cs="Arial" w:eastAsia="Arial" w:hAnsi="Arial"/>
                <w:sz w:val="14"/>
                <w:szCs w:val="14"/>
                <w:b w:val="1"/>
                <w:bCs w:val="1"/>
                <w:color w:val="auto"/>
                <w:w w:val="97"/>
              </w:rPr>
              <w:t>Percent</w:t>
            </w:r>
          </w:p>
        </w:tc>
      </w:tr>
      <w:tr>
        <w:trPr>
          <w:trHeight w:val="26"/>
        </w:trPr>
        <w:tc>
          <w:tcPr>
            <w:tcW w:w="2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0"/>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(Benefit) provision for income</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6"/>
        </w:trPr>
        <w:tc>
          <w:tcPr>
            <w:tcW w:w="2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(122)%  $</w:t>
            </w: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227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1,190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33"/>
        </w:trPr>
        <w:tc>
          <w:tcPr>
            <w:tcW w:w="2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33" w:lineRule="exact"/>
        <w:rPr>
          <w:sz w:val="20"/>
          <w:szCs w:val="20"/>
          <w:color w:val="auto"/>
        </w:rPr>
      </w:pPr>
    </w:p>
    <w:p>
      <w:pPr>
        <w:jc w:val="both"/>
        <w:ind w:right="40"/>
        <w:spacing w:after="0" w:line="328" w:lineRule="auto"/>
        <w:rPr>
          <w:sz w:val="20"/>
          <w:szCs w:val="20"/>
          <w:color w:val="auto"/>
        </w:rPr>
      </w:pPr>
      <w:r>
        <w:rPr>
          <w:rFonts w:ascii="Arial" w:cs="Arial" w:eastAsia="Arial" w:hAnsi="Arial"/>
          <w:sz w:val="15"/>
          <w:szCs w:val="15"/>
          <w:color w:val="auto"/>
        </w:rPr>
        <w:t>The (benefit) provision for income taxes decreased in both the three months and six months ended June 30, 2023 compared to the three and six months ended June 30, 2022, primarily due to a discrete income tax benefit related to excess stock-based compensation deductions in the three months ended June 30, 2023.</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85"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We regularly review the following non-GAAP measure to evaluate our performance, identify trends affecting our business, prepare financial projections, and make strategic decisions. We believe that this non-GAAP measure provides meaningful supplemental information for management and investors in assessing our historical and future operating performance. The calculation of this non-GAAP measure discussed below may differ from other similarly titled metrics used by other companies, analysts, or investors.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We use Adjusted EBITDA, a non-GAAP financial measure to supplement net loss. Adjusted EBITDA is calculated as net loss adjusted by (i) interest (income) expense, net;</w:t>
      </w:r>
    </w:p>
    <w:p>
      <w:pPr>
        <w:spacing w:after="0" w:line="42" w:lineRule="exact"/>
        <w:rPr>
          <w:sz w:val="20"/>
          <w:szCs w:val="20"/>
          <w:color w:val="auto"/>
        </w:rPr>
      </w:pPr>
    </w:p>
    <w:p>
      <w:pPr>
        <w:ind w:right="140" w:firstLine="8"/>
        <w:spacing w:after="0" w:line="286" w:lineRule="auto"/>
        <w:tabs>
          <w:tab w:leader="none" w:pos="238" w:val="left"/>
        </w:tabs>
        <w:numPr>
          <w:ilvl w:val="0"/>
          <w:numId w:val="26"/>
        </w:numPr>
        <w:rPr>
          <w:rFonts w:ascii="Arial" w:cs="Arial" w:eastAsia="Arial" w:hAnsi="Arial"/>
          <w:sz w:val="15"/>
          <w:szCs w:val="15"/>
          <w:color w:val="auto"/>
        </w:rPr>
      </w:pPr>
      <w:r>
        <w:rPr>
          <w:rFonts w:ascii="Arial" w:cs="Arial" w:eastAsia="Arial" w:hAnsi="Arial"/>
          <w:sz w:val="15"/>
          <w:szCs w:val="15"/>
          <w:color w:val="auto"/>
        </w:rPr>
        <w:t>(benefit) provision for income taxes; (iii) noncash charge of depreciation and amortization; (iv) gains and losses from the remeasurement of foreign currency assets and liabilities into their functional currency; (v) noncash charges associated with our donation of common stock in connection with our Pledge 1% commitment; (vi) noncash stock-based compensation expense, net; and (vii) certain transaction and integration costs associated with acquisitions.</w:t>
      </w:r>
    </w:p>
    <w:p>
      <w:pPr>
        <w:spacing w:after="0" w:line="125"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Adjusted EBITDA is a key output measure used by our management to evaluate our operating performance, inform future operating plans, and make strategic long-term decisions, including those relating to operating expenses and the allocation of internal resources.</w:t>
      </w:r>
    </w:p>
    <w:p>
      <w:pPr>
        <w:spacing w:after="0" w:line="118" w:lineRule="exact"/>
        <w:rPr>
          <w:sz w:val="20"/>
          <w:szCs w:val="20"/>
          <w:color w:val="auto"/>
        </w:rPr>
      </w:pPr>
    </w:p>
    <w:p>
      <w:pPr>
        <w:ind w:right="760"/>
        <w:spacing w:after="0" w:line="293" w:lineRule="auto"/>
        <w:rPr>
          <w:sz w:val="20"/>
          <w:szCs w:val="20"/>
          <w:color w:val="auto"/>
        </w:rPr>
      </w:pPr>
      <w:r>
        <w:rPr>
          <w:rFonts w:ascii="Arial" w:cs="Arial" w:eastAsia="Arial" w:hAnsi="Arial"/>
          <w:sz w:val="16"/>
          <w:szCs w:val="16"/>
          <w:color w:val="auto"/>
        </w:rPr>
        <w:t>Adjusted EBITDA has limitations as a financial measure, should be considered as supplemental in nature, and is not meant as a substitute for the related financial information prepared in accordance with GAAP. These limitations include the following:</w:t>
      </w:r>
    </w:p>
    <w:p>
      <w:pPr>
        <w:spacing w:after="0" w:line="104" w:lineRule="exact"/>
        <w:rPr>
          <w:sz w:val="20"/>
          <w:szCs w:val="20"/>
          <w:color w:val="auto"/>
        </w:rPr>
      </w:pPr>
    </w:p>
    <w:p>
      <w:pPr>
        <w:ind w:left="660" w:right="480" w:hanging="328"/>
        <w:spacing w:after="0" w:line="332"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other capital commitments;</w:t>
      </w: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Adjusted EBITDA does not reflect changes in, or cash requirements for, our working capital needs;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Adjusted EBITDA does not reflect the effect of income taxes that may represent a reduction in cash available to us;</w:t>
      </w:r>
    </w:p>
    <w:p>
      <w:pPr>
        <w:spacing w:after="0" w:line="72"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Adjusted EBITDA does not reflect the effect of gains and losses from the remeasurement of foreign currency assets and liabilities into their functional currency;</w:t>
      </w:r>
    </w:p>
    <w:p>
      <w:pPr>
        <w:spacing w:after="0" w:line="70" w:lineRule="exact"/>
        <w:rPr>
          <w:rFonts w:ascii="Arial" w:cs="Arial" w:eastAsia="Arial" w:hAnsi="Arial"/>
          <w:sz w:val="15"/>
          <w:szCs w:val="15"/>
          <w:color w:val="auto"/>
        </w:rPr>
      </w:pPr>
    </w:p>
    <w:p>
      <w:pPr>
        <w:ind w:left="660" w:right="20" w:hanging="328"/>
        <w:spacing w:after="0" w:line="293"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Adjusted EBITDA excludes noncash charges associated with the donation of our common stock in connection with our Pledge 1% commitment, which is recorded in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2" w:name="page33"/>
    <w:bookmarkEnd w:id="32"/>
    <w:p>
      <w:pPr>
        <w:ind w:left="660" w:right="40" w:hanging="328"/>
        <w:spacing w:after="0" w:line="275"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Adjusted EBITDA excludes stock-based compensation expense, which has recently been, and will continue to be for the foreseeable future, a significant recurring expense for our business and an important part of our compensation strategy;</w:t>
      </w:r>
    </w:p>
    <w:p>
      <w:pPr>
        <w:spacing w:after="0" w:line="23" w:lineRule="exact"/>
        <w:rPr>
          <w:rFonts w:ascii="Arial" w:cs="Arial" w:eastAsia="Arial" w:hAnsi="Arial"/>
          <w:sz w:val="16"/>
          <w:szCs w:val="16"/>
          <w:color w:val="auto"/>
        </w:rPr>
      </w:pPr>
    </w:p>
    <w:p>
      <w:pPr>
        <w:jc w:val="both"/>
        <w:ind w:left="660" w:right="40" w:hanging="328"/>
        <w:spacing w:after="0" w:line="269"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Adjusted EBITDA excludes certain transaction costs, primarily acquisition and integration expenses related to the Rewire acquisition. Transaction costs primarily include external legal, accounting, valuation, and due diligence costs, advisory and other professional services fees necessary to integrate acquired businesses, and the change in the fair value of the holdback liability as part of the acquisition of Rewire; and</w:t>
      </w:r>
    </w:p>
    <w:p>
      <w:pPr>
        <w:spacing w:after="0" w:line="15" w:lineRule="exact"/>
        <w:rPr>
          <w:rFonts w:ascii="Arial" w:cs="Arial" w:eastAsia="Arial" w:hAnsi="Arial"/>
          <w:sz w:val="16"/>
          <w:szCs w:val="16"/>
          <w:color w:val="auto"/>
        </w:rPr>
      </w:pPr>
    </w:p>
    <w:p>
      <w:pPr>
        <w:ind w:left="660" w:right="520" w:hanging="328"/>
        <w:spacing w:after="0" w:line="275"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 companies, including companies in our industry, may calculate Adjusted EBITDA differently from how we calculate this measure or not at all, which reduces its usefulness as a comparative measure.</w:t>
      </w:r>
    </w:p>
    <w:p>
      <w:pPr>
        <w:spacing w:after="0" w:line="13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following table sets forth a reconciliation of net loss to Adjusted EBITDA, the most directly comparable financial measure prepared in accordance with GAAP, for each of the periods indicated:</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6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Six Months Ended June 30,</w:t>
            </w:r>
          </w:p>
        </w:tc>
      </w:tr>
      <w:tr>
        <w:trPr>
          <w:trHeight w:val="237"/>
        </w:trPr>
        <w:tc>
          <w:tcPr>
            <w:tcW w:w="46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37"/>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(18,850)</w:t>
            </w: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(38,245)</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(47,164)</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(61,555)</w:t>
            </w:r>
          </w:p>
        </w:tc>
      </w:tr>
      <w:tr>
        <w:trPr>
          <w:trHeight w:val="233"/>
        </w:trPr>
        <w:tc>
          <w:tcPr>
            <w:tcW w:w="4680" w:type="dxa"/>
            <w:vAlign w:val="bottom"/>
          </w:tcPr>
          <w:p>
            <w:pPr>
              <w:spacing w:after="0"/>
              <w:rPr>
                <w:sz w:val="20"/>
                <w:szCs w:val="20"/>
                <w:color w:val="auto"/>
              </w:rPr>
            </w:pPr>
            <w:r>
              <w:rPr>
                <w:rFonts w:ascii="Arial" w:cs="Arial" w:eastAsia="Arial" w:hAnsi="Arial"/>
                <w:sz w:val="16"/>
                <w:szCs w:val="16"/>
                <w:color w:val="auto"/>
              </w:rPr>
              <w:t>Add:</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4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(income) expense, net</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24"/>
        </w:trPr>
        <w:tc>
          <w:tcPr>
            <w:tcW w:w="4680" w:type="dxa"/>
            <w:vAlign w:val="bottom"/>
          </w:tcPr>
          <w:p>
            <w:pPr>
              <w:ind w:left="120"/>
              <w:spacing w:after="0"/>
              <w:rPr>
                <w:sz w:val="20"/>
                <w:szCs w:val="20"/>
                <w:color w:val="auto"/>
              </w:rPr>
            </w:pPr>
            <w:r>
              <w:rPr>
                <w:rFonts w:ascii="Arial" w:cs="Arial" w:eastAsia="Arial" w:hAnsi="Arial"/>
                <w:sz w:val="16"/>
                <w:szCs w:val="16"/>
                <w:color w:val="auto"/>
              </w:rPr>
              <w:t>(Benefit) provision for income taxes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1,190</w:t>
            </w:r>
          </w:p>
        </w:tc>
      </w:tr>
      <w:tr>
        <w:trPr>
          <w:trHeight w:val="33"/>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3,027</w:t>
            </w:r>
          </w:p>
        </w:tc>
      </w:tr>
      <w:tr>
        <w:trPr>
          <w:trHeight w:val="223"/>
        </w:trPr>
        <w:tc>
          <w:tcPr>
            <w:tcW w:w="4680" w:type="dxa"/>
            <w:vAlign w:val="bottom"/>
          </w:tcPr>
          <w:p>
            <w:pPr>
              <w:ind w:left="120"/>
              <w:spacing w:after="0"/>
              <w:rPr>
                <w:sz w:val="20"/>
                <w:szCs w:val="20"/>
                <w:color w:val="auto"/>
              </w:rPr>
            </w:pPr>
            <w:r>
              <w:rPr>
                <w:rFonts w:ascii="Arial" w:cs="Arial" w:eastAsia="Arial" w:hAnsi="Arial"/>
                <w:sz w:val="16"/>
                <w:szCs w:val="16"/>
                <w:color w:val="auto"/>
              </w:rPr>
              <w:t>Foreign exchange (gain) loss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(2,356)</w:t>
            </w:r>
          </w:p>
        </w:tc>
      </w:tr>
      <w:tr>
        <w:trPr>
          <w:trHeight w:val="33"/>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 expense, net</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35,200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32,541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64,434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42,135</w:t>
            </w:r>
          </w:p>
        </w:tc>
      </w:tr>
      <w:tr>
        <w:trPr>
          <w:trHeight w:val="240"/>
        </w:trPr>
        <w:tc>
          <w:tcPr>
            <w:tcW w:w="4680" w:type="dxa"/>
            <w:vAlign w:val="bottom"/>
          </w:tcPr>
          <w:p>
            <w:pPr>
              <w:ind w:left="120"/>
              <w:spacing w:after="0"/>
              <w:rPr>
                <w:sz w:val="20"/>
                <w:szCs w:val="20"/>
                <w:color w:val="auto"/>
              </w:rPr>
            </w:pPr>
            <w:r>
              <w:rPr>
                <w:rFonts w:ascii="Arial" w:cs="Arial" w:eastAsia="Arial" w:hAnsi="Arial"/>
                <w:sz w:val="16"/>
                <w:szCs w:val="16"/>
                <w:color w:val="auto"/>
              </w:rPr>
              <w:t>Transaction costs</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1,489</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20,416</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(17,389)</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Adjusted EBITDA was $20.4 million for the three months ended June 30, 2023, compared to $(5.3) million for the three months ended June 30, 2022. Adjusted EBITDA was $25.8 million for the six months ended June 30, 2023, compared to $(17.4) million for the six months ended June 30, 2022. The significant year over year increase in Adjusted EBITDA is primarily a result of revenue growth and increasing scale efficiencies in transaction expenses and marketing, partially offset by investments in our technology platform to support growth initiatives, including our acquisition of Rewire.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Sources of Liquidity and Material Future Cash Requirements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5"/>
          <w:szCs w:val="15"/>
          <w:color w:val="auto"/>
        </w:rPr>
        <w:t>As of June 30, 2023 and December 31, 2022, our principal sources of liquidity were cash and cash equivalents of $227.5 million and $300.6 million, respectively, as well as funds available under the New Revolving Credit Facility, which we entered into in September 2021. We have historically financed our operations and capital expenditures primarily through cash generated from operations including transaction fees and foreign exchange spreads. In recent periods, we have supplemented those cash flows with borrowings on our New Revolving Credit Facility, primarily to support customer transaction volumes during peak periods, which we expect to continue to do in the future. During the six months ended June 30, 2023, we borrowed $334.0 million against this credit facility, of which we repaid $300.0 million. The outstanding balance of $34.0 million as of June 30, 2023 was subsequently repaid the following business day on July 3, 2023. Operations continue to be substantially funded by the existing cash we have on hand and ongoing utilization of the New Revolving Credit Facility (including the letter of credit sub-facility), which has included active borrowings and repayments during 2023. As of June 30, 2023, we have unused borrowing capacity of $190.0 million.</w:t>
      </w:r>
    </w:p>
    <w:p>
      <w:pPr>
        <w:spacing w:after="0" w:line="122" w:lineRule="exact"/>
        <w:rPr>
          <w:sz w:val="20"/>
          <w:szCs w:val="20"/>
          <w:color w:val="auto"/>
        </w:rPr>
      </w:pPr>
    </w:p>
    <w:p>
      <w:pPr>
        <w:ind w:right="120"/>
        <w:spacing w:after="0" w:line="277" w:lineRule="auto"/>
        <w:rPr>
          <w:sz w:val="20"/>
          <w:szCs w:val="20"/>
          <w:color w:val="auto"/>
        </w:rPr>
      </w:pPr>
      <w:r>
        <w:rPr>
          <w:rFonts w:ascii="Arial" w:cs="Arial" w:eastAsia="Arial" w:hAnsi="Arial"/>
          <w:sz w:val="15"/>
          <w:szCs w:val="15"/>
          <w:color w:val="auto"/>
        </w:rPr>
        <w:t>We believe that our cash, cash equivalents, and funds available under the New Revolving Credit Facility will be sufficient to meet our working capital requirements for at least the next twelve months. Our material cash requirements include funds to support current and potential operating activities, capital expenditures, and other commitments, and could include other uses of cash, such as strategic investments. In addition, on January 5, 2023, we acquired 100% of the outstanding equity interests of Rewire (as defined herein) for approximately $77.9 million, which includes the fair value of cash and equity issued, or to be issued, to selling shareholders. A portion of these proceeds were held back at closing for any potential indemnity claims, which will be released after a 15-month holdback period, subject to any deductions, the majority of which will be settled in cash, with a portion in Company common stock. As of June 30, 2023, the fair value of the liability held back that will be settled in cash and Company common stock was $12.9 million and is expected to be settled in the next 12 months.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2" w:right="359" w:bottom="1440" w:gutter="0" w:footer="0" w:header="0"/>
        </w:sectPr>
      </w:pPr>
    </w:p>
    <w:bookmarkStart w:id="33" w:name="page34"/>
    <w:bookmarkEnd w:id="33"/>
    <w:p>
      <w:pPr>
        <w:ind w:right="40"/>
        <w:spacing w:after="0" w:line="277" w:lineRule="auto"/>
        <w:rPr>
          <w:sz w:val="20"/>
          <w:szCs w:val="20"/>
          <w:color w:val="auto"/>
        </w:rPr>
      </w:pPr>
      <w:r>
        <w:rPr>
          <w:rFonts w:ascii="Arial" w:cs="Arial" w:eastAsia="Arial" w:hAnsi="Arial"/>
          <w:sz w:val="15"/>
          <w:szCs w:val="15"/>
          <w:color w:val="auto"/>
        </w:rPr>
        <w:t>Our future capital requirements will depend on many factors, including our rate of revenue growth, the expansion of our sales and marketing activities, the timing and extent of expansion into new corridors, and the timing of introductions of new products and enhancements of existing products, and other strategic investments. Furthermore, certain jurisdictions where we operate require us to hold eligible liquid assets, based on regulatory or legal requirements, equal to the aggregate amount of all customer balances. In addition, as discussed elsewhere in this Quarterly Report on Form 10-Q, we expect that our operating expenses may continue to increase to support the continued growth of our business, including increased investments in our technology to support product improvements, new product development, and geographic expansion. We also routinely enter into marketing and advertising contracts, software subscriptions and other service arrangements, including cloud infrastructure arrangements, which are generally entered into in the ordinary course of business, and that can include minimum purchase quantities, requiring us to utilize cash on hand to fulfill these amounts. Refer to “Contractual Obligations and Commitments” discussed further below.</w:t>
      </w:r>
    </w:p>
    <w:p>
      <w:pPr>
        <w:spacing w:after="0" w:line="122"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color w:val="auto"/>
        </w:rPr>
        <w:t>In the future, we may also attempt to raise additional capital through the sale of equity securities or through equity-linked securities, and the ownership of our existing stockholders would be diluted. In addition,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are unfavorable to equity investors. There can be no assurances that we will be able to raise additional capital. The inability to raise capital would adversely affect our ability to achieve our business objectives.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 summary of our Condensed Consolidated Statements of Cash Flows for the periods presented:</w:t>
      </w:r>
    </w:p>
    <w:p>
      <w:pPr>
        <w:spacing w:after="0" w:line="217" w:lineRule="exact"/>
        <w:rPr>
          <w:sz w:val="20"/>
          <w:szCs w:val="20"/>
          <w:color w:val="auto"/>
        </w:rPr>
      </w:pPr>
    </w:p>
    <w:p>
      <w:pPr>
        <w:ind w:left="868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37465</wp:posOffset>
            </wp:positionV>
            <wp:extent cx="20491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4914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4"/>
        </w:trPr>
        <w:tc>
          <w:tcPr>
            <w:tcW w:w="8020" w:type="dxa"/>
            <w:vAlign w:val="bottom"/>
          </w:tcPr>
          <w:p>
            <w:pPr>
              <w:ind w:left="240"/>
              <w:spacing w:after="0"/>
              <w:rPr>
                <w:sz w:val="20"/>
                <w:szCs w:val="20"/>
                <w:color w:val="auto"/>
              </w:rPr>
            </w:pPr>
            <w:r>
              <w:rPr>
                <w:rFonts w:ascii="Arial" w:cs="Arial" w:eastAsia="Arial" w:hAnsi="Arial"/>
                <w:sz w:val="16"/>
                <w:szCs w:val="16"/>
                <w:color w:val="auto"/>
              </w:rPr>
              <w:t>Operating activities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center"/>
              <w:ind w:left="519"/>
              <w:spacing w:after="0"/>
              <w:rPr>
                <w:sz w:val="20"/>
                <w:szCs w:val="20"/>
                <w:color w:val="auto"/>
              </w:rPr>
            </w:pPr>
            <w:r>
              <w:rPr>
                <w:rFonts w:ascii="Arial" w:cs="Arial" w:eastAsia="Arial" w:hAnsi="Arial"/>
                <w:sz w:val="16"/>
                <w:szCs w:val="16"/>
                <w:color w:val="auto"/>
                <w:w w:val="93"/>
              </w:rPr>
              <w:t>(51,467)</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26,030</w:t>
            </w:r>
          </w:p>
        </w:tc>
      </w:tr>
      <w:tr>
        <w:trPr>
          <w:trHeight w:val="33"/>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Investing activities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center"/>
              <w:ind w:left="519"/>
              <w:spacing w:after="0"/>
              <w:rPr>
                <w:sz w:val="20"/>
                <w:szCs w:val="20"/>
                <w:color w:val="auto"/>
              </w:rPr>
            </w:pPr>
            <w:r>
              <w:rPr>
                <w:rFonts w:ascii="Arial" w:cs="Arial" w:eastAsia="Arial" w:hAnsi="Arial"/>
                <w:sz w:val="16"/>
                <w:szCs w:val="16"/>
                <w:color w:val="auto"/>
                <w:w w:val="93"/>
              </w:rPr>
              <w:t>(44,843)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(3,180)</w:t>
            </w:r>
          </w:p>
        </w:tc>
      </w:tr>
      <w:tr>
        <w:trPr>
          <w:trHeight w:val="224"/>
        </w:trPr>
        <w:tc>
          <w:tcPr>
            <w:tcW w:w="8020" w:type="dxa"/>
            <w:vAlign w:val="bottom"/>
          </w:tcPr>
          <w:p>
            <w:pPr>
              <w:ind w:left="240"/>
              <w:spacing w:after="0"/>
              <w:rPr>
                <w:sz w:val="20"/>
                <w:szCs w:val="20"/>
                <w:color w:val="auto"/>
              </w:rPr>
            </w:pPr>
            <w:r>
              <w:rPr>
                <w:rFonts w:ascii="Arial" w:cs="Arial" w:eastAsia="Arial" w:hAnsi="Arial"/>
                <w:sz w:val="16"/>
                <w:szCs w:val="16"/>
                <w:color w:val="auto"/>
              </w:rPr>
              <w:t>Financing activities</w:t>
            </w:r>
          </w:p>
        </w:tc>
        <w:tc>
          <w:tcPr>
            <w:tcW w:w="360" w:type="dxa"/>
            <w:vAlign w:val="bottom"/>
          </w:tcPr>
          <w:p>
            <w:pPr>
              <w:spacing w:after="0"/>
              <w:rPr>
                <w:sz w:val="19"/>
                <w:szCs w:val="19"/>
                <w:color w:val="auto"/>
              </w:rPr>
            </w:pPr>
          </w:p>
        </w:tc>
        <w:tc>
          <w:tcPr>
            <w:tcW w:w="1200" w:type="dxa"/>
            <w:vAlign w:val="bottom"/>
          </w:tcPr>
          <w:p>
            <w:pPr>
              <w:jc w:val="center"/>
              <w:ind w:left="539"/>
              <w:spacing w:after="0"/>
              <w:rPr>
                <w:sz w:val="20"/>
                <w:szCs w:val="20"/>
                <w:color w:val="auto"/>
              </w:rPr>
            </w:pPr>
            <w:r>
              <w:rPr>
                <w:rFonts w:ascii="Arial" w:cs="Arial" w:eastAsia="Arial" w:hAnsi="Arial"/>
                <w:sz w:val="16"/>
                <w:szCs w:val="16"/>
                <w:color w:val="auto"/>
                <w:w w:val="93"/>
              </w:rPr>
              <w:t>23,154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4,437</w:t>
            </w:r>
          </w:p>
        </w:tc>
      </w:tr>
    </w:tbl>
    <w:p>
      <w:pPr>
        <w:spacing w:after="0" w:line="266"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year over year change in our cash, cash equivalents, and restricted cash balances is primarily driven by timing of customer transaction-related balances to fund the weekend, as the June 30, 2023 quarter closed on a Friday, as opposed to a Thursday in prior year, as well as activity related to our acquisition of Rewire and our draws on the New Revolving Credit Facility, offset by repayments, further discussed below.</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Our main sources of operating cash are transaction fees charged to customers and foreign exchange spreads on transactions. Our primary uses of cash from operating activities have been for advertising expenses used to attract new customers, transaction expenses that include fees paid to payment processors and disbursement partners, personnel-related expenses, technology, and other general corporate expenditures. Our changes in operating cash flows are heavily impacted by the timing of customer transactions and, in particular, the day of the week that the quarter end falls on, including holidays and long weekends. For example we generally have higher prefunding amounts if the quarter closes on a weekend or in advance of a long weekend, such as a holiday, which creates variability in customer transaction-related balances period over period and can reduce our cash position at a particular point in time. These balances within our Condensed Consolidated Statements of Cash Flows include disbursement prefunding, customer funds receivable, customer liabilities, and book overdrafts and disbursement postfunding liabilities, both of which are included within the line item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Accrued expenses and other liabilities</w:t>
      </w:r>
      <w:r>
        <w:rPr>
          <w:rFonts w:ascii="Arial" w:cs="Arial" w:eastAsia="Arial" w:hAnsi="Arial"/>
          <w:sz w:val="16"/>
          <w:szCs w:val="16"/>
          <w:color w:val="auto"/>
        </w:rPr>
        <w:t>’.</w:t>
      </w:r>
    </w:p>
    <w:p>
      <w:pPr>
        <w:spacing w:after="0" w:line="163"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For the six months ended June 30, 2023, net cash used in operating activities was $51.5 million, which was primarily driven by an increase in overall growth in our global network of funding and disbursement partnerships and an increase in volume of customer transactions to support the holiday weekend, which encompassed both domestic and international holidays. Specifically, as a result of both growth and timing, we saw an increase disbursement prefunding of $117.9 million, offset by a decrease in customer funds receivable of $54.2 million, which were the key drivers for the unfavorable changes in our operating assets and liabilities of $77.2 million. This change in our operating assets and liabilities was also partially offset by cash generated from our operations, when excluding the $72.9 million of noncash charges included within the $47.2 million net loss for the period.</w:t>
      </w:r>
    </w:p>
    <w:p>
      <w:pPr>
        <w:spacing w:after="0" w:line="132" w:lineRule="exact"/>
        <w:rPr>
          <w:sz w:val="20"/>
          <w:szCs w:val="20"/>
          <w:color w:val="auto"/>
        </w:rPr>
      </w:pPr>
    </w:p>
    <w:p>
      <w:pPr>
        <w:ind w:right="60"/>
        <w:spacing w:after="0" w:line="280" w:lineRule="auto"/>
        <w:rPr>
          <w:sz w:val="20"/>
          <w:szCs w:val="20"/>
          <w:color w:val="auto"/>
        </w:rPr>
      </w:pPr>
      <w:r>
        <w:rPr>
          <w:rFonts w:ascii="Arial" w:cs="Arial" w:eastAsia="Arial" w:hAnsi="Arial"/>
          <w:sz w:val="15"/>
          <w:szCs w:val="15"/>
          <w:color w:val="auto"/>
        </w:rPr>
        <w:t>For the six months ended June 30, 2022, net cash provided by operating activities was $26.0 million, which primarily consisted of favorable changes in our operating assets and liabilities of $42.3 million, partially offset by a net loss of $61.6 million, and excluding $45.3 million of noncash charges included within net loss for the period. The main drivers for the favorable change in operating assets and liabilities were an increase in customer funds liability of $60.3 million due to growth in our business and timing of disbursements and an increase in accrued expenses and other liabilities of $50.4 million due to an increased amount of book overdrafts and disbursement postfunding liabilities driven by the timing of our cash transfers and settlement of customer liabilities. This was partially offset by an increase in disbursement prefunding of $39.9 million, which related to a higher than average balance as of the current period end to fund disbursement partners for expected send volume over a long holiday weekend, combined with an increase of $29.9 million in customer funds receivable due to timing of cash receipts from customers.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i w:val="1"/>
          <w:iCs w:val="1"/>
          <w:color w:val="auto"/>
        </w:rPr>
        <w:t>Investing Activities</w:t>
      </w:r>
    </w:p>
    <w:p>
      <w:pPr>
        <w:spacing w:after="0" w:line="167" w:lineRule="exact"/>
        <w:rPr>
          <w:sz w:val="20"/>
          <w:szCs w:val="20"/>
          <w:color w:val="auto"/>
        </w:rPr>
      </w:pPr>
    </w:p>
    <w:p>
      <w:pPr>
        <w:ind w:right="620"/>
        <w:spacing w:after="0" w:line="293" w:lineRule="auto"/>
        <w:rPr>
          <w:sz w:val="20"/>
          <w:szCs w:val="20"/>
          <w:color w:val="auto"/>
        </w:rPr>
      </w:pPr>
      <w:r>
        <w:rPr>
          <w:rFonts w:ascii="Arial" w:cs="Arial" w:eastAsia="Arial" w:hAnsi="Arial"/>
          <w:sz w:val="16"/>
          <w:szCs w:val="16"/>
          <w:color w:val="auto"/>
        </w:rPr>
        <w:t>Cash used in investing activities consists primarily of purchases of property and equipment, capitalization of internal-use software, and cash paid for acquisitions of businesses, net of acquired cash, cash equivalents, and restricted cash.</w:t>
      </w:r>
    </w:p>
    <w:p>
      <w:pPr>
        <w:spacing w:after="0" w:line="104" w:lineRule="exact"/>
        <w:rPr>
          <w:sz w:val="20"/>
          <w:szCs w:val="20"/>
          <w:color w:val="auto"/>
        </w:rPr>
      </w:pPr>
    </w:p>
    <w:p>
      <w:pPr>
        <w:ind w:right="320"/>
        <w:spacing w:after="0" w:line="328" w:lineRule="auto"/>
        <w:rPr>
          <w:sz w:val="20"/>
          <w:szCs w:val="20"/>
          <w:color w:val="auto"/>
        </w:rPr>
      </w:pPr>
      <w:r>
        <w:rPr>
          <w:rFonts w:ascii="Arial" w:cs="Arial" w:eastAsia="Arial" w:hAnsi="Arial"/>
          <w:sz w:val="15"/>
          <w:szCs w:val="15"/>
          <w:color w:val="auto"/>
        </w:rPr>
        <w:t>Net cash used in investing activities was $44.8 million for the six months ended June 30, 2023, primarily related to the acquisition of Rewire. Net cash used in investing activities also includes purchases of property and equipment to support the increase in headcount, and capitalization of internal-use software costs.</w:t>
      </w:r>
    </w:p>
    <w:p>
      <w:pPr>
        <w:spacing w:after="0" w:line="82" w:lineRule="exact"/>
        <w:rPr>
          <w:sz w:val="20"/>
          <w:szCs w:val="20"/>
          <w:color w:val="auto"/>
        </w:rPr>
      </w:pPr>
    </w:p>
    <w:p>
      <w:pPr>
        <w:ind w:right="480"/>
        <w:spacing w:after="0" w:line="275" w:lineRule="auto"/>
        <w:rPr>
          <w:sz w:val="20"/>
          <w:szCs w:val="20"/>
          <w:color w:val="auto"/>
        </w:rPr>
      </w:pPr>
      <w:r>
        <w:rPr>
          <w:rFonts w:ascii="Arial" w:cs="Arial" w:eastAsia="Arial" w:hAnsi="Arial"/>
          <w:sz w:val="16"/>
          <w:szCs w:val="16"/>
          <w:color w:val="auto"/>
        </w:rPr>
        <w:t>Net cash used in investing activities was $3.2 million for the six months ended June 30, 2022, primarily related to purchases of property and equipment to support the increase in headcount and capitalization of internal-use software costs.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6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Cash provided by financing activities consists primarily of borrowings on the Company’s line of credit and proceeds from the exercise of stock options, offset by repayments of borrowings and other indebtedness.</w:t>
      </w:r>
    </w:p>
    <w:p>
      <w:pPr>
        <w:spacing w:after="0" w:line="104"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Net cash provided by financing activities for the six months ended June 30, 2023 of $23.2 million was primarily driven by aggregate proceeds on the New Revolving Credit Facility of $334.0 million and proceeds from the exercise of stock options of $8.3 million, offset by aggregate repayments of borrowings on the New Revolving Credit Facility of $300.0 million and the repayment of assumed indebtedness of $17.1 million associated with the acquisition of Rewire.</w:t>
      </w:r>
    </w:p>
    <w:p>
      <w:pPr>
        <w:spacing w:after="0" w:line="12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Net cash provided by financing activities for the six months ended June 30, 2022 of $4.4 million was primarily driven by proceeds from the exercise of stock options of $4.5 million.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171" w:lineRule="exact"/>
        <w:rPr>
          <w:sz w:val="20"/>
          <w:szCs w:val="20"/>
          <w:color w:val="auto"/>
        </w:rPr>
      </w:pPr>
    </w:p>
    <w:p>
      <w:pPr>
        <w:ind w:right="60"/>
        <w:spacing w:after="0" w:line="279" w:lineRule="auto"/>
        <w:rPr>
          <w:sz w:val="20"/>
          <w:szCs w:val="20"/>
          <w:color w:val="auto"/>
        </w:rPr>
      </w:pPr>
      <w:r>
        <w:rPr>
          <w:rFonts w:ascii="Arial" w:cs="Arial" w:eastAsia="Arial" w:hAnsi="Arial"/>
          <w:sz w:val="15"/>
          <w:szCs w:val="15"/>
          <w:color w:val="auto"/>
        </w:rPr>
        <w:t>Our principal commitments consist of standby letters of credit, long-term leases, and other purchase commitments entered into in the normal course of business. In addition, we routinely enter into marketing and advertising contracts, software subscriptions or other service arrangements, including cloud infrastructure arrangements, that contractually obligate us to purchase services, including minimum service quantities, unless we give notice of cancellation based on the applicable terms of the agreements. Most contracts are typically cancelable within a period of less than one year, although some of our larger software or cloud service subscriptions require multi-year commitments. Changes in our business needs, contractual cancellation provisions, fluctuating interest rates, and other factors may result in actual payments differing from the estimates. We cannot provide certainty regarding the timing and amounts of these payments.</w:t>
      </w:r>
    </w:p>
    <w:p>
      <w:pPr>
        <w:spacing w:after="0" w:line="133" w:lineRule="exact"/>
        <w:rPr>
          <w:sz w:val="20"/>
          <w:szCs w:val="20"/>
          <w:color w:val="auto"/>
        </w:rPr>
      </w:pPr>
    </w:p>
    <w:p>
      <w:pPr>
        <w:jc w:val="both"/>
        <w:ind w:right="200"/>
        <w:spacing w:after="0" w:line="261" w:lineRule="auto"/>
        <w:rPr>
          <w:sz w:val="20"/>
          <w:szCs w:val="20"/>
          <w:color w:val="auto"/>
        </w:rPr>
      </w:pPr>
      <w:r>
        <w:rPr>
          <w:rFonts w:ascii="Arial" w:cs="Arial" w:eastAsia="Arial" w:hAnsi="Arial"/>
          <w:sz w:val="16"/>
          <w:szCs w:val="16"/>
          <w:color w:val="auto"/>
        </w:rPr>
        <w:t>In addition, on February 19, 2023, we entered into a lease for an office in Israel. This lease commenced in 2023 and will expire in 2027. Total incremental estimated cash payments that will be made over the course of the lease agreement total approximately $6.0 million. This lease has been recorded in accordance with ASC 842, Leases, on the Company’s Condensed Consolidated Balance Sheets as of June 30, 2023.</w:t>
      </w:r>
    </w:p>
    <w:p>
      <w:pPr>
        <w:spacing w:after="0" w:line="142"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 xml:space="preserve">During the six months ended June 30, 2023, other than software, cloud infrastructure, and marketing contracts entered into in the normal course of business, there were no other material changes to the contractual obligations and contingencies as disclosed in “Management’s Discussion and Analysis of Financial Condition and Results of Operations” set forth in our Annual Report on Form 10-K for the year ended December 31, 2022. For further discussion of commitments and contingencies, also refer to Note 14.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of the Notes to the Condensed Consolidated Financial Statements included in Part I, Item 1 of this Quarterly Report on Form 10-Q.</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71"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As of June 30, 2023, we had no material off-balance sheet arrangements that have, or are reasonably likely to have, a current or future material effect on our condensed consolidated financial condition, results of operations, liquidity, capital expenditures, or capital resources. From time to time we do enter into short-term leases that have lease terms of less than 12 months, and are typically month-to-month in nature. As described in the Notes to the Condensed Consolidated Financial Statements, we elected not to record leases on our Condensed Consolidated Balance Sheets if the lease term is 12 months or less. For further information on our lease arrangements, refer to our Annual Report on Form 10-K for the year ended December 31, 2022.</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71" w:lineRule="exact"/>
        <w:rPr>
          <w:sz w:val="20"/>
          <w:szCs w:val="20"/>
          <w:color w:val="auto"/>
        </w:rPr>
      </w:pPr>
    </w:p>
    <w:p>
      <w:pPr>
        <w:ind w:right="80"/>
        <w:spacing w:after="0" w:line="308" w:lineRule="auto"/>
        <w:rPr>
          <w:sz w:val="20"/>
          <w:szCs w:val="20"/>
          <w:color w:val="auto"/>
        </w:rPr>
      </w:pPr>
      <w:r>
        <w:rPr>
          <w:rFonts w:ascii="Arial" w:cs="Arial" w:eastAsia="Arial" w:hAnsi="Arial"/>
          <w:sz w:val="14"/>
          <w:szCs w:val="14"/>
          <w:color w:val="auto"/>
        </w:rPr>
        <w:t>The Company’s Condensed Consolidated Financial Statements and accompanying notes included in this Quarterly Report on Form 10-Q are prepared in accordance with GAAP. The preparation of these Condensed Consolidated Financial Statements requires management to make estimates, judgments and assumptions that affect the reported amounts of assets, liabilities, equity, revenue, expenses, and related disclosures. The Company’s estimates are based on historical experience and on various other factors that it believes are reasonable under the circumstances. Actual results may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01"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 xml:space="preserve">There have been no material changes, other than as described in Note 2. </w:t>
      </w:r>
      <w:r>
        <w:rPr>
          <w:rFonts w:ascii="Arial" w:cs="Arial" w:eastAsia="Arial" w:hAnsi="Arial"/>
          <w:sz w:val="16"/>
          <w:szCs w:val="16"/>
          <w:i w:val="1"/>
          <w:iCs w:val="1"/>
          <w:color w:val="auto"/>
        </w:rPr>
        <w:t>Basis of Presentation and Summary of Significant Accounting Policies</w:t>
      </w:r>
      <w:r>
        <w:rPr>
          <w:rFonts w:ascii="Arial" w:cs="Arial" w:eastAsia="Arial" w:hAnsi="Arial"/>
          <w:sz w:val="16"/>
          <w:szCs w:val="16"/>
          <w:color w:val="auto"/>
        </w:rPr>
        <w:t xml:space="preserve"> of the Notes to the Condensed Consolidated Financial Statements and as described below to the Company’s critical accounting policies and estimates as compared to those described in “Management’s Discussion and Analysis of Financial Condition and Results of Operations” set forth in our Annual Report on Form 10-K for the year ended December 31, 2022.</w:t>
      </w:r>
    </w:p>
    <w:p>
      <w:pPr>
        <w:sectPr>
          <w:pgSz w:w="11900" w:h="16838" w:orient="portrait"/>
          <w:cols w:equalWidth="0" w:num="1">
            <w:col w:w="11240"/>
          </w:cols>
          <w:pgMar w:left="320" w:top="11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b w:val="1"/>
          <w:bCs w:val="1"/>
          <w:i w:val="1"/>
          <w:iCs w:val="1"/>
          <w:color w:val="auto"/>
        </w:rPr>
        <w:t>Impairment of goodwill and other intangible assets</w:t>
      </w:r>
    </w:p>
    <w:p>
      <w:pPr>
        <w:spacing w:after="0" w:line="167"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Goodwill and indefinite-lived intangible assets are subject to an impairment assessment annually, or whenever events or changes in circumstances indicate that the carrying amount may not be fully recoverable. Long-lived assets, other than goodwill and indefinite-lived intangible assets, are tested for impairment whenever events or circumstances indicate that their carrying amount may not be recoverable. If the carrying value of the asset cannot be recovered from estimated future cash flows, undiscounted and without interest, the fair value of the asset is calculated using the present value of estimated net future cash flows. If the carrying amount of the asset exceeds its fair value, an impairment is recorded.</w:t>
      </w:r>
    </w:p>
    <w:p>
      <w:pPr>
        <w:spacing w:after="0" w:line="130" w:lineRule="exact"/>
        <w:rPr>
          <w:sz w:val="20"/>
          <w:szCs w:val="20"/>
          <w:color w:val="auto"/>
        </w:rPr>
      </w:pPr>
    </w:p>
    <w:p>
      <w:pPr>
        <w:ind w:right="540"/>
        <w:spacing w:after="0" w:line="293" w:lineRule="auto"/>
        <w:rPr>
          <w:sz w:val="20"/>
          <w:szCs w:val="20"/>
          <w:color w:val="auto"/>
        </w:rPr>
      </w:pPr>
      <w:r>
        <w:rPr>
          <w:rFonts w:ascii="Arial" w:cs="Arial" w:eastAsia="Arial" w:hAnsi="Arial"/>
          <w:sz w:val="16"/>
          <w:szCs w:val="16"/>
          <w:color w:val="auto"/>
        </w:rPr>
        <w:t>The impairment assessments involve the use of accounting estimates and assumptions, changes in which could materially impact our financial condition or operating performance if actual results differ from such estimates and assumptions.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85"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 xml:space="preserve">See Note 2. </w:t>
      </w:r>
      <w:r>
        <w:rPr>
          <w:rFonts w:ascii="Arial" w:cs="Arial" w:eastAsia="Arial" w:hAnsi="Arial"/>
          <w:sz w:val="16"/>
          <w:szCs w:val="16"/>
          <w:i w:val="1"/>
          <w:iCs w:val="1"/>
          <w:color w:val="auto"/>
        </w:rPr>
        <w:t>Basis of Presentation and Summary of Significant Accounting Policies</w:t>
      </w:r>
      <w:r>
        <w:rPr>
          <w:rFonts w:ascii="Arial" w:cs="Arial" w:eastAsia="Arial" w:hAnsi="Arial"/>
          <w:sz w:val="16"/>
          <w:szCs w:val="16"/>
          <w:color w:val="auto"/>
        </w:rPr>
        <w:t xml:space="preserve"> in the Company’s Notes to the Condensed Consolidated Financial Statements included in Part I, Item 1 of this Quarterly Report on Form 10-Q for a discussion of recent accounting pronouncements.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85" w:lineRule="exact"/>
        <w:rPr>
          <w:sz w:val="20"/>
          <w:szCs w:val="20"/>
          <w:color w:val="auto"/>
        </w:rPr>
      </w:pPr>
    </w:p>
    <w:p>
      <w:pPr>
        <w:jc w:val="both"/>
        <w:ind w:right="320"/>
        <w:spacing w:after="0" w:line="261" w:lineRule="auto"/>
        <w:rPr>
          <w:sz w:val="20"/>
          <w:szCs w:val="20"/>
          <w:color w:val="auto"/>
        </w:rPr>
      </w:pPr>
      <w:r>
        <w:rPr>
          <w:rFonts w:ascii="Arial" w:cs="Arial" w:eastAsia="Arial" w:hAnsi="Arial"/>
          <w:sz w:val="16"/>
          <w:szCs w:val="16"/>
          <w:color w:val="auto"/>
        </w:rPr>
        <w:t>Market risk is the potential for economic losses to be incurred on market risk-sensitive instruments arising from adverse changes in market factors such as interest rates, foreign currency exchange rates, and equity investment risk. Management establishes and oversees the implementation of policies governing our investing, funding, and foreign currency activities in order to mitigate market risks. We monitor risk exposures on an ongoing basis.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Risk</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5"/>
          <w:szCs w:val="15"/>
          <w:color w:val="auto"/>
        </w:rPr>
        <w:t>We have a limited number of pay-in payment processors and therefore we are exposed to credit risk relating to those pay-in payment providers if, in the course of a transaction, we were to disburse funds to the recipient but the pay-in payment provider did not deliver our customer’s funds to us (for example, due to their illiquidity). We mitigate this credit risk by engaging with reputable pay-in payment providers and entering into written agreements with pay-in providers allowing for legal recourse. We are also exposed to credit risk relating to many of our disbursement partners when we prefund or remit funds in advance of having collected funds from our customers through our pay-in payment processors, if our disbursement partners fail to disburse funds according to our instructions (for example, due to their insufficient capital). We mitigate these credit exposures by engaging with reputable disbursement partners and performing a credit review before onboarding each disbursement partner and by negotiating for post-funding arrangements where circumstances permit. We also periodically review credit ratings, or, if unavailable, other financial documentation, of both our pay-in payment providers and disbursement partners. We have not experienced significant losses during the periods presented.</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Exchange Rate Risk</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Given the nature of our business, we are exposed to foreign exchange rate risk in a number of ways. Our principal exposure to foreign exchange rate risk includes:</w:t>
      </w:r>
    </w:p>
    <w:p>
      <w:pPr>
        <w:spacing w:after="0" w:line="179" w:lineRule="exact"/>
        <w:rPr>
          <w:sz w:val="20"/>
          <w:szCs w:val="20"/>
          <w:color w:val="auto"/>
        </w:rPr>
      </w:pPr>
    </w:p>
    <w:p>
      <w:pPr>
        <w:ind w:left="660" w:hanging="328"/>
        <w:spacing w:after="0" w:line="259"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Exposure to foreign currency exchange risk on our cross-border payments if exchange rates fluctuate between initiation of the transaction and transaction disbursement to the recipient. We disburse transactions in multiple foreign currencies, including most notably the Indian rupee, the Mexican peso, and the Philippine peso. In the vast majority of cases, the recipient disbursement occurs within a day of sending, which mitigates foreign currency exchange risk. To enable disbursement in the receive currency, we prefund many disbursement partners one to two business days in advance based on expected send volume. Foreign exchange rate risk due to differences between the timing of transaction initiation and payment varies based on the day of the week and the bank holiday schedule; for example, disbursement prefunding is typically largest before long weekends.</w:t>
      </w:r>
    </w:p>
    <w:p>
      <w:pPr>
        <w:spacing w:after="0" w:line="145" w:lineRule="exact"/>
        <w:rPr>
          <w:rFonts w:ascii="Arial" w:cs="Arial" w:eastAsia="Arial" w:hAnsi="Arial"/>
          <w:sz w:val="16"/>
          <w:szCs w:val="16"/>
          <w:color w:val="auto"/>
        </w:rPr>
      </w:pPr>
    </w:p>
    <w:p>
      <w:pPr>
        <w:ind w:left="660" w:right="20" w:hanging="328"/>
        <w:spacing w:after="0" w:line="255"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While the majority of our revenue and expenses are denominated in the U.S. dollar, certain of our international operations are conducted in foreign currencies, a significant portion of which occur in Canada and Europe. Changes in the relative value of the U.S. dollar to other currencies may affect revenue and other operating results as expressed in U.S. dollars. In addition, certain of our international subsidiary financial statements are denominated in and operated in currencies outside of the U.S. dollar. As such, the Condensed Consolidated Financial Statements will continue to remain subject to the impact of foreign currency translation, as our international business continues to grow. In periods where other currencies weaken against the U.S. dollar, this can negatively impact our consolidated results which are reported in U.S. dollars.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6" w:name="page37"/>
    <w:bookmarkEnd w:id="36"/>
    <w:p>
      <w:pPr>
        <w:spacing w:after="0" w:line="275" w:lineRule="auto"/>
        <w:rPr>
          <w:sz w:val="20"/>
          <w:szCs w:val="20"/>
          <w:color w:val="auto"/>
        </w:rPr>
      </w:pPr>
      <w:r>
        <w:rPr>
          <w:rFonts w:ascii="Arial" w:cs="Arial" w:eastAsia="Arial" w:hAnsi="Arial"/>
          <w:sz w:val="15"/>
          <w:szCs w:val="15"/>
          <w:color w:val="auto"/>
        </w:rPr>
        <w:t>As of June 30, 2023 and December 31, 2022, a hypothetical uniform 10% strengthening or weakening in the value of the U.S. dollar relative to other currencies in which our net loss was generated, would have resulted in a decrease or increase to the fair value of our customer transaction-related assets and liabilities denominated in currencies other than the subsidiaries’ functional currencies of approximately $24.0 million and $10.2 million, respectively, based on our unhedged exposure to foreign currency at that date. There are inherent limitations in this sensitivity analysis, primarily due to the following assumptions: (1) foreign exchange rate movements are linear and instantaneous, (2) exposure is static, and (3) customer transaction behavior due to currency rate changes is static. As a result, the analysis is unable to reflect the potential effects of more complex market changes that could arise, which may positively or negatively affect our results from operations. For example, both the disbursement prefunding balance and the customer funds liability balance (and resulting net impact to our net currency position) may be highly variable day to day. In addition, changes in foreign exchange rates may impact customer behavior by altering the timing or volume of transactions sent through our platform. For example, an increase in the value of a send currency against a receive currency may accelerate the timing or amount of remittances.</w:t>
      </w:r>
    </w:p>
    <w:p>
      <w:pPr>
        <w:spacing w:after="0" w:line="138"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To the extent practicable, we minimize our foreign currency exposures by maintaining natural hedges between our current assets and current liabilities in similarly denominated foreign currencies. At this time, we do not enter into derivatives or other financial instruments in an attempt to hedge our foreign currency exchange risk. We may do so in the future, but it is difficult to predict the impact hedging activities would have on our operating results.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167" w:lineRule="exact"/>
        <w:rPr>
          <w:sz w:val="20"/>
          <w:szCs w:val="20"/>
          <w:color w:val="auto"/>
        </w:rPr>
      </w:pPr>
    </w:p>
    <w:p>
      <w:pPr>
        <w:jc w:val="both"/>
        <w:ind w:right="360"/>
        <w:spacing w:after="0" w:line="269" w:lineRule="auto"/>
        <w:rPr>
          <w:sz w:val="20"/>
          <w:szCs w:val="20"/>
          <w:color w:val="auto"/>
        </w:rPr>
      </w:pPr>
      <w:r>
        <w:rPr>
          <w:rFonts w:ascii="Arial" w:cs="Arial" w:eastAsia="Arial" w:hAnsi="Arial"/>
          <w:sz w:val="16"/>
          <w:szCs w:val="16"/>
          <w:color w:val="auto"/>
        </w:rPr>
        <w:t>Based on their evaluation as of June 30, 2023, our management, including our Chief Executive Officer and Chief Financial Officer, have concluded that our disclosure controls and procedures (as defined in Rules 13a-15(e) and 15d-15(e) under the Securities Exchange Act of 1934, as amended) were effective at a reasonable assurance level.</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changes in our internal control over financial reporting during the quarter ended June 30, 2023.</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2" w:right="35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Part II. Other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85" w:lineRule="exact"/>
        <w:rPr>
          <w:sz w:val="20"/>
          <w:szCs w:val="20"/>
          <w:color w:val="auto"/>
        </w:rPr>
      </w:pPr>
    </w:p>
    <w:p>
      <w:pPr>
        <w:ind w:right="660"/>
        <w:spacing w:after="0" w:line="275" w:lineRule="auto"/>
        <w:rPr>
          <w:sz w:val="20"/>
          <w:szCs w:val="20"/>
          <w:color w:val="auto"/>
        </w:rPr>
      </w:pPr>
      <w:r>
        <w:rPr>
          <w:rFonts w:ascii="Arial" w:cs="Arial" w:eastAsia="Arial" w:hAnsi="Arial"/>
          <w:sz w:val="16"/>
          <w:szCs w:val="16"/>
          <w:color w:val="auto"/>
        </w:rPr>
        <w:t>In the normal course of business, the Company occasionally becomes involved in various legal proceedings. In the opinion of management, any liability from such proceedings would not have a material adverse effect on the business or financial condition of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71"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In addition to the other information set forth in this Quarterly Report on Form 10-Q, you should carefully consider the factors discussed in Part I, Item 1A, “Risk Factors,” in our Annual Report on Form 10-K for the year ended December 31, 2022, which could materially affect our business, reputation, financial condition, future results, or the trading price of the Company’s stock. These are not the only risks facing the Company. Additional risks and uncertainties not currently known to us or that we currently deem to be immaterial also may materially adversely affect our business, reputation, financial condition, and/or operating results.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Sales of Unregistered Equity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Proceeds</w:t>
      </w:r>
    </w:p>
    <w:p>
      <w:pPr>
        <w:spacing w:after="0" w:line="167"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In September 2021, we completed our initial public offering (the “IPO”), in which we issued and sold 7,000,000 shares of our common stock at $43.00 per share. Concurrently, 5,162,777 shares were sold by certain of our existing stockholders. In addition, we concurrently issued 581,395 shares of common stock in a private placement at the same offering price as the IPO. We received net proceeds of $305.2 million for the IPO and private placement, after deducting underwriting discounts and other fees of $20.8 million. There has been no material change in the planned use of proceeds from our IPO as described in our final prospectus filed with the SEC on September 24, 2021 pursuant to Rule 424(b) under the Securities Act.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Issuer Purchase of Equity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Rule 10b5-1 and Non-Rule 10b5-1 Trading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During the three months ended June 30, 2023, none of our officers or directors adopted, modified or terminated any Rule 10b5-1 or non-Rule 10b5-1 trading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Item 6. Exhibits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580" w:type="dxa"/>
            <w:vAlign w:val="bottom"/>
            <w:gridSpan w:val="3"/>
          </w:tcPr>
          <w:p>
            <w:pPr>
              <w:ind w:left="48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6"/>
                <w:szCs w:val="16"/>
                <w:color w:val="auto"/>
              </w:rPr>
              <w:t>Exhibit</w:t>
            </w:r>
          </w:p>
        </w:tc>
        <w:tc>
          <w:tcPr>
            <w:tcW w:w="4420" w:type="dxa"/>
            <w:vAlign w:val="bottom"/>
            <w:gridSpan w:val="21"/>
          </w:tcPr>
          <w:p>
            <w:pPr>
              <w:spacing w:after="0"/>
              <w:rPr>
                <w:sz w:val="20"/>
                <w:szCs w:val="20"/>
                <w:color w:val="auto"/>
              </w:rPr>
            </w:pPr>
            <w:r>
              <w:rPr>
                <w:rFonts w:ascii="Arial" w:cs="Arial" w:eastAsia="Arial" w:hAnsi="Arial"/>
                <w:sz w:val="16"/>
                <w:szCs w:val="16"/>
                <w:color w:val="auto"/>
              </w:rPr>
              <w:t>Description</w:t>
            </w:r>
          </w:p>
        </w:tc>
        <w:tc>
          <w:tcPr>
            <w:tcW w:w="900" w:type="dxa"/>
            <w:vAlign w:val="bottom"/>
          </w:tcPr>
          <w:p>
            <w:pPr>
              <w:jc w:val="center"/>
              <w:ind w:right="19"/>
              <w:spacing w:after="0"/>
              <w:rPr>
                <w:sz w:val="20"/>
                <w:szCs w:val="20"/>
                <w:color w:val="auto"/>
              </w:rPr>
            </w:pPr>
            <w:r>
              <w:rPr>
                <w:rFonts w:ascii="Arial" w:cs="Arial" w:eastAsia="Arial" w:hAnsi="Arial"/>
                <w:sz w:val="16"/>
                <w:szCs w:val="16"/>
                <w:b w:val="1"/>
                <w:bCs w:val="1"/>
                <w:color w:val="auto"/>
                <w:w w:val="96"/>
              </w:rPr>
              <w:t>Filed</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6"/>
                <w:szCs w:val="16"/>
                <w:color w:val="auto"/>
              </w:rPr>
              <w:t>Number</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Herewith</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4"/>
              </w:rPr>
              <w:t>Form</w:t>
            </w:r>
          </w:p>
        </w:tc>
        <w:tc>
          <w:tcPr>
            <w:tcW w:w="1140" w:type="dxa"/>
            <w:vAlign w:val="bottom"/>
          </w:tcPr>
          <w:p>
            <w:pPr>
              <w:ind w:left="300"/>
              <w:spacing w:after="0"/>
              <w:rPr>
                <w:sz w:val="20"/>
                <w:szCs w:val="20"/>
                <w:color w:val="auto"/>
              </w:rPr>
            </w:pPr>
            <w:r>
              <w:rPr>
                <w:rFonts w:ascii="Arial" w:cs="Arial" w:eastAsia="Arial" w:hAnsi="Arial"/>
                <w:sz w:val="16"/>
                <w:szCs w:val="16"/>
                <w:b w:val="1"/>
                <w:bCs w:val="1"/>
                <w:color w:val="auto"/>
              </w:rPr>
              <w:t>File No.</w:t>
            </w:r>
          </w:p>
        </w:tc>
        <w:tc>
          <w:tcPr>
            <w:tcW w:w="920" w:type="dxa"/>
            <w:vAlign w:val="bottom"/>
          </w:tcPr>
          <w:p>
            <w:pPr>
              <w:ind w:left="180"/>
              <w:spacing w:after="0"/>
              <w:rPr>
                <w:sz w:val="20"/>
                <w:szCs w:val="20"/>
                <w:color w:val="auto"/>
              </w:rPr>
            </w:pPr>
            <w:r>
              <w:rPr>
                <w:rFonts w:ascii="Arial" w:cs="Arial" w:eastAsia="Arial" w:hAnsi="Arial"/>
                <w:sz w:val="16"/>
                <w:szCs w:val="16"/>
                <w:b w:val="1"/>
                <w:bCs w:val="1"/>
                <w:color w:val="auto"/>
              </w:rPr>
              <w:t>Exhibit</w:t>
            </w:r>
          </w:p>
        </w:tc>
        <w:tc>
          <w:tcPr>
            <w:tcW w:w="1520" w:type="dxa"/>
            <w:vAlign w:val="bottom"/>
          </w:tcPr>
          <w:p>
            <w:pPr>
              <w:jc w:val="center"/>
              <w:ind w:left="159"/>
              <w:spacing w:after="0"/>
              <w:rPr>
                <w:sz w:val="20"/>
                <w:szCs w:val="20"/>
                <w:color w:val="auto"/>
              </w:rPr>
            </w:pPr>
            <w:r>
              <w:rPr>
                <w:rFonts w:ascii="Arial" w:cs="Arial" w:eastAsia="Arial" w:hAnsi="Arial"/>
                <w:sz w:val="16"/>
                <w:szCs w:val="16"/>
                <w:b w:val="1"/>
                <w:bCs w:val="1"/>
                <w:color w:val="auto"/>
                <w:w w:val="92"/>
              </w:rPr>
              <w:t>Filing Date</w:t>
            </w:r>
          </w:p>
        </w:tc>
        <w:tc>
          <w:tcPr>
            <w:tcW w:w="0" w:type="dxa"/>
            <w:vAlign w:val="bottom"/>
          </w:tcPr>
          <w:p>
            <w:pPr>
              <w:spacing w:after="0"/>
              <w:rPr>
                <w:sz w:val="1"/>
                <w:szCs w:val="1"/>
                <w:color w:val="auto"/>
              </w:rPr>
            </w:pPr>
          </w:p>
        </w:tc>
      </w:tr>
      <w:tr>
        <w:trPr>
          <w:trHeight w:val="195"/>
        </w:trPr>
        <w:tc>
          <w:tcPr>
            <w:tcW w:w="960" w:type="dxa"/>
            <w:vAlign w:val="bottom"/>
          </w:tcPr>
          <w:p>
            <w:pPr>
              <w:jc w:val="center"/>
              <w:ind w:right="39"/>
              <w:spacing w:after="0"/>
              <w:rPr>
                <w:sz w:val="20"/>
                <w:szCs w:val="20"/>
                <w:color w:val="auto"/>
              </w:rPr>
            </w:pPr>
            <w:r>
              <w:rPr>
                <w:rFonts w:ascii="Arial" w:cs="Arial" w:eastAsia="Arial" w:hAnsi="Arial"/>
                <w:sz w:val="16"/>
                <w:szCs w:val="16"/>
                <w:color w:val="auto"/>
                <w:w w:val="89"/>
              </w:rPr>
              <w:t>3.1</w:t>
            </w:r>
          </w:p>
        </w:tc>
        <w:tc>
          <w:tcPr>
            <w:tcW w:w="4420" w:type="dxa"/>
            <w:vAlign w:val="bottom"/>
            <w:gridSpan w:val="21"/>
          </w:tcPr>
          <w:p>
            <w:pPr>
              <w:spacing w:after="0"/>
              <w:rPr>
                <w:rFonts w:ascii="Arial" w:cs="Arial" w:eastAsia="Arial" w:hAnsi="Arial"/>
                <w:sz w:val="16"/>
                <w:szCs w:val="16"/>
                <w:color w:val="0000FF"/>
              </w:rPr>
            </w:pPr>
            <w:hyperlink r:id="rId55">
              <w:r>
                <w:rPr>
                  <w:rFonts w:ascii="Arial" w:cs="Arial" w:eastAsia="Arial" w:hAnsi="Arial"/>
                  <w:sz w:val="16"/>
                  <w:szCs w:val="16"/>
                  <w:color w:val="0000FF"/>
                </w:rPr>
                <w:t>Amended and Restated Certificate of Incorporation</w:t>
              </w:r>
            </w:hyperlink>
          </w:p>
        </w:tc>
        <w:tc>
          <w:tcPr>
            <w:tcW w:w="9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001-40822</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3.3</w:t>
            </w:r>
          </w:p>
        </w:tc>
        <w:tc>
          <w:tcPr>
            <w:tcW w:w="1520" w:type="dxa"/>
            <w:vAlign w:val="bottom"/>
          </w:tcPr>
          <w:p>
            <w:pPr>
              <w:jc w:val="center"/>
              <w:ind w:left="159"/>
              <w:spacing w:after="0"/>
              <w:rPr>
                <w:sz w:val="20"/>
                <w:szCs w:val="20"/>
                <w:color w:val="auto"/>
              </w:rPr>
            </w:pPr>
            <w:r>
              <w:rPr>
                <w:rFonts w:ascii="Arial" w:cs="Arial" w:eastAsia="Arial" w:hAnsi="Arial"/>
                <w:sz w:val="16"/>
                <w:szCs w:val="16"/>
                <w:color w:val="auto"/>
                <w:w w:val="91"/>
              </w:rPr>
              <w:t>November 12, 2021</w:t>
            </w:r>
          </w:p>
        </w:tc>
        <w:tc>
          <w:tcPr>
            <w:tcW w:w="0" w:type="dxa"/>
            <w:vAlign w:val="bottom"/>
          </w:tcPr>
          <w:p>
            <w:pPr>
              <w:spacing w:after="0"/>
              <w:rPr>
                <w:sz w:val="1"/>
                <w:szCs w:val="1"/>
                <w:color w:val="auto"/>
              </w:rPr>
            </w:pPr>
          </w:p>
        </w:tc>
      </w:tr>
      <w:tr>
        <w:trPr>
          <w:trHeight w:val="223"/>
        </w:trPr>
        <w:tc>
          <w:tcPr>
            <w:tcW w:w="960" w:type="dxa"/>
            <w:vAlign w:val="bottom"/>
          </w:tcPr>
          <w:p>
            <w:pPr>
              <w:jc w:val="center"/>
              <w:ind w:right="39"/>
              <w:spacing w:after="0"/>
              <w:rPr>
                <w:sz w:val="20"/>
                <w:szCs w:val="20"/>
                <w:color w:val="auto"/>
              </w:rPr>
            </w:pPr>
            <w:r>
              <w:rPr>
                <w:rFonts w:ascii="Arial" w:cs="Arial" w:eastAsia="Arial" w:hAnsi="Arial"/>
                <w:sz w:val="16"/>
                <w:szCs w:val="16"/>
                <w:color w:val="auto"/>
                <w:w w:val="89"/>
              </w:rPr>
              <w:t>3.2</w:t>
            </w:r>
          </w:p>
        </w:tc>
        <w:tc>
          <w:tcPr>
            <w:tcW w:w="3320" w:type="dxa"/>
            <w:vAlign w:val="bottom"/>
            <w:tcBorders>
              <w:top w:val="single" w:sz="8" w:color="0000FF"/>
            </w:tcBorders>
            <w:gridSpan w:val="8"/>
          </w:tcPr>
          <w:p>
            <w:pPr>
              <w:spacing w:after="0"/>
              <w:rPr>
                <w:rFonts w:ascii="Arial" w:cs="Arial" w:eastAsia="Arial" w:hAnsi="Arial"/>
                <w:sz w:val="16"/>
                <w:szCs w:val="16"/>
                <w:color w:val="0000FF"/>
              </w:rPr>
            </w:pPr>
            <w:hyperlink r:id="rId56">
              <w:r>
                <w:rPr>
                  <w:rFonts w:ascii="Arial" w:cs="Arial" w:eastAsia="Arial" w:hAnsi="Arial"/>
                  <w:sz w:val="16"/>
                  <w:szCs w:val="16"/>
                  <w:color w:val="0000FF"/>
                </w:rPr>
                <w:t>Restated Bylaws</w:t>
              </w:r>
            </w:hyperlink>
          </w:p>
        </w:tc>
        <w:tc>
          <w:tcPr>
            <w:tcW w:w="1100" w:type="dxa"/>
            <w:vAlign w:val="bottom"/>
            <w:gridSpan w:val="13"/>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001-40822</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3.4</w:t>
            </w:r>
          </w:p>
        </w:tc>
        <w:tc>
          <w:tcPr>
            <w:tcW w:w="1520" w:type="dxa"/>
            <w:vAlign w:val="bottom"/>
          </w:tcPr>
          <w:p>
            <w:pPr>
              <w:jc w:val="center"/>
              <w:ind w:left="159"/>
              <w:spacing w:after="0"/>
              <w:rPr>
                <w:sz w:val="20"/>
                <w:szCs w:val="20"/>
                <w:color w:val="auto"/>
              </w:rPr>
            </w:pPr>
            <w:r>
              <w:rPr>
                <w:rFonts w:ascii="Arial" w:cs="Arial" w:eastAsia="Arial" w:hAnsi="Arial"/>
                <w:sz w:val="16"/>
                <w:szCs w:val="16"/>
                <w:color w:val="auto"/>
                <w:w w:val="91"/>
              </w:rPr>
              <w:t>November 12, 2021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jc w:val="center"/>
              <w:ind w:right="39"/>
              <w:spacing w:after="0"/>
              <w:rPr>
                <w:sz w:val="20"/>
                <w:szCs w:val="20"/>
                <w:color w:val="auto"/>
              </w:rPr>
            </w:pPr>
            <w:r>
              <w:rPr>
                <w:rFonts w:ascii="Arial" w:cs="Arial" w:eastAsia="Arial" w:hAnsi="Arial"/>
                <w:sz w:val="16"/>
                <w:szCs w:val="16"/>
                <w:color w:val="auto"/>
                <w:w w:val="89"/>
              </w:rPr>
              <w:t>10.1</w:t>
            </w:r>
          </w:p>
        </w:tc>
        <w:tc>
          <w:tcPr>
            <w:tcW w:w="4420" w:type="dxa"/>
            <w:vAlign w:val="bottom"/>
            <w:gridSpan w:val="21"/>
          </w:tcPr>
          <w:p>
            <w:pPr>
              <w:spacing w:after="0"/>
              <w:rPr>
                <w:rFonts w:ascii="Arial" w:cs="Arial" w:eastAsia="Arial" w:hAnsi="Arial"/>
                <w:sz w:val="16"/>
                <w:szCs w:val="16"/>
                <w:color w:val="0000FF"/>
              </w:rPr>
            </w:pPr>
            <w:hyperlink r:id="rId57">
              <w:r>
                <w:rPr>
                  <w:rFonts w:ascii="Arial" w:cs="Arial" w:eastAsia="Arial" w:hAnsi="Arial"/>
                  <w:sz w:val="16"/>
                  <w:szCs w:val="16"/>
                  <w:color w:val="0000FF"/>
                </w:rPr>
                <w:t>Forms of Change in Control and Severance Agreement for</w:t>
              </w:r>
            </w:hyperlink>
          </w:p>
        </w:tc>
        <w:tc>
          <w:tcPr>
            <w:tcW w:w="900" w:type="dxa"/>
            <w:vAlign w:val="bottom"/>
          </w:tcPr>
          <w:p>
            <w:pPr>
              <w:spacing w:after="0"/>
              <w:rPr>
                <w:sz w:val="18"/>
                <w:szCs w:val="18"/>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94"/>
              </w:rPr>
              <w:t>S-1/A</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w w:val="91"/>
              </w:rPr>
              <w:t>333-259167</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89"/>
              </w:rPr>
              <w:t>10.6</w:t>
            </w:r>
          </w:p>
        </w:tc>
        <w:tc>
          <w:tcPr>
            <w:tcW w:w="1520" w:type="dxa"/>
            <w:vAlign w:val="bottom"/>
            <w:vMerge w:val="restart"/>
          </w:tcPr>
          <w:p>
            <w:pPr>
              <w:jc w:val="center"/>
              <w:ind w:left="139"/>
              <w:spacing w:after="0"/>
              <w:rPr>
                <w:sz w:val="20"/>
                <w:szCs w:val="20"/>
                <w:color w:val="auto"/>
              </w:rPr>
            </w:pPr>
            <w:r>
              <w:rPr>
                <w:rFonts w:ascii="Arial" w:cs="Arial" w:eastAsia="Arial" w:hAnsi="Arial"/>
                <w:sz w:val="16"/>
                <w:szCs w:val="16"/>
                <w:color w:val="auto"/>
                <w:w w:val="89"/>
              </w:rPr>
              <w:t>September 14, 2021</w:t>
            </w: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16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w w:val="92"/>
              </w:rPr>
            </w:pPr>
            <w:hyperlink r:id="rId57">
              <w:r>
                <w:rPr>
                  <w:rFonts w:ascii="Arial" w:cs="Arial" w:eastAsia="Arial" w:hAnsi="Arial"/>
                  <w:sz w:val="16"/>
                  <w:szCs w:val="16"/>
                  <w:color w:val="0000FF"/>
                  <w:w w:val="92"/>
                </w:rPr>
                <w:t>executive officers</w:t>
              </w:r>
            </w:hyperlink>
          </w:p>
        </w:tc>
        <w:tc>
          <w:tcPr>
            <w:tcW w:w="2620" w:type="dxa"/>
            <w:vAlign w:val="bottom"/>
            <w:tcBorders>
              <w:top w:val="single" w:sz="8" w:color="0000FF"/>
            </w:tcBorders>
            <w:gridSpan w:val="6"/>
          </w:tcPr>
          <w:p>
            <w:pPr>
              <w:spacing w:after="0"/>
              <w:rPr>
                <w:sz w:val="14"/>
                <w:szCs w:val="14"/>
                <w:color w:val="auto"/>
              </w:rPr>
            </w:pPr>
          </w:p>
        </w:tc>
        <w:tc>
          <w:tcPr>
            <w:tcW w:w="640" w:type="dxa"/>
            <w:vAlign w:val="bottom"/>
            <w:gridSpan w:val="12"/>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60" w:type="dxa"/>
            <w:vAlign w:val="bottom"/>
          </w:tcPr>
          <w:p>
            <w:pPr>
              <w:jc w:val="center"/>
              <w:ind w:right="39"/>
              <w:spacing w:after="0"/>
              <w:rPr>
                <w:sz w:val="20"/>
                <w:szCs w:val="20"/>
                <w:color w:val="auto"/>
              </w:rPr>
            </w:pPr>
            <w:r>
              <w:rPr>
                <w:rFonts w:ascii="Arial" w:cs="Arial" w:eastAsia="Arial" w:hAnsi="Arial"/>
                <w:sz w:val="16"/>
                <w:szCs w:val="16"/>
                <w:color w:val="auto"/>
                <w:w w:val="89"/>
              </w:rPr>
              <w:t>10.2</w:t>
            </w:r>
          </w:p>
        </w:tc>
        <w:tc>
          <w:tcPr>
            <w:tcW w:w="4420" w:type="dxa"/>
            <w:vAlign w:val="bottom"/>
            <w:gridSpan w:val="21"/>
          </w:tcPr>
          <w:p>
            <w:pPr>
              <w:spacing w:after="0"/>
              <w:rPr>
                <w:rFonts w:ascii="Arial" w:cs="Arial" w:eastAsia="Arial" w:hAnsi="Arial"/>
                <w:sz w:val="16"/>
                <w:szCs w:val="16"/>
                <w:color w:val="0000FF"/>
                <w:w w:val="95"/>
              </w:rPr>
            </w:pPr>
            <w:hyperlink r:id="rId58">
              <w:r>
                <w:rPr>
                  <w:rFonts w:ascii="Arial" w:cs="Arial" w:eastAsia="Arial" w:hAnsi="Arial"/>
                  <w:sz w:val="16"/>
                  <w:szCs w:val="16"/>
                  <w:color w:val="0000FF"/>
                  <w:w w:val="95"/>
                </w:rPr>
                <w:t>Amended and Restated Offer Letter, dated as of April 6, 2023, by</w:t>
              </w:r>
            </w:hyperlink>
          </w:p>
        </w:tc>
        <w:tc>
          <w:tcPr>
            <w:tcW w:w="9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001-40822</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520" w:type="dxa"/>
            <w:vAlign w:val="bottom"/>
          </w:tcPr>
          <w:p>
            <w:pPr>
              <w:jc w:val="center"/>
              <w:ind w:left="159"/>
              <w:spacing w:after="0"/>
              <w:rPr>
                <w:sz w:val="20"/>
                <w:szCs w:val="20"/>
                <w:color w:val="auto"/>
              </w:rPr>
            </w:pPr>
            <w:r>
              <w:rPr>
                <w:rFonts w:ascii="Arial" w:cs="Arial" w:eastAsia="Arial" w:hAnsi="Arial"/>
                <w:sz w:val="16"/>
                <w:szCs w:val="16"/>
                <w:color w:val="auto"/>
                <w:w w:val="95"/>
              </w:rPr>
              <w:t>May 8, 2023</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4240" w:type="dxa"/>
            <w:vAlign w:val="bottom"/>
            <w:tcBorders>
              <w:top w:val="single" w:sz="8" w:color="0000FF"/>
            </w:tcBorders>
            <w:gridSpan w:val="16"/>
          </w:tcPr>
          <w:p>
            <w:pPr>
              <w:spacing w:after="0" w:line="155" w:lineRule="exact"/>
              <w:rPr>
                <w:rFonts w:ascii="Arial" w:cs="Arial" w:eastAsia="Arial" w:hAnsi="Arial"/>
                <w:sz w:val="16"/>
                <w:szCs w:val="16"/>
                <w:color w:val="0000FF"/>
              </w:rPr>
            </w:pPr>
            <w:hyperlink r:id="rId58">
              <w:r>
                <w:rPr>
                  <w:rFonts w:ascii="Arial" w:cs="Arial" w:eastAsia="Arial" w:hAnsi="Arial"/>
                  <w:sz w:val="16"/>
                  <w:szCs w:val="16"/>
                  <w:color w:val="0000FF"/>
                </w:rPr>
                <w:t>and between the Registrant and Rene Yoakum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jc w:val="center"/>
              <w:ind w:right="39"/>
              <w:spacing w:after="0"/>
              <w:rPr>
                <w:sz w:val="20"/>
                <w:szCs w:val="20"/>
                <w:color w:val="auto"/>
              </w:rPr>
            </w:pPr>
            <w:r>
              <w:rPr>
                <w:rFonts w:ascii="Arial" w:cs="Arial" w:eastAsia="Arial" w:hAnsi="Arial"/>
                <w:sz w:val="16"/>
                <w:szCs w:val="16"/>
                <w:color w:val="auto"/>
                <w:w w:val="89"/>
              </w:rPr>
              <w:t>10.3</w:t>
            </w:r>
          </w:p>
        </w:tc>
        <w:tc>
          <w:tcPr>
            <w:tcW w:w="4420" w:type="dxa"/>
            <w:vAlign w:val="bottom"/>
            <w:gridSpan w:val="21"/>
          </w:tcPr>
          <w:p>
            <w:pPr>
              <w:spacing w:after="0"/>
              <w:rPr>
                <w:rFonts w:ascii="Arial" w:cs="Arial" w:eastAsia="Arial" w:hAnsi="Arial"/>
                <w:sz w:val="16"/>
                <w:szCs w:val="16"/>
                <w:color w:val="0000FF"/>
                <w:w w:val="95"/>
              </w:rPr>
            </w:pPr>
            <w:hyperlink r:id="rId59">
              <w:r>
                <w:rPr>
                  <w:rFonts w:ascii="Arial" w:cs="Arial" w:eastAsia="Arial" w:hAnsi="Arial"/>
                  <w:sz w:val="16"/>
                  <w:szCs w:val="16"/>
                  <w:color w:val="0000FF"/>
                  <w:w w:val="95"/>
                </w:rPr>
                <w:t>Amended and Restated Offer Letter, dated as of April 6, 2023, by</w:t>
              </w:r>
            </w:hyperlink>
          </w:p>
        </w:tc>
        <w:tc>
          <w:tcPr>
            <w:tcW w:w="9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001-40822</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520" w:type="dxa"/>
            <w:vAlign w:val="bottom"/>
          </w:tcPr>
          <w:p>
            <w:pPr>
              <w:jc w:val="center"/>
              <w:ind w:left="159"/>
              <w:spacing w:after="0"/>
              <w:rPr>
                <w:sz w:val="20"/>
                <w:szCs w:val="20"/>
                <w:color w:val="auto"/>
              </w:rPr>
            </w:pPr>
            <w:r>
              <w:rPr>
                <w:rFonts w:ascii="Arial" w:cs="Arial" w:eastAsia="Arial" w:hAnsi="Arial"/>
                <w:sz w:val="16"/>
                <w:szCs w:val="16"/>
                <w:color w:val="auto"/>
                <w:w w:val="95"/>
              </w:rPr>
              <w:t>May 8, 2023</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4240" w:type="dxa"/>
            <w:vAlign w:val="bottom"/>
            <w:tcBorders>
              <w:top w:val="single" w:sz="8" w:color="0000FF"/>
            </w:tcBorders>
            <w:gridSpan w:val="16"/>
          </w:tcPr>
          <w:p>
            <w:pPr>
              <w:spacing w:after="0" w:line="155" w:lineRule="exact"/>
              <w:rPr>
                <w:rFonts w:ascii="Arial" w:cs="Arial" w:eastAsia="Arial" w:hAnsi="Arial"/>
                <w:sz w:val="16"/>
                <w:szCs w:val="16"/>
                <w:color w:val="0000FF"/>
              </w:rPr>
            </w:pPr>
            <w:hyperlink r:id="rId59">
              <w:r>
                <w:rPr>
                  <w:rFonts w:ascii="Arial" w:cs="Arial" w:eastAsia="Arial" w:hAnsi="Arial"/>
                  <w:sz w:val="16"/>
                  <w:szCs w:val="16"/>
                  <w:color w:val="0000FF"/>
                </w:rPr>
                <w:t>and between the Registrant and Ankur Sinha</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jc w:val="center"/>
              <w:ind w:right="39"/>
              <w:spacing w:after="0"/>
              <w:rPr>
                <w:sz w:val="20"/>
                <w:szCs w:val="20"/>
                <w:color w:val="auto"/>
              </w:rPr>
            </w:pPr>
            <w:r>
              <w:rPr>
                <w:rFonts w:ascii="Arial" w:cs="Arial" w:eastAsia="Arial" w:hAnsi="Arial"/>
                <w:sz w:val="16"/>
                <w:szCs w:val="16"/>
                <w:color w:val="auto"/>
                <w:w w:val="89"/>
              </w:rPr>
              <w:t>10.4</w:t>
            </w:r>
          </w:p>
        </w:tc>
        <w:tc>
          <w:tcPr>
            <w:tcW w:w="4420" w:type="dxa"/>
            <w:vAlign w:val="bottom"/>
            <w:gridSpan w:val="21"/>
          </w:tcPr>
          <w:p>
            <w:pPr>
              <w:spacing w:after="0"/>
              <w:rPr>
                <w:sz w:val="20"/>
                <w:szCs w:val="20"/>
                <w:color w:val="auto"/>
              </w:rPr>
            </w:pPr>
            <w:r>
              <w:rPr>
                <w:rFonts w:ascii="Arial" w:cs="Arial" w:eastAsia="Arial" w:hAnsi="Arial"/>
                <w:sz w:val="16"/>
                <w:szCs w:val="16"/>
                <w:color w:val="0000FF"/>
                <w:w w:val="96"/>
              </w:rPr>
              <w:t>Amendment No. 1, dated June 26, 2023, to the Revolving Credit</w:t>
            </w: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13"/>
          </w:tcPr>
          <w:p>
            <w:pPr>
              <w:spacing w:after="0" w:line="155" w:lineRule="exact"/>
              <w:rPr>
                <w:sz w:val="20"/>
                <w:szCs w:val="20"/>
                <w:color w:val="auto"/>
              </w:rPr>
            </w:pPr>
            <w:r>
              <w:rPr>
                <w:rFonts w:ascii="Arial" w:cs="Arial" w:eastAsia="Arial" w:hAnsi="Arial"/>
                <w:sz w:val="16"/>
                <w:szCs w:val="16"/>
                <w:color w:val="0000FF"/>
                <w:w w:val="89"/>
              </w:rPr>
              <w:t>and Guaranty Agreement dated as of September 13, 2021 among</w:t>
            </w: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4420" w:type="dxa"/>
            <w:vAlign w:val="bottom"/>
            <w:gridSpan w:val="21"/>
          </w:tcPr>
          <w:p>
            <w:pPr>
              <w:spacing w:after="0" w:line="169" w:lineRule="exact"/>
              <w:rPr>
                <w:sz w:val="20"/>
                <w:szCs w:val="20"/>
                <w:color w:val="auto"/>
              </w:rPr>
            </w:pPr>
            <w:r>
              <w:rPr>
                <w:rFonts w:ascii="Arial" w:cs="Arial" w:eastAsia="Arial" w:hAnsi="Arial"/>
                <w:sz w:val="16"/>
                <w:szCs w:val="16"/>
                <w:color w:val="0000FF"/>
              </w:rPr>
              <w:t>Remitly Global, Inc. and Remitly, Inc., the guarantors party</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3860" w:type="dxa"/>
            <w:vAlign w:val="bottom"/>
            <w:tcBorders>
              <w:top w:val="single" w:sz="8" w:color="0000FF"/>
            </w:tcBorders>
            <w:gridSpan w:val="11"/>
          </w:tcPr>
          <w:p>
            <w:pPr>
              <w:spacing w:after="0" w:line="155" w:lineRule="exact"/>
              <w:rPr>
                <w:sz w:val="20"/>
                <w:szCs w:val="20"/>
                <w:color w:val="auto"/>
              </w:rPr>
            </w:pPr>
            <w:r>
              <w:rPr>
                <w:rFonts w:ascii="Arial" w:cs="Arial" w:eastAsia="Arial" w:hAnsi="Arial"/>
                <w:sz w:val="16"/>
                <w:szCs w:val="16"/>
                <w:color w:val="0000FF"/>
                <w:w w:val="89"/>
              </w:rPr>
              <w:t>thereto, the lenders and issuing banks party thereto and J.P.</w:t>
            </w:r>
          </w:p>
        </w:tc>
        <w:tc>
          <w:tcPr>
            <w:tcW w:w="2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restart"/>
          </w:tcPr>
          <w:p>
            <w:pPr>
              <w:jc w:val="center"/>
              <w:ind w:right="19"/>
              <w:spacing w:after="0"/>
              <w:rPr>
                <w:sz w:val="20"/>
                <w:szCs w:val="20"/>
                <w:color w:val="auto"/>
              </w:rPr>
            </w:pPr>
            <w:r>
              <w:rPr>
                <w:rFonts w:ascii="Arial" w:cs="Arial" w:eastAsia="Arial" w:hAnsi="Arial"/>
                <w:sz w:val="16"/>
                <w:szCs w:val="16"/>
                <w:color w:val="auto"/>
                <w:w w:val="99"/>
              </w:rPr>
              <w:t>x</w:t>
            </w: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3820" w:type="dxa"/>
            <w:vAlign w:val="bottom"/>
            <w:tcBorders>
              <w:top w:val="single" w:sz="8" w:color="0000FF"/>
            </w:tcBorders>
            <w:gridSpan w:val="10"/>
          </w:tcPr>
          <w:p>
            <w:pPr>
              <w:spacing w:after="0" w:line="155" w:lineRule="exact"/>
              <w:rPr>
                <w:sz w:val="20"/>
                <w:szCs w:val="20"/>
                <w:color w:val="auto"/>
              </w:rPr>
            </w:pPr>
            <w:r>
              <w:rPr>
                <w:rFonts w:ascii="Arial" w:cs="Arial" w:eastAsia="Arial" w:hAnsi="Arial"/>
                <w:sz w:val="16"/>
                <w:szCs w:val="16"/>
                <w:color w:val="0000FF"/>
              </w:rPr>
              <w:t>Morgan Chase Bank, N.A.</w:t>
            </w:r>
          </w:p>
        </w:tc>
        <w:tc>
          <w:tcPr>
            <w:tcW w:w="26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jc w:val="center"/>
              <w:ind w:right="39"/>
              <w:spacing w:after="0"/>
              <w:rPr>
                <w:sz w:val="20"/>
                <w:szCs w:val="20"/>
                <w:color w:val="auto"/>
              </w:rPr>
            </w:pPr>
            <w:r>
              <w:rPr>
                <w:rFonts w:ascii="Arial" w:cs="Arial" w:eastAsia="Arial" w:hAnsi="Arial"/>
                <w:sz w:val="16"/>
                <w:szCs w:val="16"/>
                <w:color w:val="auto"/>
                <w:w w:val="89"/>
              </w:rPr>
              <w:t>31.1</w:t>
            </w:r>
          </w:p>
        </w:tc>
        <w:tc>
          <w:tcPr>
            <w:tcW w:w="4420" w:type="dxa"/>
            <w:vAlign w:val="bottom"/>
            <w:gridSpan w:val="21"/>
          </w:tcPr>
          <w:p>
            <w:pPr>
              <w:spacing w:after="0"/>
              <w:rPr>
                <w:sz w:val="20"/>
                <w:szCs w:val="20"/>
                <w:color w:val="auto"/>
              </w:rPr>
            </w:pPr>
            <w:r>
              <w:rPr>
                <w:rFonts w:ascii="Arial" w:cs="Arial" w:eastAsia="Arial" w:hAnsi="Arial"/>
                <w:sz w:val="16"/>
                <w:szCs w:val="16"/>
                <w:color w:val="0000FF"/>
                <w:w w:val="95"/>
              </w:rPr>
              <w:t>Certification of Principal Executive Officer Pursuant to Rules 13a-</w:t>
            </w: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19"/>
          </w:tcPr>
          <w:p>
            <w:pPr>
              <w:spacing w:after="0" w:line="155" w:lineRule="exact"/>
              <w:rPr>
                <w:sz w:val="20"/>
                <w:szCs w:val="20"/>
                <w:color w:val="auto"/>
              </w:rPr>
            </w:pPr>
            <w:r>
              <w:rPr>
                <w:rFonts w:ascii="Arial" w:cs="Arial" w:eastAsia="Arial" w:hAnsi="Arial"/>
                <w:sz w:val="16"/>
                <w:szCs w:val="16"/>
                <w:color w:val="0000FF"/>
                <w:w w:val="90"/>
              </w:rPr>
              <w:t>14(a) and 15d-14(a) under the Securities Exchange Act of 1934, as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4420" w:type="dxa"/>
            <w:vAlign w:val="bottom"/>
            <w:gridSpan w:val="21"/>
          </w:tcPr>
          <w:p>
            <w:pPr>
              <w:spacing w:after="0" w:line="169" w:lineRule="exact"/>
              <w:rPr>
                <w:sz w:val="20"/>
                <w:szCs w:val="20"/>
                <w:color w:val="auto"/>
              </w:rPr>
            </w:pPr>
            <w:r>
              <w:rPr>
                <w:rFonts w:ascii="Arial" w:cs="Arial" w:eastAsia="Arial" w:hAnsi="Arial"/>
                <w:sz w:val="16"/>
                <w:szCs w:val="16"/>
                <w:color w:val="0000FF"/>
                <w:w w:val="99"/>
              </w:rPr>
              <w:t>Adopted Pursuant to Section 302 of the Sarbanes-Oxley Act of</w:t>
            </w:r>
          </w:p>
        </w:tc>
        <w:tc>
          <w:tcPr>
            <w:tcW w:w="900" w:type="dxa"/>
            <w:vAlign w:val="bottom"/>
            <w:vMerge w:val="restart"/>
          </w:tcPr>
          <w:p>
            <w:pPr>
              <w:jc w:val="center"/>
              <w:ind w:right="19"/>
              <w:spacing w:after="0"/>
              <w:rPr>
                <w:sz w:val="20"/>
                <w:szCs w:val="20"/>
                <w:color w:val="auto"/>
              </w:rPr>
            </w:pPr>
            <w:r>
              <w:rPr>
                <w:rFonts w:ascii="Arial" w:cs="Arial" w:eastAsia="Arial" w:hAnsi="Arial"/>
                <w:sz w:val="16"/>
                <w:szCs w:val="16"/>
                <w:color w:val="auto"/>
                <w:w w:val="99"/>
              </w:rPr>
              <w:t>x</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320" w:type="dxa"/>
            <w:vAlign w:val="bottom"/>
            <w:tcBorders>
              <w:top w:val="single" w:sz="8" w:color="0000FF"/>
              <w:bottom w:val="single" w:sz="8" w:color="0000FF"/>
            </w:tcBorders>
          </w:tcPr>
          <w:p>
            <w:pPr>
              <w:spacing w:after="0" w:line="155" w:lineRule="exact"/>
              <w:rPr>
                <w:sz w:val="20"/>
                <w:szCs w:val="20"/>
                <w:color w:val="auto"/>
              </w:rPr>
            </w:pPr>
            <w:r>
              <w:rPr>
                <w:rFonts w:ascii="Arial" w:cs="Arial" w:eastAsia="Arial" w:hAnsi="Arial"/>
                <w:sz w:val="16"/>
                <w:szCs w:val="16"/>
                <w:color w:val="0000FF"/>
                <w:w w:val="84"/>
              </w:rPr>
              <w:t>2002</w:t>
            </w:r>
          </w:p>
        </w:tc>
        <w:tc>
          <w:tcPr>
            <w:tcW w:w="7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60" w:type="dxa"/>
            <w:vAlign w:val="bottom"/>
          </w:tcPr>
          <w:p>
            <w:pPr>
              <w:jc w:val="center"/>
              <w:ind w:right="39"/>
              <w:spacing w:after="0"/>
              <w:rPr>
                <w:sz w:val="20"/>
                <w:szCs w:val="20"/>
                <w:color w:val="auto"/>
              </w:rPr>
            </w:pPr>
            <w:r>
              <w:rPr>
                <w:rFonts w:ascii="Arial" w:cs="Arial" w:eastAsia="Arial" w:hAnsi="Arial"/>
                <w:sz w:val="16"/>
                <w:szCs w:val="16"/>
                <w:color w:val="auto"/>
                <w:w w:val="89"/>
              </w:rPr>
              <w:t>31.2</w:t>
            </w:r>
          </w:p>
        </w:tc>
        <w:tc>
          <w:tcPr>
            <w:tcW w:w="428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color w:val="0000FF"/>
                <w:w w:val="93"/>
              </w:rPr>
              <w:t>Certification of Principal Financial Officer Pursuant to Rules 13a-</w:t>
            </w:r>
          </w:p>
        </w:tc>
        <w:tc>
          <w:tcPr>
            <w:tcW w:w="140" w:type="dxa"/>
            <w:vAlign w:val="bottom"/>
            <w:gridSpan w:val="3"/>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4420" w:type="dxa"/>
            <w:vAlign w:val="bottom"/>
            <w:gridSpan w:val="21"/>
          </w:tcPr>
          <w:p>
            <w:pPr>
              <w:spacing w:after="0" w:line="155" w:lineRule="exact"/>
              <w:rPr>
                <w:sz w:val="20"/>
                <w:szCs w:val="20"/>
                <w:color w:val="auto"/>
              </w:rPr>
            </w:pPr>
            <w:r>
              <w:rPr>
                <w:rFonts w:ascii="Arial" w:cs="Arial" w:eastAsia="Arial" w:hAnsi="Arial"/>
                <w:sz w:val="16"/>
                <w:szCs w:val="16"/>
                <w:color w:val="0000FF"/>
                <w:w w:val="92"/>
              </w:rPr>
              <w:t>14(a) and 15d-14(a) under the Securities Exchange Act of 1934, as</w:t>
            </w: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4320" w:type="dxa"/>
            <w:vAlign w:val="bottom"/>
            <w:tcBorders>
              <w:top w:val="single" w:sz="8" w:color="0000FF"/>
            </w:tcBorders>
            <w:gridSpan w:val="19"/>
          </w:tcPr>
          <w:p>
            <w:pPr>
              <w:spacing w:after="0" w:line="169" w:lineRule="exact"/>
              <w:rPr>
                <w:sz w:val="20"/>
                <w:szCs w:val="20"/>
                <w:color w:val="auto"/>
              </w:rPr>
            </w:pPr>
            <w:r>
              <w:rPr>
                <w:rFonts w:ascii="Arial" w:cs="Arial" w:eastAsia="Arial" w:hAnsi="Arial"/>
                <w:sz w:val="16"/>
                <w:szCs w:val="16"/>
                <w:color w:val="0000FF"/>
                <w:w w:val="96"/>
              </w:rPr>
              <w:t>Adopted Pursuant to Section 302 of the Sarbanes-Oxley Act of</w:t>
            </w:r>
          </w:p>
        </w:tc>
        <w:tc>
          <w:tcPr>
            <w:tcW w:w="100" w:type="dxa"/>
            <w:vAlign w:val="bottom"/>
            <w:gridSpan w:val="2"/>
          </w:tcPr>
          <w:p>
            <w:pPr>
              <w:spacing w:after="0"/>
              <w:rPr>
                <w:sz w:val="14"/>
                <w:szCs w:val="14"/>
                <w:color w:val="auto"/>
              </w:rPr>
            </w:pPr>
          </w:p>
        </w:tc>
        <w:tc>
          <w:tcPr>
            <w:tcW w:w="900" w:type="dxa"/>
            <w:vAlign w:val="bottom"/>
            <w:vMerge w:val="restart"/>
          </w:tcPr>
          <w:p>
            <w:pPr>
              <w:jc w:val="center"/>
              <w:ind w:right="19"/>
              <w:spacing w:after="0"/>
              <w:rPr>
                <w:sz w:val="20"/>
                <w:szCs w:val="20"/>
                <w:color w:val="auto"/>
              </w:rPr>
            </w:pPr>
            <w:r>
              <w:rPr>
                <w:rFonts w:ascii="Arial" w:cs="Arial" w:eastAsia="Arial" w:hAnsi="Arial"/>
                <w:sz w:val="16"/>
                <w:szCs w:val="16"/>
                <w:color w:val="auto"/>
                <w:w w:val="99"/>
              </w:rPr>
              <w:t>x</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320" w:type="dxa"/>
            <w:vAlign w:val="bottom"/>
            <w:tcBorders>
              <w:top w:val="single" w:sz="8" w:color="0000FF"/>
              <w:bottom w:val="single" w:sz="8" w:color="0000FF"/>
            </w:tcBorders>
          </w:tcPr>
          <w:p>
            <w:pPr>
              <w:spacing w:after="0" w:line="155" w:lineRule="exact"/>
              <w:rPr>
                <w:sz w:val="20"/>
                <w:szCs w:val="20"/>
                <w:color w:val="auto"/>
              </w:rPr>
            </w:pPr>
            <w:r>
              <w:rPr>
                <w:rFonts w:ascii="Arial" w:cs="Arial" w:eastAsia="Arial" w:hAnsi="Arial"/>
                <w:sz w:val="16"/>
                <w:szCs w:val="16"/>
                <w:color w:val="0000FF"/>
                <w:w w:val="84"/>
              </w:rPr>
              <w:t>2002</w:t>
            </w:r>
          </w:p>
        </w:tc>
        <w:tc>
          <w:tcPr>
            <w:tcW w:w="7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tcPr>
          <w:p>
            <w:pPr>
              <w:jc w:val="center"/>
              <w:ind w:right="39"/>
              <w:spacing w:after="0"/>
              <w:rPr>
                <w:sz w:val="20"/>
                <w:szCs w:val="20"/>
                <w:color w:val="auto"/>
              </w:rPr>
            </w:pPr>
            <w:r>
              <w:rPr>
                <w:rFonts w:ascii="Arial" w:cs="Arial" w:eastAsia="Arial" w:hAnsi="Arial"/>
                <w:sz w:val="16"/>
                <w:szCs w:val="16"/>
                <w:color w:val="auto"/>
                <w:w w:val="96"/>
              </w:rPr>
              <w:t>32.1*</w:t>
            </w:r>
          </w:p>
        </w:tc>
        <w:tc>
          <w:tcPr>
            <w:tcW w:w="4420" w:type="dxa"/>
            <w:vAlign w:val="bottom"/>
            <w:gridSpan w:val="21"/>
          </w:tcPr>
          <w:p>
            <w:pPr>
              <w:spacing w:after="0"/>
              <w:rPr>
                <w:sz w:val="20"/>
                <w:szCs w:val="20"/>
                <w:color w:val="auto"/>
              </w:rPr>
            </w:pPr>
            <w:r>
              <w:rPr>
                <w:rFonts w:ascii="Arial" w:cs="Arial" w:eastAsia="Arial" w:hAnsi="Arial"/>
                <w:sz w:val="16"/>
                <w:szCs w:val="16"/>
                <w:color w:val="0000FF"/>
                <w:w w:val="97"/>
              </w:rPr>
              <w:t>Certification of Principal Executive Officer Pursuant to 18 U.S.C.</w:t>
            </w: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3020" w:type="dxa"/>
            <w:vAlign w:val="bottom"/>
            <w:gridSpan w:val="11"/>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4420" w:type="dxa"/>
            <w:vAlign w:val="bottom"/>
            <w:gridSpan w:val="21"/>
          </w:tcPr>
          <w:p>
            <w:pPr>
              <w:spacing w:after="0" w:line="169" w:lineRule="exact"/>
              <w:rPr>
                <w:sz w:val="20"/>
                <w:szCs w:val="20"/>
                <w:color w:val="auto"/>
              </w:rPr>
            </w:pPr>
            <w:r>
              <w:rPr>
                <w:rFonts w:ascii="Arial" w:cs="Arial" w:eastAsia="Arial" w:hAnsi="Arial"/>
                <w:sz w:val="16"/>
                <w:szCs w:val="16"/>
                <w:color w:val="0000FF"/>
                <w:w w:val="91"/>
              </w:rPr>
              <w:t>Section 1350, as Adopted Pursuant to Section 906 of the Sarbanes-</w:t>
            </w:r>
          </w:p>
        </w:tc>
        <w:tc>
          <w:tcPr>
            <w:tcW w:w="900" w:type="dxa"/>
            <w:vAlign w:val="bottom"/>
            <w:vMerge w:val="restart"/>
          </w:tcPr>
          <w:p>
            <w:pPr>
              <w:jc w:val="center"/>
              <w:ind w:right="19"/>
              <w:spacing w:after="0"/>
              <w:rPr>
                <w:sz w:val="20"/>
                <w:szCs w:val="20"/>
                <w:color w:val="auto"/>
              </w:rPr>
            </w:pPr>
            <w:r>
              <w:rPr>
                <w:rFonts w:ascii="Arial" w:cs="Arial" w:eastAsia="Arial" w:hAnsi="Arial"/>
                <w:sz w:val="16"/>
                <w:szCs w:val="16"/>
                <w:color w:val="auto"/>
                <w:w w:val="99"/>
              </w:rPr>
              <w:t>x</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4340" w:type="dxa"/>
            <w:vAlign w:val="bottom"/>
            <w:tcBorders>
              <w:top w:val="single" w:sz="8" w:color="0000FF"/>
            </w:tcBorders>
            <w:gridSpan w:val="20"/>
          </w:tcPr>
          <w:p>
            <w:pPr>
              <w:spacing w:after="0" w:line="155" w:lineRule="exact"/>
              <w:rPr>
                <w:sz w:val="20"/>
                <w:szCs w:val="20"/>
                <w:color w:val="auto"/>
              </w:rPr>
            </w:pPr>
            <w:r>
              <w:rPr>
                <w:rFonts w:ascii="Arial" w:cs="Arial" w:eastAsia="Arial" w:hAnsi="Arial"/>
                <w:sz w:val="16"/>
                <w:szCs w:val="16"/>
                <w:color w:val="0000FF"/>
              </w:rPr>
              <w:t>Oxley Act of 2002</w:t>
            </w: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3020" w:type="dxa"/>
            <w:vAlign w:val="bottom"/>
            <w:gridSpan w:val="11"/>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jc w:val="center"/>
              <w:ind w:right="39"/>
              <w:spacing w:after="0"/>
              <w:rPr>
                <w:sz w:val="20"/>
                <w:szCs w:val="20"/>
                <w:color w:val="auto"/>
              </w:rPr>
            </w:pPr>
            <w:r>
              <w:rPr>
                <w:rFonts w:ascii="Arial" w:cs="Arial" w:eastAsia="Arial" w:hAnsi="Arial"/>
                <w:sz w:val="16"/>
                <w:szCs w:val="16"/>
                <w:color w:val="auto"/>
                <w:w w:val="96"/>
              </w:rPr>
              <w:t>32.2*</w:t>
            </w:r>
          </w:p>
        </w:tc>
        <w:tc>
          <w:tcPr>
            <w:tcW w:w="4420" w:type="dxa"/>
            <w:vAlign w:val="bottom"/>
            <w:gridSpan w:val="21"/>
          </w:tcPr>
          <w:p>
            <w:pPr>
              <w:spacing w:after="0"/>
              <w:rPr>
                <w:sz w:val="20"/>
                <w:szCs w:val="20"/>
                <w:color w:val="auto"/>
              </w:rPr>
            </w:pPr>
            <w:r>
              <w:rPr>
                <w:rFonts w:ascii="Arial" w:cs="Arial" w:eastAsia="Arial" w:hAnsi="Arial"/>
                <w:sz w:val="16"/>
                <w:szCs w:val="16"/>
                <w:color w:val="0000FF"/>
                <w:w w:val="98"/>
              </w:rPr>
              <w:t>Certification of Principal Financial Officer Pursuant to 18 U.S.C.</w:t>
            </w: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15"/>
          </w:tcPr>
          <w:p>
            <w:pPr>
              <w:spacing w:after="0" w:line="155" w:lineRule="exact"/>
              <w:rPr>
                <w:sz w:val="20"/>
                <w:szCs w:val="20"/>
                <w:color w:val="auto"/>
              </w:rPr>
            </w:pPr>
            <w:r>
              <w:rPr>
                <w:rFonts w:ascii="Arial" w:cs="Arial" w:eastAsia="Arial" w:hAnsi="Arial"/>
                <w:sz w:val="16"/>
                <w:szCs w:val="16"/>
                <w:color w:val="0000FF"/>
                <w:w w:val="88"/>
              </w:rPr>
              <w:t>Section 1350, as Adopted Pursuant to Section 906 of the Sarbanes</w:t>
            </w:r>
          </w:p>
        </w:tc>
        <w:tc>
          <w:tcPr>
            <w:tcW w:w="120" w:type="dxa"/>
            <w:vAlign w:val="bottom"/>
            <w:tcBorders>
              <w:bottom w:val="single" w:sz="8" w:color="0000FF"/>
            </w:tcBorders>
            <w:gridSpan w:val="5"/>
          </w:tcPr>
          <w:p>
            <w:pPr>
              <w:jc w:val="right"/>
              <w:spacing w:after="0" w:line="155" w:lineRule="exact"/>
              <w:rPr>
                <w:sz w:val="20"/>
                <w:szCs w:val="20"/>
                <w:color w:val="auto"/>
              </w:rPr>
            </w:pPr>
            <w:r>
              <w:rPr>
                <w:rFonts w:ascii="Arial" w:cs="Arial" w:eastAsia="Arial" w:hAnsi="Arial"/>
                <w:sz w:val="16"/>
                <w:szCs w:val="16"/>
                <w:color w:val="0000FF"/>
              </w:rPr>
              <w:t>-</w:t>
            </w:r>
          </w:p>
        </w:tc>
        <w:tc>
          <w:tcPr>
            <w:tcW w:w="80" w:type="dxa"/>
            <w:vAlign w:val="bottom"/>
          </w:tcPr>
          <w:p>
            <w:pPr>
              <w:spacing w:after="0"/>
              <w:rPr>
                <w:sz w:val="13"/>
                <w:szCs w:val="13"/>
                <w:color w:val="auto"/>
              </w:rPr>
            </w:pPr>
          </w:p>
        </w:tc>
        <w:tc>
          <w:tcPr>
            <w:tcW w:w="900" w:type="dxa"/>
            <w:vAlign w:val="bottom"/>
            <w:vMerge w:val="restart"/>
          </w:tcPr>
          <w:p>
            <w:pPr>
              <w:jc w:val="center"/>
              <w:ind w:right="19"/>
              <w:spacing w:after="0"/>
              <w:rPr>
                <w:sz w:val="20"/>
                <w:szCs w:val="20"/>
                <w:color w:val="auto"/>
              </w:rPr>
            </w:pPr>
            <w:r>
              <w:rPr>
                <w:rFonts w:ascii="Arial" w:cs="Arial" w:eastAsia="Arial" w:hAnsi="Arial"/>
                <w:sz w:val="16"/>
                <w:szCs w:val="16"/>
                <w:color w:val="auto"/>
                <w:w w:val="99"/>
              </w:rPr>
              <w:t>x</w:t>
            </w: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4420" w:type="dxa"/>
            <w:vAlign w:val="bottom"/>
            <w:gridSpan w:val="21"/>
          </w:tcPr>
          <w:p>
            <w:pPr>
              <w:spacing w:after="0" w:line="169" w:lineRule="exact"/>
              <w:rPr>
                <w:sz w:val="20"/>
                <w:szCs w:val="20"/>
                <w:color w:val="auto"/>
              </w:rPr>
            </w:pPr>
            <w:r>
              <w:rPr>
                <w:rFonts w:ascii="Arial" w:cs="Arial" w:eastAsia="Arial" w:hAnsi="Arial"/>
                <w:sz w:val="16"/>
                <w:szCs w:val="16"/>
                <w:color w:val="0000FF"/>
              </w:rPr>
              <w:t>Oxley Act of 2002</w:t>
            </w:r>
          </w:p>
        </w:tc>
        <w:tc>
          <w:tcPr>
            <w:tcW w:w="9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3220" w:type="dxa"/>
            <w:vAlign w:val="bottom"/>
            <w:gridSpan w:val="1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960" w:type="dxa"/>
            <w:vAlign w:val="bottom"/>
          </w:tcPr>
          <w:p>
            <w:pPr>
              <w:jc w:val="center"/>
              <w:ind w:right="39"/>
              <w:spacing w:after="0"/>
              <w:rPr>
                <w:sz w:val="20"/>
                <w:szCs w:val="20"/>
                <w:color w:val="auto"/>
              </w:rPr>
            </w:pPr>
            <w:r>
              <w:rPr>
                <w:rFonts w:ascii="Arial" w:cs="Arial" w:eastAsia="Arial" w:hAnsi="Arial"/>
                <w:sz w:val="16"/>
                <w:szCs w:val="16"/>
                <w:color w:val="auto"/>
                <w:w w:val="96"/>
              </w:rPr>
              <w:t>101.INS</w:t>
            </w:r>
          </w:p>
        </w:tc>
        <w:tc>
          <w:tcPr>
            <w:tcW w:w="4420" w:type="dxa"/>
            <w:vAlign w:val="bottom"/>
            <w:gridSpan w:val="21"/>
          </w:tcPr>
          <w:p>
            <w:pPr>
              <w:spacing w:after="0"/>
              <w:rPr>
                <w:sz w:val="20"/>
                <w:szCs w:val="20"/>
                <w:color w:val="auto"/>
              </w:rPr>
            </w:pPr>
            <w:r>
              <w:rPr>
                <w:rFonts w:ascii="Arial" w:cs="Arial" w:eastAsia="Arial" w:hAnsi="Arial"/>
                <w:sz w:val="16"/>
                <w:szCs w:val="16"/>
                <w:color w:val="auto"/>
                <w:w w:val="94"/>
              </w:rPr>
              <w:t>Inline XBRL Instance Document (the instance document does not</w:t>
            </w: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4420" w:type="dxa"/>
            <w:vAlign w:val="bottom"/>
            <w:gridSpan w:val="21"/>
          </w:tcPr>
          <w:p>
            <w:pPr>
              <w:spacing w:after="0"/>
              <w:rPr>
                <w:sz w:val="20"/>
                <w:szCs w:val="20"/>
                <w:color w:val="auto"/>
              </w:rPr>
            </w:pPr>
            <w:r>
              <w:rPr>
                <w:rFonts w:ascii="Arial" w:cs="Arial" w:eastAsia="Arial" w:hAnsi="Arial"/>
                <w:sz w:val="16"/>
                <w:szCs w:val="16"/>
                <w:color w:val="auto"/>
              </w:rPr>
              <w:t>appear in the Interactive Data File because its XBRL tags are</w:t>
            </w: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960" w:type="dxa"/>
            <w:vAlign w:val="bottom"/>
          </w:tcPr>
          <w:p>
            <w:pPr>
              <w:spacing w:after="0"/>
              <w:rPr>
                <w:sz w:val="17"/>
                <w:szCs w:val="17"/>
                <w:color w:val="auto"/>
              </w:rPr>
            </w:pPr>
          </w:p>
        </w:tc>
        <w:tc>
          <w:tcPr>
            <w:tcW w:w="4420" w:type="dxa"/>
            <w:vAlign w:val="bottom"/>
            <w:gridSpan w:val="21"/>
          </w:tcPr>
          <w:p>
            <w:pPr>
              <w:spacing w:after="0"/>
              <w:rPr>
                <w:sz w:val="20"/>
                <w:szCs w:val="20"/>
                <w:color w:val="auto"/>
              </w:rPr>
            </w:pPr>
            <w:r>
              <w:rPr>
                <w:rFonts w:ascii="Arial" w:cs="Arial" w:eastAsia="Arial" w:hAnsi="Arial"/>
                <w:sz w:val="16"/>
                <w:szCs w:val="16"/>
                <w:color w:val="auto"/>
              </w:rPr>
              <w:t>embedded within the Inline XBRL document).</w:t>
            </w:r>
          </w:p>
        </w:tc>
        <w:tc>
          <w:tcPr>
            <w:tcW w:w="900" w:type="dxa"/>
            <w:vAlign w:val="bottom"/>
          </w:tcPr>
          <w:p>
            <w:pPr>
              <w:jc w:val="center"/>
              <w:ind w:right="19"/>
              <w:spacing w:after="0"/>
              <w:rPr>
                <w:sz w:val="20"/>
                <w:szCs w:val="20"/>
                <w:color w:val="auto"/>
              </w:rPr>
            </w:pPr>
            <w:r>
              <w:rPr>
                <w:rFonts w:ascii="Arial" w:cs="Arial" w:eastAsia="Arial" w:hAnsi="Arial"/>
                <w:sz w:val="16"/>
                <w:szCs w:val="16"/>
                <w:color w:val="auto"/>
                <w:w w:val="99"/>
              </w:rPr>
              <w:t>x</w:t>
            </w: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60" w:type="dxa"/>
            <w:vAlign w:val="bottom"/>
          </w:tcPr>
          <w:p>
            <w:pPr>
              <w:jc w:val="center"/>
              <w:ind w:right="39"/>
              <w:spacing w:after="0"/>
              <w:rPr>
                <w:sz w:val="20"/>
                <w:szCs w:val="20"/>
                <w:color w:val="auto"/>
              </w:rPr>
            </w:pPr>
            <w:r>
              <w:rPr>
                <w:rFonts w:ascii="Arial" w:cs="Arial" w:eastAsia="Arial" w:hAnsi="Arial"/>
                <w:sz w:val="16"/>
                <w:szCs w:val="16"/>
                <w:color w:val="auto"/>
                <w:w w:val="92"/>
              </w:rPr>
              <w:t>101.SCH</w:t>
            </w:r>
          </w:p>
        </w:tc>
        <w:tc>
          <w:tcPr>
            <w:tcW w:w="4420" w:type="dxa"/>
            <w:vAlign w:val="bottom"/>
            <w:gridSpan w:val="21"/>
          </w:tcPr>
          <w:p>
            <w:pPr>
              <w:spacing w:after="0"/>
              <w:rPr>
                <w:sz w:val="20"/>
                <w:szCs w:val="20"/>
                <w:color w:val="auto"/>
              </w:rPr>
            </w:pPr>
            <w:r>
              <w:rPr>
                <w:rFonts w:ascii="Arial" w:cs="Arial" w:eastAsia="Arial" w:hAnsi="Arial"/>
                <w:sz w:val="16"/>
                <w:szCs w:val="16"/>
                <w:color w:val="auto"/>
              </w:rPr>
              <w:t>Inline XBRL Taxonomy Extension Schema Document.</w:t>
            </w:r>
          </w:p>
        </w:tc>
        <w:tc>
          <w:tcPr>
            <w:tcW w:w="900" w:type="dxa"/>
            <w:vAlign w:val="bottom"/>
          </w:tcPr>
          <w:p>
            <w:pPr>
              <w:jc w:val="center"/>
              <w:ind w:right="19"/>
              <w:spacing w:after="0"/>
              <w:rPr>
                <w:sz w:val="20"/>
                <w:szCs w:val="20"/>
                <w:color w:val="auto"/>
              </w:rPr>
            </w:pPr>
            <w:r>
              <w:rPr>
                <w:rFonts w:ascii="Arial" w:cs="Arial" w:eastAsia="Arial" w:hAnsi="Arial"/>
                <w:sz w:val="16"/>
                <w:szCs w:val="16"/>
                <w:color w:val="auto"/>
                <w:w w:val="99"/>
              </w:rPr>
              <w:t>x</w:t>
            </w: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960" w:type="dxa"/>
            <w:vAlign w:val="bottom"/>
          </w:tcPr>
          <w:p>
            <w:pPr>
              <w:jc w:val="center"/>
              <w:ind w:right="39"/>
              <w:spacing w:after="0"/>
              <w:rPr>
                <w:sz w:val="20"/>
                <w:szCs w:val="20"/>
                <w:color w:val="auto"/>
              </w:rPr>
            </w:pPr>
            <w:r>
              <w:rPr>
                <w:rFonts w:ascii="Arial" w:cs="Arial" w:eastAsia="Arial" w:hAnsi="Arial"/>
                <w:sz w:val="16"/>
                <w:szCs w:val="16"/>
                <w:color w:val="auto"/>
                <w:w w:val="96"/>
              </w:rPr>
              <w:t>101.CAL</w:t>
            </w:r>
          </w:p>
        </w:tc>
        <w:tc>
          <w:tcPr>
            <w:tcW w:w="4420" w:type="dxa"/>
            <w:vAlign w:val="bottom"/>
            <w:gridSpan w:val="21"/>
          </w:tcPr>
          <w:p>
            <w:pPr>
              <w:spacing w:after="0"/>
              <w:rPr>
                <w:sz w:val="20"/>
                <w:szCs w:val="20"/>
                <w:color w:val="auto"/>
              </w:rPr>
            </w:pPr>
            <w:r>
              <w:rPr>
                <w:rFonts w:ascii="Arial" w:cs="Arial" w:eastAsia="Arial" w:hAnsi="Arial"/>
                <w:sz w:val="16"/>
                <w:szCs w:val="16"/>
                <w:color w:val="auto"/>
              </w:rPr>
              <w:t>Inline XBRL Taxonomy Extension Calculation Linkbase</w:t>
            </w: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60" w:type="dxa"/>
            <w:vAlign w:val="bottom"/>
          </w:tcPr>
          <w:p>
            <w:pPr>
              <w:spacing w:after="0"/>
              <w:rPr>
                <w:sz w:val="17"/>
                <w:szCs w:val="17"/>
                <w:color w:val="auto"/>
              </w:rPr>
            </w:pPr>
          </w:p>
        </w:tc>
        <w:tc>
          <w:tcPr>
            <w:tcW w:w="4420" w:type="dxa"/>
            <w:vAlign w:val="bottom"/>
            <w:gridSpan w:val="21"/>
          </w:tcPr>
          <w:p>
            <w:pPr>
              <w:spacing w:after="0"/>
              <w:rPr>
                <w:sz w:val="20"/>
                <w:szCs w:val="20"/>
                <w:color w:val="auto"/>
              </w:rPr>
            </w:pPr>
            <w:r>
              <w:rPr>
                <w:rFonts w:ascii="Arial" w:cs="Arial" w:eastAsia="Arial" w:hAnsi="Arial"/>
                <w:sz w:val="16"/>
                <w:szCs w:val="16"/>
                <w:color w:val="auto"/>
              </w:rPr>
              <w:t>Document.</w:t>
            </w:r>
          </w:p>
        </w:tc>
        <w:tc>
          <w:tcPr>
            <w:tcW w:w="900" w:type="dxa"/>
            <w:vAlign w:val="bottom"/>
          </w:tcPr>
          <w:p>
            <w:pPr>
              <w:jc w:val="center"/>
              <w:ind w:right="19"/>
              <w:spacing w:after="0"/>
              <w:rPr>
                <w:sz w:val="20"/>
                <w:szCs w:val="20"/>
                <w:color w:val="auto"/>
              </w:rPr>
            </w:pPr>
            <w:r>
              <w:rPr>
                <w:rFonts w:ascii="Arial" w:cs="Arial" w:eastAsia="Arial" w:hAnsi="Arial"/>
                <w:sz w:val="16"/>
                <w:szCs w:val="16"/>
                <w:color w:val="auto"/>
                <w:w w:val="99"/>
              </w:rPr>
              <w:t>x</w:t>
            </w: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60" w:type="dxa"/>
            <w:vAlign w:val="bottom"/>
          </w:tcPr>
          <w:p>
            <w:pPr>
              <w:jc w:val="center"/>
              <w:ind w:right="39"/>
              <w:spacing w:after="0"/>
              <w:rPr>
                <w:sz w:val="20"/>
                <w:szCs w:val="20"/>
                <w:color w:val="auto"/>
              </w:rPr>
            </w:pPr>
            <w:r>
              <w:rPr>
                <w:rFonts w:ascii="Arial" w:cs="Arial" w:eastAsia="Arial" w:hAnsi="Arial"/>
                <w:sz w:val="16"/>
                <w:szCs w:val="16"/>
                <w:color w:val="auto"/>
                <w:w w:val="94"/>
              </w:rPr>
              <w:t>101.DEF</w:t>
            </w:r>
          </w:p>
        </w:tc>
        <w:tc>
          <w:tcPr>
            <w:tcW w:w="4420" w:type="dxa"/>
            <w:vAlign w:val="bottom"/>
            <w:gridSpan w:val="21"/>
          </w:tcPr>
          <w:p>
            <w:pPr>
              <w:spacing w:after="0"/>
              <w:rPr>
                <w:sz w:val="20"/>
                <w:szCs w:val="20"/>
                <w:color w:val="auto"/>
              </w:rPr>
            </w:pPr>
            <w:r>
              <w:rPr>
                <w:rFonts w:ascii="Arial" w:cs="Arial" w:eastAsia="Arial" w:hAnsi="Arial"/>
                <w:sz w:val="16"/>
                <w:szCs w:val="16"/>
                <w:color w:val="auto"/>
              </w:rPr>
              <w:t>Inline XBRL Taxonomy Extension Definition Linkbase</w:t>
            </w: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60" w:type="dxa"/>
            <w:vAlign w:val="bottom"/>
          </w:tcPr>
          <w:p>
            <w:pPr>
              <w:spacing w:after="0"/>
              <w:rPr>
                <w:sz w:val="17"/>
                <w:szCs w:val="17"/>
                <w:color w:val="auto"/>
              </w:rPr>
            </w:pPr>
          </w:p>
        </w:tc>
        <w:tc>
          <w:tcPr>
            <w:tcW w:w="4420" w:type="dxa"/>
            <w:vAlign w:val="bottom"/>
            <w:gridSpan w:val="21"/>
          </w:tcPr>
          <w:p>
            <w:pPr>
              <w:spacing w:after="0"/>
              <w:rPr>
                <w:sz w:val="20"/>
                <w:szCs w:val="20"/>
                <w:color w:val="auto"/>
              </w:rPr>
            </w:pPr>
            <w:r>
              <w:rPr>
                <w:rFonts w:ascii="Arial" w:cs="Arial" w:eastAsia="Arial" w:hAnsi="Arial"/>
                <w:sz w:val="16"/>
                <w:szCs w:val="16"/>
                <w:color w:val="auto"/>
              </w:rPr>
              <w:t>Document.</w:t>
            </w:r>
          </w:p>
        </w:tc>
        <w:tc>
          <w:tcPr>
            <w:tcW w:w="900" w:type="dxa"/>
            <w:vAlign w:val="bottom"/>
          </w:tcPr>
          <w:p>
            <w:pPr>
              <w:jc w:val="center"/>
              <w:ind w:right="19"/>
              <w:spacing w:after="0"/>
              <w:rPr>
                <w:sz w:val="20"/>
                <w:szCs w:val="20"/>
                <w:color w:val="auto"/>
              </w:rPr>
            </w:pPr>
            <w:r>
              <w:rPr>
                <w:rFonts w:ascii="Arial" w:cs="Arial" w:eastAsia="Arial" w:hAnsi="Arial"/>
                <w:sz w:val="16"/>
                <w:szCs w:val="16"/>
                <w:color w:val="auto"/>
                <w:w w:val="99"/>
              </w:rPr>
              <w:t>x</w:t>
            </w: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60" w:type="dxa"/>
            <w:vAlign w:val="bottom"/>
          </w:tcPr>
          <w:p>
            <w:pPr>
              <w:jc w:val="center"/>
              <w:ind w:right="39"/>
              <w:spacing w:after="0"/>
              <w:rPr>
                <w:sz w:val="20"/>
                <w:szCs w:val="20"/>
                <w:color w:val="auto"/>
              </w:rPr>
            </w:pPr>
            <w:r>
              <w:rPr>
                <w:rFonts w:ascii="Arial" w:cs="Arial" w:eastAsia="Arial" w:hAnsi="Arial"/>
                <w:sz w:val="16"/>
                <w:szCs w:val="16"/>
                <w:color w:val="auto"/>
                <w:w w:val="97"/>
              </w:rPr>
              <w:t>101.LAB</w:t>
            </w:r>
          </w:p>
        </w:tc>
        <w:tc>
          <w:tcPr>
            <w:tcW w:w="4420" w:type="dxa"/>
            <w:vAlign w:val="bottom"/>
            <w:gridSpan w:val="21"/>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900" w:type="dxa"/>
            <w:vAlign w:val="bottom"/>
          </w:tcPr>
          <w:p>
            <w:pPr>
              <w:jc w:val="center"/>
              <w:ind w:right="19"/>
              <w:spacing w:after="0"/>
              <w:rPr>
                <w:sz w:val="20"/>
                <w:szCs w:val="20"/>
                <w:color w:val="auto"/>
              </w:rPr>
            </w:pPr>
            <w:r>
              <w:rPr>
                <w:rFonts w:ascii="Arial" w:cs="Arial" w:eastAsia="Arial" w:hAnsi="Arial"/>
                <w:sz w:val="16"/>
                <w:szCs w:val="16"/>
                <w:color w:val="auto"/>
                <w:w w:val="99"/>
              </w:rPr>
              <w:t>x</w:t>
            </w: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960" w:type="dxa"/>
            <w:vAlign w:val="bottom"/>
          </w:tcPr>
          <w:p>
            <w:pPr>
              <w:jc w:val="center"/>
              <w:ind w:right="59"/>
              <w:spacing w:after="0"/>
              <w:rPr>
                <w:sz w:val="20"/>
                <w:szCs w:val="20"/>
                <w:color w:val="auto"/>
              </w:rPr>
            </w:pPr>
            <w:r>
              <w:rPr>
                <w:rFonts w:ascii="Arial" w:cs="Arial" w:eastAsia="Arial" w:hAnsi="Arial"/>
                <w:sz w:val="16"/>
                <w:szCs w:val="16"/>
                <w:color w:val="auto"/>
                <w:w w:val="90"/>
              </w:rPr>
              <w:t>101.PRE</w:t>
            </w:r>
          </w:p>
        </w:tc>
        <w:tc>
          <w:tcPr>
            <w:tcW w:w="4420" w:type="dxa"/>
            <w:vAlign w:val="bottom"/>
            <w:gridSpan w:val="21"/>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60" w:type="dxa"/>
            <w:vAlign w:val="bottom"/>
          </w:tcPr>
          <w:p>
            <w:pPr>
              <w:spacing w:after="0"/>
              <w:rPr>
                <w:sz w:val="17"/>
                <w:szCs w:val="17"/>
                <w:color w:val="auto"/>
              </w:rPr>
            </w:pPr>
          </w:p>
        </w:tc>
        <w:tc>
          <w:tcPr>
            <w:tcW w:w="4420" w:type="dxa"/>
            <w:vAlign w:val="bottom"/>
            <w:gridSpan w:val="21"/>
          </w:tcPr>
          <w:p>
            <w:pPr>
              <w:spacing w:after="0"/>
              <w:rPr>
                <w:sz w:val="20"/>
                <w:szCs w:val="20"/>
                <w:color w:val="auto"/>
              </w:rPr>
            </w:pPr>
            <w:r>
              <w:rPr>
                <w:rFonts w:ascii="Arial" w:cs="Arial" w:eastAsia="Arial" w:hAnsi="Arial"/>
                <w:sz w:val="16"/>
                <w:szCs w:val="16"/>
                <w:color w:val="auto"/>
              </w:rPr>
              <w:t>Document.</w:t>
            </w:r>
          </w:p>
        </w:tc>
        <w:tc>
          <w:tcPr>
            <w:tcW w:w="900" w:type="dxa"/>
            <w:vAlign w:val="bottom"/>
          </w:tcPr>
          <w:p>
            <w:pPr>
              <w:jc w:val="center"/>
              <w:ind w:right="19"/>
              <w:spacing w:after="0"/>
              <w:rPr>
                <w:sz w:val="20"/>
                <w:szCs w:val="20"/>
                <w:color w:val="auto"/>
              </w:rPr>
            </w:pPr>
            <w:r>
              <w:rPr>
                <w:rFonts w:ascii="Arial" w:cs="Arial" w:eastAsia="Arial" w:hAnsi="Arial"/>
                <w:sz w:val="16"/>
                <w:szCs w:val="16"/>
                <w:color w:val="auto"/>
                <w:w w:val="99"/>
              </w:rPr>
              <w:t>x</w:t>
            </w: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60" w:type="dxa"/>
            <w:vAlign w:val="bottom"/>
          </w:tcPr>
          <w:p>
            <w:pPr>
              <w:jc w:val="center"/>
              <w:ind w:right="39"/>
              <w:spacing w:after="0"/>
              <w:rPr>
                <w:sz w:val="20"/>
                <w:szCs w:val="20"/>
                <w:color w:val="auto"/>
              </w:rPr>
            </w:pPr>
            <w:r>
              <w:rPr>
                <w:rFonts w:ascii="Arial" w:cs="Arial" w:eastAsia="Arial" w:hAnsi="Arial"/>
                <w:sz w:val="16"/>
                <w:szCs w:val="16"/>
                <w:color w:val="auto"/>
                <w:w w:val="89"/>
              </w:rPr>
              <w:t>104</w:t>
            </w:r>
          </w:p>
        </w:tc>
        <w:tc>
          <w:tcPr>
            <w:tcW w:w="4420" w:type="dxa"/>
            <w:vAlign w:val="bottom"/>
            <w:gridSpan w:val="21"/>
          </w:tcPr>
          <w:p>
            <w:pPr>
              <w:spacing w:after="0"/>
              <w:rPr>
                <w:sz w:val="20"/>
                <w:szCs w:val="20"/>
                <w:color w:val="auto"/>
              </w:rPr>
            </w:pPr>
            <w:r>
              <w:rPr>
                <w:rFonts w:ascii="Arial" w:cs="Arial" w:eastAsia="Arial" w:hAnsi="Arial"/>
                <w:sz w:val="16"/>
                <w:szCs w:val="16"/>
                <w:color w:val="auto"/>
                <w:w w:val="97"/>
              </w:rPr>
              <w:t>Cover Page Interactive Data File (formatted as inline XBRL and</w:t>
            </w: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60" w:type="dxa"/>
            <w:vAlign w:val="bottom"/>
          </w:tcPr>
          <w:p>
            <w:pPr>
              <w:spacing w:after="0"/>
              <w:rPr>
                <w:sz w:val="17"/>
                <w:szCs w:val="17"/>
                <w:color w:val="auto"/>
              </w:rPr>
            </w:pPr>
          </w:p>
        </w:tc>
        <w:tc>
          <w:tcPr>
            <w:tcW w:w="4420" w:type="dxa"/>
            <w:vAlign w:val="bottom"/>
            <w:gridSpan w:val="21"/>
          </w:tcPr>
          <w:p>
            <w:pPr>
              <w:spacing w:after="0"/>
              <w:rPr>
                <w:sz w:val="20"/>
                <w:szCs w:val="20"/>
                <w:color w:val="auto"/>
              </w:rPr>
            </w:pPr>
            <w:r>
              <w:rPr>
                <w:rFonts w:ascii="Arial" w:cs="Arial" w:eastAsia="Arial" w:hAnsi="Arial"/>
                <w:sz w:val="16"/>
                <w:szCs w:val="16"/>
                <w:color w:val="auto"/>
              </w:rPr>
              <w:t>contained in Exhibit 101).</w:t>
            </w:r>
          </w:p>
        </w:tc>
        <w:tc>
          <w:tcPr>
            <w:tcW w:w="900" w:type="dxa"/>
            <w:vAlign w:val="bottom"/>
          </w:tcPr>
          <w:p>
            <w:pPr>
              <w:jc w:val="center"/>
              <w:ind w:right="19"/>
              <w:spacing w:after="0"/>
              <w:rPr>
                <w:sz w:val="20"/>
                <w:szCs w:val="20"/>
                <w:color w:val="auto"/>
              </w:rPr>
            </w:pPr>
            <w:r>
              <w:rPr>
                <w:rFonts w:ascii="Arial" w:cs="Arial" w:eastAsia="Arial" w:hAnsi="Arial"/>
                <w:sz w:val="16"/>
                <w:szCs w:val="16"/>
                <w:color w:val="auto"/>
                <w:w w:val="99"/>
              </w:rPr>
              <w:t>x</w:t>
            </w: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jc w:val="both"/>
        <w:ind w:firstLine="8"/>
        <w:spacing w:after="0" w:line="269" w:lineRule="auto"/>
        <w:tabs>
          <w:tab w:leader="none" w:pos="138"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The certifications furnished in Exhibits 32.1 and 32.2 hereto are deemed to accompany this Form 10-Q and are not deemed “filed” for purposes of Section 18 of the Exchange Act, or otherwise subject to the liability of that section, nor shall they be deemed incorporated by reference into any filing under the Securities Act or the Exchange Act.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t>SIGNATURES</w:t>
      </w:r>
    </w:p>
    <w:p>
      <w:pPr>
        <w:spacing w:after="0" w:line="16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Remitly Global, Inc.</w:t>
            </w:r>
          </w:p>
        </w:tc>
      </w:tr>
      <w:tr>
        <w:trPr>
          <w:trHeight w:val="529"/>
        </w:trPr>
        <w:tc>
          <w:tcPr>
            <w:tcW w:w="460" w:type="dxa"/>
            <w:vAlign w:val="bottom"/>
          </w:tcPr>
          <w:p>
            <w:pPr>
              <w:spacing w:after="0"/>
              <w:rPr>
                <w:sz w:val="20"/>
                <w:szCs w:val="20"/>
                <w:color w:val="auto"/>
              </w:rPr>
            </w:pPr>
            <w:r>
              <w:rPr>
                <w:rFonts w:ascii="Arial" w:cs="Arial" w:eastAsia="Arial" w:hAnsi="Arial"/>
                <w:sz w:val="16"/>
                <w:szCs w:val="16"/>
                <w:color w:val="auto"/>
              </w:rPr>
              <w:t>Date:</w:t>
            </w:r>
          </w:p>
        </w:tc>
        <w:tc>
          <w:tcPr>
            <w:tcW w:w="2040" w:type="dxa"/>
            <w:vAlign w:val="bottom"/>
          </w:tcPr>
          <w:p>
            <w:pPr>
              <w:ind w:left="120"/>
              <w:spacing w:after="0"/>
              <w:rPr>
                <w:sz w:val="20"/>
                <w:szCs w:val="20"/>
                <w:color w:val="auto"/>
              </w:rPr>
            </w:pPr>
            <w:r>
              <w:rPr>
                <w:rFonts w:ascii="Arial" w:cs="Arial" w:eastAsia="Arial" w:hAnsi="Arial"/>
                <w:sz w:val="16"/>
                <w:szCs w:val="16"/>
                <w:color w:val="auto"/>
              </w:rPr>
              <w:t>August 3, 2023</w:t>
            </w:r>
          </w:p>
        </w:tc>
        <w:tc>
          <w:tcPr>
            <w:tcW w:w="1420" w:type="dxa"/>
            <w:vAlign w:val="bottom"/>
          </w:tcPr>
          <w:p>
            <w:pPr>
              <w:ind w:left="940"/>
              <w:spacing w:after="0"/>
              <w:rPr>
                <w:sz w:val="20"/>
                <w:szCs w:val="20"/>
                <w:color w:val="auto"/>
              </w:rPr>
            </w:pPr>
            <w:r>
              <w:rPr>
                <w:rFonts w:ascii="Arial" w:cs="Arial" w:eastAsia="Arial" w:hAnsi="Arial"/>
                <w:sz w:val="16"/>
                <w:szCs w:val="16"/>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Matthew Oppenheimer</w:t>
            </w:r>
          </w:p>
        </w:tc>
      </w:tr>
      <w:tr>
        <w:trPr>
          <w:trHeight w:val="207"/>
        </w:trPr>
        <w:tc>
          <w:tcPr>
            <w:tcW w:w="4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Matthew Oppenheimer</w:t>
            </w:r>
          </w:p>
        </w:tc>
      </w:tr>
      <w:tr>
        <w:trPr>
          <w:trHeight w:val="257"/>
        </w:trPr>
        <w:tc>
          <w:tcPr>
            <w:tcW w:w="46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r>
        <w:trPr>
          <w:trHeight w:val="243"/>
        </w:trPr>
        <w:tc>
          <w:tcPr>
            <w:tcW w:w="4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r>
        <w:trPr>
          <w:trHeight w:val="539"/>
        </w:trPr>
        <w:tc>
          <w:tcPr>
            <w:tcW w:w="460" w:type="dxa"/>
            <w:vAlign w:val="bottom"/>
          </w:tcPr>
          <w:p>
            <w:pPr>
              <w:spacing w:after="0"/>
              <w:rPr>
                <w:sz w:val="20"/>
                <w:szCs w:val="20"/>
                <w:color w:val="auto"/>
              </w:rPr>
            </w:pPr>
            <w:r>
              <w:rPr>
                <w:rFonts w:ascii="Arial" w:cs="Arial" w:eastAsia="Arial" w:hAnsi="Arial"/>
                <w:sz w:val="16"/>
                <w:szCs w:val="16"/>
                <w:color w:val="auto"/>
              </w:rPr>
              <w:t>Date:</w:t>
            </w:r>
          </w:p>
        </w:tc>
        <w:tc>
          <w:tcPr>
            <w:tcW w:w="2040" w:type="dxa"/>
            <w:vAlign w:val="bottom"/>
          </w:tcPr>
          <w:p>
            <w:pPr>
              <w:ind w:left="120"/>
              <w:spacing w:after="0"/>
              <w:rPr>
                <w:sz w:val="20"/>
                <w:szCs w:val="20"/>
                <w:color w:val="auto"/>
              </w:rPr>
            </w:pPr>
            <w:r>
              <w:rPr>
                <w:rFonts w:ascii="Arial" w:cs="Arial" w:eastAsia="Arial" w:hAnsi="Arial"/>
                <w:sz w:val="16"/>
                <w:szCs w:val="16"/>
                <w:color w:val="auto"/>
              </w:rPr>
              <w:t>August 3, 2023</w:t>
            </w:r>
          </w:p>
        </w:tc>
        <w:tc>
          <w:tcPr>
            <w:tcW w:w="1420" w:type="dxa"/>
            <w:vAlign w:val="bottom"/>
          </w:tcPr>
          <w:p>
            <w:pPr>
              <w:ind w:left="940"/>
              <w:spacing w:after="0"/>
              <w:rPr>
                <w:sz w:val="20"/>
                <w:szCs w:val="20"/>
                <w:color w:val="auto"/>
              </w:rPr>
            </w:pPr>
            <w:r>
              <w:rPr>
                <w:rFonts w:ascii="Arial" w:cs="Arial" w:eastAsia="Arial" w:hAnsi="Arial"/>
                <w:sz w:val="16"/>
                <w:szCs w:val="16"/>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Hemanth Munipalli</w:t>
            </w:r>
          </w:p>
        </w:tc>
      </w:tr>
      <w:tr>
        <w:trPr>
          <w:trHeight w:val="210"/>
        </w:trPr>
        <w:tc>
          <w:tcPr>
            <w:tcW w:w="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Hemanth Munipalli</w:t>
            </w:r>
          </w:p>
        </w:tc>
      </w:tr>
      <w:tr>
        <w:trPr>
          <w:trHeight w:val="243"/>
        </w:trPr>
        <w:tc>
          <w:tcPr>
            <w:tcW w:w="4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r>
        <w:trPr>
          <w:trHeight w:val="243"/>
        </w:trPr>
        <w:tc>
          <w:tcPr>
            <w:tcW w:w="4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060"/>
          </w:cols>
          <w:pgMar w:left="320" w:top="1102" w:right="519" w:bottom="1440" w:gutter="0" w:footer="0" w:header="0"/>
        </w:sectPr>
      </w:pPr>
    </w:p>
    <w:bookmarkStart w:id="40" w:name="page41"/>
    <w:bookmarkEnd w:id="40"/>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AMENDMENT NO. 1</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THIS AMENDMENT NO. 1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June 26, 2023, is entered into among REMITLY GLOBAL, INC., a Delaware corporation (“</w:t>
      </w:r>
      <w:r>
        <w:rPr>
          <w:rFonts w:ascii="Arial" w:cs="Arial" w:eastAsia="Arial" w:hAnsi="Arial"/>
          <w:sz w:val="18"/>
          <w:szCs w:val="18"/>
          <w:u w:val="single" w:color="auto"/>
          <w:color w:val="auto"/>
        </w:rPr>
        <w:t>Holdings</w:t>
      </w:r>
      <w:r>
        <w:rPr>
          <w:rFonts w:ascii="Arial" w:cs="Arial" w:eastAsia="Arial" w:hAnsi="Arial"/>
          <w:sz w:val="18"/>
          <w:szCs w:val="18"/>
          <w:color w:val="auto"/>
        </w:rPr>
        <w:t xml:space="preserve">”), REMITLY, INC., a Delaware corporation (together with Holdings, the “ </w:t>
      </w:r>
      <w:r>
        <w:rPr>
          <w:rFonts w:ascii="Arial" w:cs="Arial" w:eastAsia="Arial" w:hAnsi="Arial"/>
          <w:sz w:val="18"/>
          <w:szCs w:val="18"/>
          <w:u w:val="single" w:color="auto"/>
          <w:color w:val="auto"/>
        </w:rPr>
        <w:t>Borrowers</w:t>
      </w:r>
      <w:r>
        <w:rPr>
          <w:rFonts w:ascii="Arial" w:cs="Arial" w:eastAsia="Arial" w:hAnsi="Arial"/>
          <w:sz w:val="18"/>
          <w:szCs w:val="18"/>
          <w:color w:val="auto"/>
        </w:rPr>
        <w:t>”) and JPMORGAN</w:t>
      </w:r>
    </w:p>
    <w:p>
      <w:pPr>
        <w:spacing w:after="0"/>
        <w:rPr>
          <w:sz w:val="20"/>
          <w:szCs w:val="20"/>
          <w:color w:val="auto"/>
        </w:rPr>
      </w:pPr>
      <w:r>
        <w:rPr>
          <w:rFonts w:ascii="Arial" w:cs="Arial" w:eastAsia="Arial" w:hAnsi="Arial"/>
          <w:sz w:val="20"/>
          <w:szCs w:val="20"/>
          <w:color w:val="auto"/>
        </w:rPr>
        <w:t>CHASE BANK, N.A., as administrative agent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173" w:lineRule="exact"/>
        <w:rPr>
          <w:sz w:val="20"/>
          <w:szCs w:val="20"/>
          <w:color w:val="auto"/>
        </w:rPr>
      </w:pPr>
    </w:p>
    <w:p>
      <w:pPr>
        <w:ind w:left="5160"/>
        <w:spacing w:after="0"/>
        <w:rPr>
          <w:sz w:val="20"/>
          <w:szCs w:val="20"/>
          <w:color w:val="auto"/>
        </w:rPr>
      </w:pPr>
      <w:r>
        <w:rPr>
          <w:rFonts w:ascii="Arial" w:cs="Arial" w:eastAsia="Arial" w:hAnsi="Arial"/>
          <w:sz w:val="20"/>
          <w:szCs w:val="20"/>
          <w:u w:val="single" w:color="auto"/>
          <w:color w:val="auto"/>
        </w:rPr>
        <w:t>RECITALS</w:t>
      </w:r>
    </w:p>
    <w:p>
      <w:pPr>
        <w:spacing w:after="0" w:line="17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WHEREAS, the Borrowers, the Guarantors party thereto, the lenders from time to time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JPMorgan Chase Bank, N.A., as Administrative Agent and collateral agent, are party to the Revolving Credit and Guaranty Agreement, dated as of</w:t>
      </w:r>
    </w:p>
    <w:p>
      <w:pPr>
        <w:spacing w:after="0" w:line="220" w:lineRule="auto"/>
        <w:rPr>
          <w:sz w:val="20"/>
          <w:szCs w:val="20"/>
          <w:color w:val="auto"/>
        </w:rPr>
      </w:pPr>
      <w:r>
        <w:rPr>
          <w:rFonts w:ascii="Arial" w:cs="Arial" w:eastAsia="Arial" w:hAnsi="Arial"/>
          <w:sz w:val="20"/>
          <w:szCs w:val="20"/>
          <w:color w:val="auto"/>
        </w:rPr>
        <w:t>September 13, 2021 (as amended, modified, extended, restated, replaced, or supplemented from time to time prior to the date hereof,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certain loans, commitments and/or other extensions of credit (the “</w:t>
      </w:r>
      <w:r>
        <w:rPr>
          <w:rFonts w:ascii="Arial" w:cs="Arial" w:eastAsia="Arial" w:hAnsi="Arial"/>
          <w:sz w:val="18"/>
          <w:szCs w:val="18"/>
          <w:u w:val="single" w:color="auto"/>
          <w:color w:val="auto"/>
        </w:rPr>
        <w:t>Loans</w:t>
      </w:r>
      <w:r>
        <w:rPr>
          <w:rFonts w:ascii="Arial" w:cs="Arial" w:eastAsia="Arial" w:hAnsi="Arial"/>
          <w:sz w:val="18"/>
          <w:szCs w:val="18"/>
          <w:color w:val="auto"/>
        </w:rPr>
        <w:t>”) under the Credit Agreement denominated in</w:t>
      </w:r>
    </w:p>
    <w:p>
      <w:pPr>
        <w:spacing w:after="0" w:line="12"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dollars (the “</w:t>
      </w:r>
      <w:r>
        <w:rPr>
          <w:rFonts w:ascii="Arial" w:cs="Arial" w:eastAsia="Arial" w:hAnsi="Arial"/>
          <w:sz w:val="19"/>
          <w:szCs w:val="19"/>
          <w:u w:val="single" w:color="auto"/>
          <w:color w:val="auto"/>
        </w:rPr>
        <w:t>Affected Currency</w:t>
      </w:r>
      <w:r>
        <w:rPr>
          <w:rFonts w:ascii="Arial" w:cs="Arial" w:eastAsia="Arial" w:hAnsi="Arial"/>
          <w:sz w:val="19"/>
          <w:szCs w:val="19"/>
          <w:color w:val="auto"/>
        </w:rPr>
        <w:t>”) incur or are permitted to incur interest, fees or other amounts based on the London Interbank Offered Rate as administered by the ICE Benchmark Administration (“</w:t>
      </w:r>
      <w:r>
        <w:rPr>
          <w:rFonts w:ascii="Arial" w:cs="Arial" w:eastAsia="Arial" w:hAnsi="Arial"/>
          <w:sz w:val="19"/>
          <w:szCs w:val="19"/>
          <w:u w:val="single" w:color="auto"/>
          <w:color w:val="auto"/>
        </w:rPr>
        <w:t>LIBOR</w:t>
      </w:r>
      <w:r>
        <w:rPr>
          <w:rFonts w:ascii="Arial" w:cs="Arial" w:eastAsia="Arial" w:hAnsi="Arial"/>
          <w:sz w:val="19"/>
          <w:szCs w:val="19"/>
          <w:color w:val="auto"/>
        </w:rPr>
        <w:t>”) in accordance with the terms of the Credit Agreement;</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WHEREAS, the Administrative Agent and the Borrowers have elected to trigger an Other Benchmark Rate Election with respect to the Affected Currency;</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WHEREAS, in connection with such Other Benchmark Rate Election, the related Benchmark Replacement Date shall have occurred on the sixth Business Day after the date notice of such Other Benchmark Rate Election is provided to the Lenders, so long as the</w:t>
      </w:r>
    </w:p>
    <w:p>
      <w:pPr>
        <w:spacing w:after="0" w:line="215" w:lineRule="auto"/>
        <w:rPr>
          <w:sz w:val="20"/>
          <w:szCs w:val="20"/>
          <w:color w:val="auto"/>
        </w:rPr>
      </w:pPr>
      <w:r>
        <w:rPr>
          <w:rFonts w:ascii="Arial" w:cs="Arial" w:eastAsia="Arial" w:hAnsi="Arial"/>
          <w:sz w:val="19"/>
          <w:szCs w:val="19"/>
          <w:color w:val="auto"/>
        </w:rPr>
        <w:t>Administrative Agent has not received, by 5:00 p.m. (New York City time) on the fifth Business Day after the date notice of such Other Benchmark Rate Election is provided to the Lenders (such time, the “</w:t>
      </w:r>
      <w:r>
        <w:rPr>
          <w:rFonts w:ascii="Arial" w:cs="Arial" w:eastAsia="Arial" w:hAnsi="Arial"/>
          <w:sz w:val="19"/>
          <w:szCs w:val="19"/>
          <w:u w:val="single" w:color="auto"/>
          <w:color w:val="auto"/>
        </w:rPr>
        <w:t>Objection Deadline</w:t>
      </w:r>
      <w:r>
        <w:rPr>
          <w:rFonts w:ascii="Arial" w:cs="Arial" w:eastAsia="Arial" w:hAnsi="Arial"/>
          <w:sz w:val="19"/>
          <w:szCs w:val="19"/>
          <w:color w:val="auto"/>
        </w:rPr>
        <w:t>”) written notice of objection to such Other</w:t>
      </w:r>
    </w:p>
    <w:p>
      <w:pPr>
        <w:spacing w:after="0"/>
        <w:rPr>
          <w:sz w:val="20"/>
          <w:szCs w:val="20"/>
          <w:color w:val="auto"/>
        </w:rPr>
      </w:pPr>
      <w:r>
        <w:rPr>
          <w:rFonts w:ascii="Arial" w:cs="Arial" w:eastAsia="Arial" w:hAnsi="Arial"/>
          <w:sz w:val="20"/>
          <w:szCs w:val="20"/>
          <w:color w:val="auto"/>
        </w:rPr>
        <w:t>Benchmark Rate Election from Lenders comprising the Required Lenders;</w:t>
      </w:r>
    </w:p>
    <w:p>
      <w:pPr>
        <w:spacing w:after="0" w:line="159"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WHEREAS, pursuant to </w:t>
      </w:r>
      <w:r>
        <w:rPr>
          <w:rFonts w:ascii="Arial" w:cs="Arial" w:eastAsia="Arial" w:hAnsi="Arial"/>
          <w:sz w:val="18"/>
          <w:szCs w:val="18"/>
          <w:u w:val="single" w:color="auto"/>
          <w:color w:val="auto"/>
        </w:rPr>
        <w:t>Section 2.13(b)</w:t>
      </w:r>
      <w:r>
        <w:rPr>
          <w:rFonts w:ascii="Arial" w:cs="Arial" w:eastAsia="Arial" w:hAnsi="Arial"/>
          <w:sz w:val="18"/>
          <w:szCs w:val="18"/>
          <w:color w:val="auto"/>
        </w:rPr>
        <w:t xml:space="preserve"> of the Credit Agreement, if an Other Benchmark Rate Election and its related Benchmark Replacement Date have occurred prior to the Reference Time in respect of any setting of the then-current Benchmark, then the Benchmark</w:t>
      </w:r>
    </w:p>
    <w:p>
      <w:pPr>
        <w:spacing w:after="0" w:line="226" w:lineRule="auto"/>
        <w:rPr>
          <w:sz w:val="20"/>
          <w:szCs w:val="20"/>
          <w:color w:val="auto"/>
        </w:rPr>
      </w:pPr>
      <w:r>
        <w:rPr>
          <w:rFonts w:ascii="Arial" w:cs="Arial" w:eastAsia="Arial" w:hAnsi="Arial"/>
          <w:sz w:val="18"/>
          <w:szCs w:val="18"/>
          <w:color w:val="auto"/>
        </w:rPr>
        <w:t>Replacement will replace such Benchmark for all purposes under the Credit Agreement and any other Loan Document so long as the Administrative Agent has not received, by the Objection Deadline, written notice of objection to such Benchmark Replacement from Lenders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comprising the Required Lenders;</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WHEREAS, on June 15, 2023, the Administrative Agent notified the Lenders of the Other Benchmark Rate Election and of such proposed Benchmark Replacement by the posting of a draft of this Agreement; and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WHEREAS, in connection with the implementation of a Benchmark Replacement and pursuant to </w:t>
      </w:r>
      <w:r>
        <w:rPr>
          <w:rFonts w:ascii="Arial" w:cs="Arial" w:eastAsia="Arial" w:hAnsi="Arial"/>
          <w:sz w:val="18"/>
          <w:szCs w:val="18"/>
          <w:u w:val="single" w:color="auto"/>
          <w:color w:val="auto"/>
        </w:rPr>
        <w:t>Section 2.13(d)</w:t>
      </w:r>
      <w:r>
        <w:rPr>
          <w:rFonts w:ascii="Arial" w:cs="Arial" w:eastAsia="Arial" w:hAnsi="Arial"/>
          <w:sz w:val="18"/>
          <w:szCs w:val="18"/>
          <w:color w:val="auto"/>
        </w:rPr>
        <w:t xml:space="preserve"> of the Credit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Agreement, the Administrative Agent has determined that certain Benchmark Replacement Conforming Changes are necessary or advisable and such changes shall become effective without any further consent of any other party to the Credit Agreement or any other Loan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Document.</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69" w:lineRule="exact"/>
        <w:rPr>
          <w:sz w:val="20"/>
          <w:szCs w:val="20"/>
          <w:color w:val="auto"/>
        </w:rPr>
      </w:pPr>
    </w:p>
    <w:p>
      <w:pPr>
        <w:ind w:firstLine="656"/>
        <w:spacing w:after="0" w:line="236" w:lineRule="auto"/>
        <w:tabs>
          <w:tab w:leader="none" w:pos="1078"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Capitalized terms used herein but not otherwise defined herein shall have the meanings provided to such terms in the Credit Agreement.</w:t>
      </w:r>
    </w:p>
    <w:p>
      <w:pPr>
        <w:spacing w:after="0" w:line="155" w:lineRule="exact"/>
        <w:rPr>
          <w:rFonts w:ascii="Arial" w:cs="Arial" w:eastAsia="Arial" w:hAnsi="Arial"/>
          <w:sz w:val="20"/>
          <w:szCs w:val="20"/>
          <w:color w:val="auto"/>
        </w:rPr>
      </w:pPr>
    </w:p>
    <w:p>
      <w:pPr>
        <w:ind w:firstLine="656"/>
        <w:spacing w:after="0" w:line="236" w:lineRule="auto"/>
        <w:tabs>
          <w:tab w:leader="none" w:pos="1036"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Agreement</w:t>
      </w:r>
      <w:r>
        <w:rPr>
          <w:rFonts w:ascii="Arial" w:cs="Arial" w:eastAsia="Arial" w:hAnsi="Arial"/>
          <w:sz w:val="20"/>
          <w:szCs w:val="20"/>
          <w:color w:val="auto"/>
        </w:rPr>
        <w:t xml:space="preserve">. The Credit Agreement is hereby amended to delete the stricken text (indicated textually in the same manner as the following example: </w:t>
      </w:r>
      <w:r>
        <w:rPr>
          <w:rFonts w:ascii="Arial" w:cs="Arial" w:eastAsia="Arial" w:hAnsi="Arial"/>
          <w:sz w:val="20"/>
          <w:szCs w:val="20"/>
          <w:color w:val="FF0000"/>
          <w:strike w:val="1"/>
        </w:rPr>
        <w:t>stricken text</w:t>
      </w:r>
      <w:r>
        <w:rPr>
          <w:rFonts w:ascii="Arial" w:cs="Arial" w:eastAsia="Arial" w:hAnsi="Arial"/>
          <w:sz w:val="20"/>
          <w:szCs w:val="20"/>
          <w:color w:val="auto"/>
        </w:rPr>
        <w:t>) and to add the double-</w:t>
      </w:r>
    </w:p>
    <w:p>
      <w:pPr>
        <w:sectPr>
          <w:pgSz w:w="11900" w:h="16838" w:orient="portrait"/>
          <w:cols w:equalWidth="0" w:num="1">
            <w:col w:w="11240"/>
          </w:cols>
          <w:pgMar w:left="320" w:top="104" w:right="339" w:bottom="1440" w:gutter="0" w:footer="0" w:header="0"/>
        </w:sectPr>
      </w:pPr>
    </w:p>
    <w:bookmarkStart w:id="41" w:name="page42"/>
    <w:bookmarkEnd w:id="41"/>
    <w:p>
      <w:pPr>
        <w:spacing w:after="0" w:line="236" w:lineRule="auto"/>
        <w:rPr>
          <w:sz w:val="20"/>
          <w:szCs w:val="20"/>
          <w:color w:val="auto"/>
        </w:rPr>
      </w:pPr>
      <w:r>
        <w:rPr>
          <w:rFonts w:ascii="Arial" w:cs="Arial" w:eastAsia="Arial" w:hAnsi="Arial"/>
          <w:sz w:val="20"/>
          <w:szCs w:val="20"/>
          <w:color w:val="auto"/>
        </w:rPr>
        <w:t xml:space="preserve">underlined text (indicated textually in the same manner as the following example: </w:t>
      </w:r>
      <w:r>
        <w:rPr>
          <w:rFonts w:ascii="Arial" w:cs="Arial" w:eastAsia="Arial" w:hAnsi="Arial"/>
          <w:sz w:val="20"/>
          <w:szCs w:val="20"/>
          <w:u w:val="single" w:color="auto"/>
          <w:color w:val="0070C0"/>
        </w:rPr>
        <w:t>double-underlined text</w:t>
      </w:r>
      <w:r>
        <w:rPr>
          <w:rFonts w:ascii="Arial" w:cs="Arial" w:eastAsia="Arial" w:hAnsi="Arial"/>
          <w:sz w:val="20"/>
          <w:szCs w:val="20"/>
          <w:color w:val="auto"/>
        </w:rPr>
        <w:t>) as set forth in the pages attached as Exhibit A hereto.</w:t>
      </w:r>
    </w:p>
    <w:p>
      <w:pPr>
        <w:spacing w:after="0" w:line="155" w:lineRule="exact"/>
        <w:rPr>
          <w:sz w:val="20"/>
          <w:szCs w:val="20"/>
          <w:color w:val="auto"/>
        </w:rPr>
      </w:pPr>
    </w:p>
    <w:p>
      <w:pPr>
        <w:jc w:val="both"/>
        <w:ind w:firstLine="656"/>
        <w:spacing w:after="0" w:line="239" w:lineRule="auto"/>
        <w:tabs>
          <w:tab w:leader="none" w:pos="1166"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Payment of Expenses</w:t>
      </w:r>
      <w:r>
        <w:rPr>
          <w:rFonts w:ascii="Arial" w:cs="Arial" w:eastAsia="Arial" w:hAnsi="Arial"/>
          <w:sz w:val="19"/>
          <w:szCs w:val="19"/>
          <w:color w:val="auto"/>
        </w:rPr>
        <w:t>. The Borrowers agree to reimburse the Administrative Agent for all reasonable fees, charges and disbursements of the Administrative Agent in connection with the preparation, execution and delivery of this Agreement, including all reasonable fees, charges and disbursements of Simpson Thacher &amp; Bartlett LLP, counsel to the Administrative Agent.</w:t>
      </w:r>
    </w:p>
    <w:p>
      <w:pPr>
        <w:spacing w:after="0" w:line="157" w:lineRule="exact"/>
        <w:rPr>
          <w:rFonts w:ascii="Arial" w:cs="Arial" w:eastAsia="Arial" w:hAnsi="Arial"/>
          <w:sz w:val="19"/>
          <w:szCs w:val="19"/>
          <w:color w:val="auto"/>
        </w:rPr>
      </w:pPr>
    </w:p>
    <w:p>
      <w:pPr>
        <w:ind w:firstLine="656"/>
        <w:spacing w:after="0" w:line="236" w:lineRule="auto"/>
        <w:tabs>
          <w:tab w:leader="none" w:pos="1018" w:val="left"/>
        </w:tabs>
        <w:numPr>
          <w:ilvl w:val="1"/>
          <w:numId w:val="32"/>
        </w:numPr>
        <w:rPr>
          <w:rFonts w:ascii="Arial" w:cs="Arial" w:eastAsia="Arial" w:hAnsi="Arial"/>
          <w:sz w:val="20"/>
          <w:szCs w:val="20"/>
          <w:color w:val="auto"/>
        </w:rPr>
      </w:pPr>
      <w:r>
        <w:rPr>
          <w:rFonts w:ascii="Arial" w:cs="Arial" w:eastAsia="Arial" w:hAnsi="Arial"/>
          <w:sz w:val="20"/>
          <w:szCs w:val="20"/>
          <w:u w:val="single" w:color="auto"/>
          <w:color w:val="auto"/>
        </w:rPr>
        <w:t>Conditions Precedent</w:t>
      </w:r>
      <w:r>
        <w:rPr>
          <w:rFonts w:ascii="Arial" w:cs="Arial" w:eastAsia="Arial" w:hAnsi="Arial"/>
          <w:sz w:val="20"/>
          <w:szCs w:val="20"/>
          <w:color w:val="auto"/>
        </w:rPr>
        <w:t>. This effectiveness of this Agreement is subject to the satisfaction of each of the following conditions (the date of the satisfaction of all such conditions, the “</w:t>
      </w:r>
      <w:r>
        <w:rPr>
          <w:rFonts w:ascii="Arial" w:cs="Arial" w:eastAsia="Arial" w:hAnsi="Arial"/>
          <w:sz w:val="20"/>
          <w:szCs w:val="20"/>
          <w:u w:val="single" w:color="auto"/>
          <w:color w:val="auto"/>
        </w:rPr>
        <w:t>Amendment No. 1 Effective Date</w:t>
      </w:r>
      <w:r>
        <w:rPr>
          <w:rFonts w:ascii="Arial" w:cs="Arial" w:eastAsia="Arial" w:hAnsi="Arial"/>
          <w:sz w:val="20"/>
          <w:szCs w:val="20"/>
          <w:color w:val="auto"/>
        </w:rPr>
        <w:t>”):</w:t>
      </w:r>
    </w:p>
    <w:p>
      <w:pPr>
        <w:spacing w:after="0" w:line="168" w:lineRule="exact"/>
        <w:rPr>
          <w:rFonts w:ascii="Arial" w:cs="Arial" w:eastAsia="Arial" w:hAnsi="Arial"/>
          <w:sz w:val="20"/>
          <w:szCs w:val="20"/>
          <w:color w:val="auto"/>
        </w:rPr>
      </w:pPr>
    </w:p>
    <w:p>
      <w:pPr>
        <w:jc w:val="both"/>
        <w:ind w:firstLine="1304"/>
        <w:spacing w:after="0" w:line="220" w:lineRule="auto"/>
        <w:tabs>
          <w:tab w:leader="none" w:pos="1842" w:val="left"/>
        </w:tabs>
        <w:numPr>
          <w:ilvl w:val="2"/>
          <w:numId w:val="32"/>
        </w:numPr>
        <w:rPr>
          <w:rFonts w:ascii="Arial" w:cs="Arial" w:eastAsia="Arial" w:hAnsi="Arial"/>
          <w:sz w:val="20"/>
          <w:szCs w:val="20"/>
          <w:color w:val="auto"/>
        </w:rPr>
      </w:pPr>
      <w:r>
        <w:rPr>
          <w:rFonts w:ascii="Arial" w:cs="Arial" w:eastAsia="Arial" w:hAnsi="Arial"/>
          <w:sz w:val="20"/>
          <w:szCs w:val="20"/>
          <w:color w:val="auto"/>
        </w:rPr>
        <w:t>The Administrative Agent (or its counsel) shall have received from each of Holdings, the Borrowers and each other Guarantor, either (x) a counterpart of this Agreement signed on behalf of such party or (y) written evidence reasonably satisfactory to the Administrative Agent (which may include delivery of a signed signature page of this Agreement by facsimile or other means of electronic transmission (e.g., “pdf.”)) that such party has signed a counterpart of this Agreement.</w:t>
      </w:r>
    </w:p>
    <w:p>
      <w:pPr>
        <w:spacing w:after="0" w:line="155" w:lineRule="exact"/>
        <w:rPr>
          <w:rFonts w:ascii="Arial" w:cs="Arial" w:eastAsia="Arial" w:hAnsi="Arial"/>
          <w:sz w:val="20"/>
          <w:szCs w:val="20"/>
          <w:color w:val="auto"/>
        </w:rPr>
      </w:pPr>
    </w:p>
    <w:p>
      <w:pPr>
        <w:ind w:firstLine="1304"/>
        <w:spacing w:after="0" w:line="236" w:lineRule="auto"/>
        <w:tabs>
          <w:tab w:leader="none" w:pos="1874" w:val="left"/>
        </w:tabs>
        <w:numPr>
          <w:ilvl w:val="2"/>
          <w:numId w:val="32"/>
        </w:numPr>
        <w:rPr>
          <w:rFonts w:ascii="Arial" w:cs="Arial" w:eastAsia="Arial" w:hAnsi="Arial"/>
          <w:sz w:val="20"/>
          <w:szCs w:val="20"/>
          <w:color w:val="auto"/>
        </w:rPr>
      </w:pPr>
      <w:r>
        <w:rPr>
          <w:rFonts w:ascii="Arial" w:cs="Arial" w:eastAsia="Arial" w:hAnsi="Arial"/>
          <w:sz w:val="20"/>
          <w:szCs w:val="20"/>
          <w:color w:val="auto"/>
        </w:rPr>
        <w:t>The Administrative Agent has not received, by the Objection Deadline, written notice of objection to the Other Benchmark Rate Election or the applicable Benchmark Replacement from Lenders comprising the Required Lenders.</w:t>
      </w:r>
    </w:p>
    <w:p>
      <w:pPr>
        <w:spacing w:after="0" w:line="168" w:lineRule="exact"/>
        <w:rPr>
          <w:rFonts w:ascii="Arial" w:cs="Arial" w:eastAsia="Arial" w:hAnsi="Arial"/>
          <w:sz w:val="20"/>
          <w:szCs w:val="20"/>
          <w:color w:val="auto"/>
        </w:rPr>
      </w:pPr>
    </w:p>
    <w:p>
      <w:pPr>
        <w:ind w:left="1000" w:hanging="344"/>
        <w:spacing w:after="0"/>
        <w:tabs>
          <w:tab w:leader="none" w:pos="1000"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Each Loan Party represents and warrants to the Administrative Agent that, as of the date hereof:</w:t>
      </w:r>
    </w:p>
    <w:p>
      <w:pPr>
        <w:spacing w:after="0" w:line="221" w:lineRule="exact"/>
        <w:rPr>
          <w:rFonts w:ascii="Arial" w:cs="Arial" w:eastAsia="Arial" w:hAnsi="Arial"/>
          <w:sz w:val="16"/>
          <w:szCs w:val="16"/>
          <w:color w:val="auto"/>
        </w:rPr>
      </w:pPr>
    </w:p>
    <w:p>
      <w:pPr>
        <w:jc w:val="both"/>
        <w:ind w:firstLine="1304"/>
        <w:spacing w:after="0" w:line="246" w:lineRule="auto"/>
        <w:tabs>
          <w:tab w:leader="none" w:pos="1944" w:val="left"/>
        </w:tabs>
        <w:numPr>
          <w:ilvl w:val="2"/>
          <w:numId w:val="32"/>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such Loan Party and constitutes the legal, valid and binding obligation of such Loan Party enforceable against each such Loan Party in accordance with its terms, subject to (i) applicable bankruptcy, insolvency, reorganization, moratorium or other laws affecting creditors’ rights generally, (ii) general principles of equity, regardless of whether considered in a proceeding in equity or at law and (iii) implied covenants of good faith and fair dealing; and</w:t>
      </w:r>
    </w:p>
    <w:p>
      <w:pPr>
        <w:spacing w:after="0" w:line="163" w:lineRule="exact"/>
        <w:rPr>
          <w:rFonts w:ascii="Arial" w:cs="Arial" w:eastAsia="Arial" w:hAnsi="Arial"/>
          <w:sz w:val="18"/>
          <w:szCs w:val="18"/>
          <w:color w:val="auto"/>
        </w:rPr>
      </w:pPr>
    </w:p>
    <w:p>
      <w:pPr>
        <w:jc w:val="both"/>
        <w:ind w:firstLine="1304"/>
        <w:spacing w:after="0" w:line="232" w:lineRule="auto"/>
        <w:tabs>
          <w:tab w:leader="none" w:pos="1944" w:val="left"/>
        </w:tabs>
        <w:numPr>
          <w:ilvl w:val="2"/>
          <w:numId w:val="32"/>
        </w:numPr>
        <w:rPr>
          <w:rFonts w:ascii="Arial" w:cs="Arial" w:eastAsia="Arial" w:hAnsi="Arial"/>
          <w:sz w:val="18"/>
          <w:szCs w:val="18"/>
          <w:color w:val="auto"/>
        </w:rPr>
      </w:pPr>
      <w:r>
        <w:rPr>
          <w:rFonts w:ascii="Arial" w:cs="Arial" w:eastAsia="Arial" w:hAnsi="Arial"/>
          <w:sz w:val="18"/>
          <w:szCs w:val="18"/>
          <w:color w:val="auto"/>
        </w:rPr>
        <w:t>the execution, delivery and performance by each Loan Party of this Agreement (i) do not require any consent or approval of, registration or filing with, or any other action by, any Governmental Authority, except (A) such as have been obtained or made and are in full force and effect and (B) those approvals, consents, registrations, filings or other actions, the failure of which to obtain or make has not had and could not reasonably be expected to have a Material Adverse Effect, (ii) except as has not had and could not reasonably be expected to have a Material Adverse Effect, will not violate any applicable law or regulation or any order of any Governmental Authority,</w:t>
      </w:r>
    </w:p>
    <w:p>
      <w:pPr>
        <w:spacing w:after="0" w:line="1" w:lineRule="exact"/>
        <w:rPr>
          <w:rFonts w:ascii="Arial" w:cs="Arial" w:eastAsia="Arial" w:hAnsi="Arial"/>
          <w:sz w:val="18"/>
          <w:szCs w:val="18"/>
          <w:color w:val="auto"/>
        </w:rPr>
      </w:pPr>
    </w:p>
    <w:p>
      <w:pPr>
        <w:jc w:val="both"/>
        <w:ind w:firstLine="8"/>
        <w:spacing w:after="0" w:line="223" w:lineRule="auto"/>
        <w:tabs>
          <w:tab w:leader="none" w:pos="347" w:val="left"/>
        </w:tabs>
        <w:numPr>
          <w:ilvl w:val="0"/>
          <w:numId w:val="33"/>
        </w:numPr>
        <w:rPr>
          <w:rFonts w:ascii="Arial" w:cs="Arial" w:eastAsia="Arial" w:hAnsi="Arial"/>
          <w:sz w:val="19"/>
          <w:szCs w:val="19"/>
          <w:color w:val="auto"/>
        </w:rPr>
      </w:pPr>
      <w:r>
        <w:rPr>
          <w:rFonts w:ascii="Arial" w:cs="Arial" w:eastAsia="Arial" w:hAnsi="Arial"/>
          <w:sz w:val="19"/>
          <w:szCs w:val="19"/>
          <w:color w:val="auto"/>
        </w:rPr>
        <w:t>will not violate any charter, by-laws or other organizational document of Holdings or any of its Restricted Subsidiaries, (iv) except as has not had and could not reasonably be expected to have a Material Adverse Effect, will not violate or result in a default under any indenture, agreement or other instrument (other than the agreements and instruments referred to in clause (iii)) binding upon Holdings or any of its Restricted Subsidiaries or its assets, or give rise to a right thereunder to require any payment to be made by Holdings or any of its Restricted Subsidiaries, and (v) will not result in the creation or imposition of any Lien on any asset of Holdings or any of its Restricted Subsidiaries (other than the Liens created pursuant to the Collateral Documents).</w:t>
      </w:r>
    </w:p>
    <w:p>
      <w:pPr>
        <w:spacing w:after="0" w:line="196" w:lineRule="exact"/>
        <w:rPr>
          <w:rFonts w:ascii="Arial" w:cs="Arial" w:eastAsia="Arial" w:hAnsi="Arial"/>
          <w:sz w:val="19"/>
          <w:szCs w:val="19"/>
          <w:color w:val="auto"/>
        </w:rPr>
      </w:pPr>
    </w:p>
    <w:p>
      <w:pPr>
        <w:ind w:left="1060" w:hanging="404"/>
        <w:spacing w:after="0"/>
        <w:tabs>
          <w:tab w:leader="none" w:pos="1060" w:val="left"/>
        </w:tabs>
        <w:numPr>
          <w:ilvl w:val="1"/>
          <w:numId w:val="33"/>
        </w:numPr>
        <w:rPr>
          <w:rFonts w:ascii="Arial" w:cs="Arial" w:eastAsia="Arial" w:hAnsi="Arial"/>
          <w:sz w:val="20"/>
          <w:szCs w:val="20"/>
          <w:color w:val="auto"/>
        </w:rPr>
      </w:pPr>
      <w:r>
        <w:rPr>
          <w:rFonts w:ascii="Arial" w:cs="Arial" w:eastAsia="Arial" w:hAnsi="Arial"/>
          <w:sz w:val="20"/>
          <w:szCs w:val="20"/>
          <w:u w:val="single" w:color="auto"/>
          <w:color w:val="auto"/>
        </w:rPr>
        <w:t>Reaffirmation; Reference to and Effect on the Loan Documents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20" w:lineRule="auto"/>
        <w:tabs>
          <w:tab w:leader="none" w:pos="1944" w:val="left"/>
        </w:tabs>
        <w:numPr>
          <w:ilvl w:val="2"/>
          <w:numId w:val="33"/>
        </w:numPr>
        <w:rPr>
          <w:rFonts w:ascii="Arial" w:cs="Arial" w:eastAsia="Arial" w:hAnsi="Arial"/>
          <w:sz w:val="20"/>
          <w:szCs w:val="20"/>
          <w:color w:val="auto"/>
        </w:rPr>
      </w:pPr>
      <w:r>
        <w:rPr>
          <w:rFonts w:ascii="Arial" w:cs="Arial" w:eastAsia="Arial" w:hAnsi="Arial"/>
          <w:sz w:val="20"/>
          <w:szCs w:val="20"/>
          <w:color w:val="auto"/>
        </w:rPr>
        <w:t>From and after the Amendment No. 1 Effective Date, each reference in the Credit Agreement to “hereunder,” “hereof,” “this Agreement” or words of like import and each reference in the other Loan Documents to “Credit Agreement,” “thereunder,” “thereof” or words of like import shall, unless the context otherwise requires, mean and be a reference to the Credit Agreement as amended by this Agreement. This Agreement is a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05" w:right="339" w:bottom="1440" w:gutter="0" w:footer="0" w:header="0"/>
        </w:sectPr>
      </w:pPr>
    </w:p>
    <w:bookmarkStart w:id="42" w:name="page43"/>
    <w:bookmarkEnd w:id="42"/>
    <w:p>
      <w:pPr>
        <w:ind w:firstLine="1304"/>
        <w:spacing w:after="0" w:line="236" w:lineRule="auto"/>
        <w:tabs>
          <w:tab w:leader="none" w:pos="1944" w:val="left"/>
        </w:tabs>
        <w:numPr>
          <w:ilvl w:val="1"/>
          <w:numId w:val="34"/>
        </w:numPr>
        <w:rPr>
          <w:rFonts w:ascii="Arial" w:cs="Arial" w:eastAsia="Arial" w:hAnsi="Arial"/>
          <w:sz w:val="20"/>
          <w:szCs w:val="20"/>
          <w:color w:val="auto"/>
        </w:rPr>
      </w:pPr>
      <w:r>
        <w:rPr>
          <w:rFonts w:ascii="Arial" w:cs="Arial" w:eastAsia="Arial" w:hAnsi="Arial"/>
          <w:sz w:val="20"/>
          <w:szCs w:val="20"/>
          <w:color w:val="auto"/>
        </w:rPr>
        <w:t>The Loan Documents, and the obligations of the Borrowers and the Guarantors under the Loan Documents, are hereby ratified and confirmed and shall remain in full force and effect according to their terms.</w:t>
      </w:r>
    </w:p>
    <w:p>
      <w:pPr>
        <w:spacing w:after="0" w:line="155" w:lineRule="exact"/>
        <w:rPr>
          <w:rFonts w:ascii="Arial" w:cs="Arial" w:eastAsia="Arial" w:hAnsi="Arial"/>
          <w:sz w:val="20"/>
          <w:szCs w:val="20"/>
          <w:color w:val="auto"/>
        </w:rPr>
      </w:pPr>
    </w:p>
    <w:p>
      <w:pPr>
        <w:jc w:val="both"/>
        <w:ind w:firstLine="1304"/>
        <w:spacing w:after="0" w:line="225" w:lineRule="auto"/>
        <w:tabs>
          <w:tab w:leader="none" w:pos="1944" w:val="left"/>
        </w:tabs>
        <w:numPr>
          <w:ilvl w:val="1"/>
          <w:numId w:val="34"/>
        </w:numPr>
        <w:rPr>
          <w:rFonts w:ascii="Arial" w:cs="Arial" w:eastAsia="Arial" w:hAnsi="Arial"/>
          <w:sz w:val="19"/>
          <w:szCs w:val="19"/>
          <w:color w:val="auto"/>
        </w:rPr>
      </w:pPr>
      <w:r>
        <w:rPr>
          <w:rFonts w:ascii="Arial" w:cs="Arial" w:eastAsia="Arial" w:hAnsi="Arial"/>
          <w:sz w:val="19"/>
          <w:szCs w:val="19"/>
          <w:color w:val="auto"/>
        </w:rPr>
        <w:t>Each of the Borrowers and each Guarantor (i) acknowledges and consents to all of the terms and conditions of this Agreement, (ii) affirms all of its obligations under the Loan Documents, (iii) agrees that this Agreement and all documents executed in connection herewith do not operate to reduce or discharge its obligations under the Loan Documents, (iv) agrees that the Collateral Documents continue to be in full force and effect and are not impaired or adversely affected in any manner whatsoever, (v) confirms its grant of security interests pursuant to the Collateral Documents to which it is a party as Collateral for the Obligations, and (vi) acknowledges that all Liens granted (or purported to be granted) pursuant to the Collateral Documents remain and continue in full force and effect in respect of, and to secure, the Obligations. Each Guarantor hereby reaffirms its obligations under the Guaranty, and agrees that its obligation to guarantee the Obligations is in full force and effect as of the date hereof.</w:t>
      </w:r>
    </w:p>
    <w:p>
      <w:pPr>
        <w:spacing w:after="0" w:line="170" w:lineRule="exact"/>
        <w:rPr>
          <w:rFonts w:ascii="Arial" w:cs="Arial" w:eastAsia="Arial" w:hAnsi="Arial"/>
          <w:sz w:val="19"/>
          <w:szCs w:val="19"/>
          <w:color w:val="auto"/>
        </w:rPr>
      </w:pPr>
    </w:p>
    <w:p>
      <w:pPr>
        <w:jc w:val="both"/>
        <w:ind w:firstLine="1304"/>
        <w:spacing w:after="0" w:line="223" w:lineRule="auto"/>
        <w:tabs>
          <w:tab w:leader="none" w:pos="1944" w:val="left"/>
        </w:tabs>
        <w:numPr>
          <w:ilvl w:val="1"/>
          <w:numId w:val="34"/>
        </w:numPr>
        <w:rPr>
          <w:rFonts w:ascii="Arial" w:cs="Arial" w:eastAsia="Arial" w:hAnsi="Arial"/>
          <w:sz w:val="20"/>
          <w:szCs w:val="20"/>
          <w:color w:val="auto"/>
        </w:rPr>
      </w:pPr>
      <w:r>
        <w:rPr>
          <w:rFonts w:ascii="Arial" w:cs="Arial" w:eastAsia="Arial" w:hAnsi="Arial"/>
          <w:sz w:val="20"/>
          <w:szCs w:val="20"/>
          <w:color w:val="auto"/>
        </w:rPr>
        <w:t>The execution, delivery and effectiveness of this Agreement shall not, except as expressly provided herein, operate as a waiver of any right, power or remedy of any Lender or the Administrative Agent under any of the Loan Documents, nor constitute a waiver of any provision of any of the Loan Documents.</w:t>
      </w:r>
    </w:p>
    <w:p>
      <w:pPr>
        <w:spacing w:after="0" w:line="168" w:lineRule="exact"/>
        <w:rPr>
          <w:rFonts w:ascii="Arial" w:cs="Arial" w:eastAsia="Arial" w:hAnsi="Arial"/>
          <w:sz w:val="20"/>
          <w:szCs w:val="20"/>
          <w:color w:val="auto"/>
        </w:rPr>
      </w:pPr>
    </w:p>
    <w:p>
      <w:pPr>
        <w:ind w:left="1000" w:hanging="344"/>
        <w:spacing w:after="0"/>
        <w:tabs>
          <w:tab w:leader="none" w:pos="1000"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Governing Law; Jurisdiction; Consent to Service of Process; Waiver of Jury Trial, Etc</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firstLine="1304"/>
        <w:spacing w:after="0" w:line="285" w:lineRule="auto"/>
        <w:tabs>
          <w:tab w:leader="none" w:pos="1803"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and governed by the law of the State of New York, without regard to conflict of laws principles thereof to the extent such principles would cause the application of the law of another state.</w:t>
      </w:r>
    </w:p>
    <w:p>
      <w:pPr>
        <w:spacing w:after="0" w:line="150" w:lineRule="exact"/>
        <w:rPr>
          <w:rFonts w:ascii="Arial" w:cs="Arial" w:eastAsia="Arial" w:hAnsi="Arial"/>
          <w:sz w:val="18"/>
          <w:szCs w:val="18"/>
          <w:color w:val="auto"/>
        </w:rPr>
      </w:pPr>
    </w:p>
    <w:p>
      <w:pPr>
        <w:ind w:firstLine="1304"/>
        <w:spacing w:after="0" w:line="232" w:lineRule="auto"/>
        <w:tabs>
          <w:tab w:leader="none" w:pos="1888" w:val="left"/>
        </w:tabs>
        <w:numPr>
          <w:ilvl w:val="1"/>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EACH PARTY HERETO HEREBY AGREES AS SET FORTH IN SECTIONS 10.9 AND 10.10 OF THE CREDIT AGREEMENT AS IF SUCH SECTIONS WERE SET FORTH IN FULL HEREIN</w:t>
      </w:r>
      <w:r>
        <w:rPr>
          <w:rFonts w:ascii="Arial" w:cs="Arial" w:eastAsia="Arial" w:hAnsi="Arial"/>
          <w:sz w:val="20"/>
          <w:szCs w:val="20"/>
          <w:color w:val="auto"/>
        </w:rPr>
        <w:t>.</w:t>
      </w:r>
    </w:p>
    <w:p>
      <w:pPr>
        <w:spacing w:after="0" w:line="168" w:lineRule="exact"/>
        <w:rPr>
          <w:rFonts w:ascii="Arial" w:cs="Arial" w:eastAsia="Arial" w:hAnsi="Arial"/>
          <w:sz w:val="20"/>
          <w:szCs w:val="20"/>
          <w:b w:val="1"/>
          <w:bCs w:val="1"/>
          <w:color w:val="auto"/>
        </w:rPr>
      </w:pPr>
    </w:p>
    <w:p>
      <w:pPr>
        <w:jc w:val="both"/>
        <w:ind w:firstLine="656"/>
        <w:spacing w:after="0" w:line="225" w:lineRule="auto"/>
        <w:tabs>
          <w:tab w:leader="none" w:pos="1038"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Headings; Severability</w:t>
      </w:r>
      <w:r>
        <w:rPr>
          <w:rFonts w:ascii="Arial" w:cs="Arial" w:eastAsia="Arial" w:hAnsi="Arial"/>
          <w:sz w:val="19"/>
          <w:szCs w:val="19"/>
          <w:color w:val="auto"/>
        </w:rPr>
        <w:t>. Section headings used herein are for convenience of reference only, are not part of this Agreement and shall not affect the construction of, or be taken into consideration in interpreting, this Agreement.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86" w:lineRule="exact"/>
        <w:rPr>
          <w:rFonts w:ascii="Arial" w:cs="Arial" w:eastAsia="Arial" w:hAnsi="Arial"/>
          <w:sz w:val="19"/>
          <w:szCs w:val="19"/>
          <w:color w:val="auto"/>
        </w:rPr>
      </w:pPr>
    </w:p>
    <w:p>
      <w:pPr>
        <w:jc w:val="both"/>
        <w:ind w:firstLine="656"/>
        <w:spacing w:after="0" w:line="221" w:lineRule="auto"/>
        <w:tabs>
          <w:tab w:leader="none" w:pos="1139"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Execution in Counterparts; Electronic Signatures</w:t>
      </w:r>
      <w:r>
        <w:rPr>
          <w:rFonts w:ascii="Arial" w:cs="Arial" w:eastAsia="Arial" w:hAnsi="Arial"/>
          <w:sz w:val="19"/>
          <w:szCs w:val="19"/>
          <w:color w:val="auto"/>
        </w:rPr>
        <w:t xml:space="preserve">. This Agreement may be executed in counterparts (and by different parties hereto on different counterparts), each of which shall constitute an original, but all of which when taken together shall constitute a single contract. Delivery of an executed counterpart of a signature page of this Agreement that is an Electronic Signature transmitted by telecopy, emailed pdf. or any other electronic means shall be effective as delivery of a manually executed counterpart of this Agreement. The words “execution,” “signed,” “signature,” “delivery,” and words of like import in or relating to this Agreement shall be deemed to include Electronic Signatures, deliveries or the keeping of records in any electronic form (including deliveries by telecopy, emailed pdf. or any other electronic means),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require the Administrative Agent to accept Electronic Signatures in any form or format without its prior written consent and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any Borrower or any other Loan Party without further verification thereof and without any obligation to review the appearance or form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05" w:right="339" w:bottom="1440" w:gutter="0" w:footer="0" w:header="0"/>
        </w:sectPr>
      </w:pPr>
    </w:p>
    <w:bookmarkStart w:id="43" w:name="page44"/>
    <w:bookmarkEnd w:id="43"/>
    <w:p>
      <w:pPr>
        <w:spacing w:after="0" w:line="236" w:lineRule="auto"/>
        <w:rPr>
          <w:sz w:val="20"/>
          <w:szCs w:val="20"/>
          <w:color w:val="auto"/>
        </w:rPr>
      </w:pPr>
      <w:r>
        <w:rPr>
          <w:rFonts w:ascii="Arial" w:cs="Arial" w:eastAsia="Arial" w:hAnsi="Arial"/>
          <w:sz w:val="20"/>
          <w:szCs w:val="20"/>
          <w:color w:val="auto"/>
        </w:rPr>
        <w:t>any such Electronic Signature and (ii) upon the request of the Administrative Agent or any Lender, any Electronic Signature shall be promptly followed by a manually executed counterpart.</w:t>
      </w:r>
    </w:p>
    <w:p>
      <w:pPr>
        <w:spacing w:after="0" w:line="182" w:lineRule="exact"/>
        <w:rPr>
          <w:sz w:val="20"/>
          <w:szCs w:val="20"/>
          <w:color w:val="auto"/>
        </w:rPr>
      </w:pPr>
    </w:p>
    <w:p>
      <w:pPr>
        <w:ind w:left="3920" w:right="560" w:hanging="3264"/>
        <w:spacing w:after="0" w:line="486" w:lineRule="auto"/>
        <w:tabs>
          <w:tab w:leader="none" w:pos="1158"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hereunder shall be given in accordance with the provisions of Section 10.1 of the Credit Agreement. [remainder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05" w:right="339" w:bottom="1440" w:gutter="0" w:footer="0" w:header="0"/>
        </w:sectPr>
      </w:pPr>
    </w:p>
    <w:bookmarkStart w:id="44" w:name="page45"/>
    <w:bookmarkEnd w:id="44"/>
    <w:p>
      <w:pPr>
        <w:ind w:left="660"/>
        <w:spacing w:after="0"/>
        <w:rPr>
          <w:sz w:val="20"/>
          <w:szCs w:val="20"/>
          <w:color w:val="auto"/>
        </w:rPr>
      </w:pPr>
      <w:r>
        <w:rPr>
          <w:rFonts w:ascii="Arial" w:cs="Arial" w:eastAsia="Arial" w:hAnsi="Arial"/>
          <w:sz w:val="18"/>
          <w:szCs w:val="18"/>
          <w:color w:val="auto"/>
        </w:rPr>
        <w:t>Each of the parties hereto has caused a counterpart of this Agreement to be duly executed and delivered as of the date first above</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REMITLY GLOBAL, INC.</w:t>
      </w:r>
    </w:p>
    <w:p>
      <w:pPr>
        <w:ind w:left="3920"/>
        <w:spacing w:after="0"/>
        <w:rPr>
          <w:sz w:val="20"/>
          <w:szCs w:val="20"/>
          <w:color w:val="auto"/>
        </w:rPr>
      </w:pPr>
      <w:r>
        <w:rPr>
          <w:rFonts w:ascii="Arial" w:cs="Arial" w:eastAsia="Arial" w:hAnsi="Arial"/>
          <w:sz w:val="20"/>
          <w:szCs w:val="20"/>
          <w:color w:val="auto"/>
        </w:rPr>
        <w:t>REMITLY, INC.</w:t>
      </w:r>
    </w:p>
    <w:p>
      <w:pPr>
        <w:spacing w:after="0" w:line="200" w:lineRule="exact"/>
        <w:rPr>
          <w:sz w:val="20"/>
          <w:szCs w:val="20"/>
          <w:color w:val="auto"/>
        </w:rPr>
      </w:pPr>
    </w:p>
    <w:p>
      <w:pPr>
        <w:spacing w:after="0" w:line="243" w:lineRule="exact"/>
        <w:rPr>
          <w:sz w:val="20"/>
          <w:szCs w:val="20"/>
          <w:color w:val="auto"/>
        </w:rPr>
      </w:pPr>
    </w:p>
    <w:p>
      <w:pPr>
        <w:ind w:left="3920"/>
        <w:spacing w:after="0"/>
        <w:tabs>
          <w:tab w:leader="none" w:pos="4420" w:val="left"/>
        </w:tabs>
        <w:rPr>
          <w:sz w:val="20"/>
          <w:szCs w:val="20"/>
          <w:color w:val="auto"/>
        </w:rPr>
      </w:pPr>
      <w:r>
        <w:rPr>
          <w:rFonts w:ascii="Arial" w:cs="Arial" w:eastAsia="Arial" w:hAnsi="Arial"/>
          <w:sz w:val="20"/>
          <w:szCs w:val="20"/>
          <w:color w:val="auto"/>
        </w:rPr>
        <w:t>By:</w:t>
        <w:tab/>
        <w:t>/s/ Hemanth Munipalli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10160</wp:posOffset>
            </wp:positionV>
            <wp:extent cx="19284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7" w:lineRule="exact"/>
        <w:rPr>
          <w:sz w:val="20"/>
          <w:szCs w:val="20"/>
          <w:color w:val="auto"/>
        </w:rPr>
      </w:pPr>
    </w:p>
    <w:p>
      <w:pPr>
        <w:ind w:left="4440"/>
        <w:spacing w:after="0"/>
        <w:tabs>
          <w:tab w:leader="none" w:pos="51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Hemanth Munipalli</w:t>
      </w:r>
    </w:p>
    <w:p>
      <w:pPr>
        <w:spacing w:after="0" w:line="27" w:lineRule="exact"/>
        <w:rPr>
          <w:sz w:val="20"/>
          <w:szCs w:val="20"/>
          <w:color w:val="auto"/>
        </w:rPr>
      </w:pPr>
    </w:p>
    <w:p>
      <w:pPr>
        <w:ind w:left="4440"/>
        <w:spacing w:after="0"/>
        <w:tabs>
          <w:tab w:leader="none" w:pos="50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Financial Officer</w:t>
      </w:r>
    </w:p>
    <w:p>
      <w:pPr>
        <w:sectPr>
          <w:pgSz w:w="11900" w:h="16838" w:orient="portrait"/>
          <w:cols w:equalWidth="0" w:num="1">
            <w:col w:w="11240"/>
          </w:cols>
          <w:pgMar w:left="320" w:top="1405" w:right="339" w:bottom="1440" w:gutter="0" w:footer="0" w:header="0"/>
        </w:sectPr>
      </w:pPr>
    </w:p>
    <w:bookmarkStart w:id="45" w:name="page46"/>
    <w:bookmarkEnd w:id="45"/>
    <w:p>
      <w:pPr>
        <w:spacing w:after="0" w:line="20"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JPMORGAN CHASE BANK, N.A., as</w:t>
      </w:r>
    </w:p>
    <w:p>
      <w:pPr>
        <w:spacing w:after="0" w:line="12" w:lineRule="exact"/>
        <w:rPr>
          <w:sz w:val="20"/>
          <w:szCs w:val="20"/>
          <w:color w:val="auto"/>
        </w:rPr>
      </w:pPr>
    </w:p>
    <w:p>
      <w:pPr>
        <w:ind w:left="2800"/>
        <w:spacing w:after="0"/>
        <w:rPr>
          <w:sz w:val="20"/>
          <w:szCs w:val="20"/>
          <w:color w:val="auto"/>
        </w:rPr>
      </w:pPr>
      <w:r>
        <w:rPr>
          <w:rFonts w:ascii="Arial" w:cs="Arial" w:eastAsia="Arial" w:hAnsi="Arial"/>
          <w:sz w:val="20"/>
          <w:szCs w:val="20"/>
          <w:color w:val="auto"/>
        </w:rPr>
        <w:t>Administrative Agent</w:t>
      </w:r>
    </w:p>
    <w:p>
      <w:pPr>
        <w:spacing w:after="0" w:line="4" w:lineRule="exact"/>
        <w:rPr>
          <w:sz w:val="20"/>
          <w:szCs w:val="20"/>
          <w:color w:val="auto"/>
        </w:rPr>
      </w:pPr>
    </w:p>
    <w:p>
      <w:pPr>
        <w:ind w:left="2800"/>
        <w:spacing w:after="0"/>
        <w:tabs>
          <w:tab w:leader="none" w:pos="3300" w:val="left"/>
        </w:tabs>
        <w:rPr>
          <w:sz w:val="20"/>
          <w:szCs w:val="20"/>
          <w:color w:val="auto"/>
        </w:rPr>
      </w:pPr>
      <w:r>
        <w:rPr>
          <w:rFonts w:ascii="Arial" w:cs="Arial" w:eastAsia="Arial" w:hAnsi="Arial"/>
          <w:sz w:val="20"/>
          <w:szCs w:val="20"/>
          <w:color w:val="auto"/>
        </w:rPr>
        <w:t>By:</w:t>
        <w:tab/>
        <w:t>/s/ Lucas Menendez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14605</wp:posOffset>
            </wp:positionV>
            <wp:extent cx="19284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3" w:lineRule="exact"/>
        <w:rPr>
          <w:sz w:val="20"/>
          <w:szCs w:val="20"/>
          <w:color w:val="auto"/>
        </w:rPr>
      </w:pPr>
    </w:p>
    <w:p>
      <w:pPr>
        <w:ind w:left="3320"/>
        <w:spacing w:after="0"/>
        <w:tabs>
          <w:tab w:leader="none" w:pos="40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Lucas Menendez</w:t>
      </w:r>
    </w:p>
    <w:p>
      <w:pPr>
        <w:spacing w:after="0" w:line="27" w:lineRule="exact"/>
        <w:rPr>
          <w:sz w:val="20"/>
          <w:szCs w:val="20"/>
          <w:color w:val="auto"/>
        </w:rPr>
      </w:pPr>
    </w:p>
    <w:p>
      <w:pPr>
        <w:ind w:left="3320"/>
        <w:spacing w:after="0"/>
        <w:tabs>
          <w:tab w:leader="none" w:pos="39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ectPr>
          <w:pgSz w:w="11900" w:h="16838" w:orient="portrait"/>
          <w:cols w:equalWidth="0" w:num="1">
            <w:col w:w="9019"/>
          </w:cols>
          <w:pgMar w:left="1440" w:top="1440" w:right="1440"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9"/>
          <w:szCs w:val="19"/>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05" w:right="1440"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702310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REVOLVING CREDIT AND GUARANTY AGREEMENT</w:t>
      </w:r>
    </w:p>
    <w:p>
      <w:pPr>
        <w:spacing w:after="0" w:line="160"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dated as of September 13, 2021</w:t>
      </w:r>
      <w:r>
        <w:rPr>
          <w:rFonts w:ascii="Arial" w:cs="Arial" w:eastAsia="Arial" w:hAnsi="Arial"/>
          <w:sz w:val="22"/>
          <w:szCs w:val="22"/>
          <w:u w:val="single" w:color="auto"/>
          <w:color w:val="0000FF"/>
          <w:highlight w:val="lightGray"/>
        </w:rPr>
        <w:t>,</w:t>
      </w:r>
    </w:p>
    <w:p>
      <w:pPr>
        <w:jc w:val="center"/>
        <w:ind w:right="1120"/>
        <w:spacing w:after="0"/>
        <w:rPr>
          <w:sz w:val="20"/>
          <w:szCs w:val="20"/>
          <w:color w:val="auto"/>
        </w:rPr>
      </w:pPr>
      <w:r>
        <w:rPr>
          <w:rFonts w:ascii="Arial" w:cs="Arial" w:eastAsia="Arial" w:hAnsi="Arial"/>
          <w:sz w:val="22"/>
          <w:szCs w:val="22"/>
          <w:u w:val="single" w:color="auto"/>
          <w:color w:val="0000FF"/>
          <w:highlight w:val="lightGray"/>
        </w:rPr>
        <w:t>as amended by Amendment No. 1, dated as of June 26, 2023</w:t>
      </w:r>
    </w:p>
    <w:p>
      <w:pPr>
        <w:spacing w:after="0" w:line="16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among</w:t>
      </w:r>
    </w:p>
    <w:p>
      <w:pPr>
        <w:spacing w:after="0" w:line="160"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REMITLY GLOBAL, INC.</w:t>
      </w:r>
    </w:p>
    <w:p>
      <w:pPr>
        <w:jc w:val="center"/>
        <w:ind w:right="1120"/>
        <w:spacing w:after="0" w:line="204" w:lineRule="auto"/>
        <w:rPr>
          <w:sz w:val="20"/>
          <w:szCs w:val="20"/>
          <w:color w:val="auto"/>
        </w:rPr>
      </w:pPr>
      <w:r>
        <w:rPr>
          <w:rFonts w:ascii="Arial" w:cs="Arial" w:eastAsia="Arial" w:hAnsi="Arial"/>
          <w:sz w:val="22"/>
          <w:szCs w:val="22"/>
          <w:color w:val="auto"/>
        </w:rPr>
        <w:t>and</w:t>
      </w:r>
    </w:p>
    <w:p>
      <w:pPr>
        <w:jc w:val="center"/>
        <w:ind w:right="1120"/>
        <w:spacing w:after="0" w:line="205" w:lineRule="auto"/>
        <w:rPr>
          <w:sz w:val="20"/>
          <w:szCs w:val="20"/>
          <w:color w:val="auto"/>
        </w:rPr>
      </w:pPr>
      <w:r>
        <w:rPr>
          <w:rFonts w:ascii="Arial" w:cs="Arial" w:eastAsia="Arial" w:hAnsi="Arial"/>
          <w:sz w:val="22"/>
          <w:szCs w:val="22"/>
          <w:color w:val="auto"/>
        </w:rPr>
        <w:t>REMITLY, INC.,</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Borrowers</w:t>
      </w:r>
    </w:p>
    <w:p>
      <w:pPr>
        <w:spacing w:after="0" w:line="161"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The Guarantors Party Hereto,</w:t>
      </w:r>
    </w:p>
    <w:p>
      <w:pPr>
        <w:spacing w:after="0" w:line="179"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The Lenders and Issuing Banks Party Hereto</w:t>
      </w:r>
    </w:p>
    <w:p>
      <w:pPr>
        <w:spacing w:after="0" w:line="179"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and</w:t>
      </w:r>
    </w:p>
    <w:p>
      <w:pPr>
        <w:spacing w:after="0" w:line="160"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JPMORGAN CHASE BANK, N.A.,</w:t>
      </w:r>
    </w:p>
    <w:p>
      <w:pPr>
        <w:ind w:left="2540"/>
        <w:spacing w:after="0"/>
        <w:rPr>
          <w:sz w:val="20"/>
          <w:szCs w:val="20"/>
          <w:color w:val="auto"/>
        </w:rPr>
      </w:pPr>
      <w:r>
        <w:rPr>
          <w:rFonts w:ascii="Arial" w:cs="Arial" w:eastAsia="Arial" w:hAnsi="Arial"/>
          <w:sz w:val="22"/>
          <w:szCs w:val="22"/>
          <w:color w:val="auto"/>
        </w:rPr>
        <w:t>as Administrative Agent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887095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___________________</w:t>
      </w:r>
    </w:p>
    <w:p>
      <w:pPr>
        <w:spacing w:after="0" w:line="160"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JPMORGAN CHASE BANK, N.A.</w:t>
      </w:r>
    </w:p>
    <w:p>
      <w:pPr>
        <w:jc w:val="center"/>
        <w:ind w:right="1120"/>
        <w:spacing w:after="0" w:line="214" w:lineRule="auto"/>
        <w:rPr>
          <w:sz w:val="20"/>
          <w:szCs w:val="20"/>
          <w:color w:val="auto"/>
        </w:rPr>
      </w:pPr>
      <w:r>
        <w:rPr>
          <w:rFonts w:ascii="Arial" w:cs="Arial" w:eastAsia="Arial" w:hAnsi="Arial"/>
          <w:sz w:val="21"/>
          <w:szCs w:val="21"/>
          <w:color w:val="auto"/>
        </w:rPr>
        <w:t>SILICON VALLEY BANK and GOLDMAN SACHS LENDING PARTNERS LLC</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Joint Lead Arrangers</w:t>
      </w:r>
    </w:p>
    <w:p>
      <w:pPr>
        <w:spacing w:after="0" w:line="142"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JPMORGAN CHASE BANK, N.A.,</w:t>
      </w:r>
    </w:p>
    <w:p>
      <w:pPr>
        <w:jc w:val="center"/>
        <w:ind w:right="1120"/>
        <w:spacing w:after="0"/>
        <w:rPr>
          <w:sz w:val="20"/>
          <w:szCs w:val="20"/>
          <w:color w:val="auto"/>
        </w:rPr>
      </w:pPr>
      <w:r>
        <w:rPr>
          <w:rFonts w:ascii="Arial" w:cs="Arial" w:eastAsia="Arial" w:hAnsi="Arial"/>
          <w:sz w:val="22"/>
          <w:szCs w:val="22"/>
          <w:color w:val="auto"/>
        </w:rPr>
        <w:t>as Sole Bookrunner</w:t>
      </w:r>
    </w:p>
    <w:p>
      <w:pPr>
        <w:spacing w:after="0" w:line="161"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___________________</w:t>
      </w:r>
    </w:p>
    <w:p>
      <w:pPr>
        <w:sectPr>
          <w:pgSz w:w="11900" w:h="16838" w:orient="portrait"/>
          <w:cols w:equalWidth="0" w:num="1">
            <w:col w:w="10120"/>
          </w:cols>
          <w:pgMar w:left="1440" w:top="104" w:right="339" w:bottom="1440" w:gutter="0" w:footer="0" w:header="0"/>
        </w:sectPr>
      </w:pPr>
    </w:p>
    <w:bookmarkStart w:id="48" w:name="page49"/>
    <w:bookmarkEnd w:id="48"/>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Table of Contents</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Page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ARTICLE I</w:t>
      </w:r>
    </w:p>
    <w:p>
      <w:pPr>
        <w:spacing w:after="0" w:line="179" w:lineRule="exact"/>
        <w:rPr>
          <w:sz w:val="20"/>
          <w:szCs w:val="20"/>
          <w:color w:val="auto"/>
        </w:rPr>
      </w:pPr>
    </w:p>
    <w:p>
      <w:pPr>
        <w:ind w:left="1560"/>
        <w:spacing w:after="0"/>
        <w:tabs>
          <w:tab w:leader="none" w:pos="3100" w:val="left"/>
        </w:tabs>
        <w:rPr>
          <w:sz w:val="20"/>
          <w:szCs w:val="20"/>
          <w:color w:val="auto"/>
        </w:rPr>
      </w:pPr>
      <w:r>
        <w:rPr>
          <w:rFonts w:ascii="Arial" w:cs="Arial" w:eastAsia="Arial" w:hAnsi="Arial"/>
          <w:sz w:val="22"/>
          <w:szCs w:val="22"/>
          <w:color w:val="auto"/>
        </w:rPr>
        <w:t>DEFINITIONS</w:t>
      </w:r>
      <w:r>
        <w:rPr>
          <w:sz w:val="20"/>
          <w:szCs w:val="20"/>
          <w:color w:val="auto"/>
        </w:rPr>
        <w:tab/>
      </w:r>
      <w:r>
        <w:rPr>
          <w:rFonts w:ascii="Arial" w:cs="Arial" w:eastAsia="Arial" w:hAnsi="Arial"/>
          <w:sz w:val="21"/>
          <w:szCs w:val="21"/>
          <w:color w:val="auto"/>
        </w:rPr>
        <w:t>1</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2500" w:type="dxa"/>
            <w:vAlign w:val="bottom"/>
            <w:gridSpan w:val="9"/>
          </w:tcPr>
          <w:p>
            <w:pPr>
              <w:spacing w:after="0"/>
              <w:rPr>
                <w:sz w:val="20"/>
                <w:szCs w:val="20"/>
                <w:color w:val="auto"/>
              </w:rPr>
            </w:pPr>
            <w:r>
              <w:rPr>
                <w:rFonts w:ascii="Arial" w:cs="Arial" w:eastAsia="Arial" w:hAnsi="Arial"/>
                <w:sz w:val="22"/>
                <w:szCs w:val="22"/>
                <w:color w:val="auto"/>
                <w:w w:val="95"/>
              </w:rPr>
              <w:t>Section 1.1 Defined Terms</w:t>
            </w:r>
          </w:p>
        </w:tc>
        <w:tc>
          <w:tcPr>
            <w:tcW w:w="180" w:type="dxa"/>
            <w:vAlign w:val="bottom"/>
          </w:tcPr>
          <w:p>
            <w:pPr>
              <w:jc w:val="right"/>
              <w:spacing w:after="0"/>
              <w:rPr>
                <w:sz w:val="20"/>
                <w:szCs w:val="20"/>
                <w:color w:val="auto"/>
              </w:rPr>
            </w:pPr>
            <w:r>
              <w:rPr>
                <w:rFonts w:ascii="Arial" w:cs="Arial" w:eastAsia="Arial" w:hAnsi="Arial"/>
                <w:sz w:val="22"/>
                <w:szCs w:val="22"/>
                <w:color w:val="auto"/>
                <w:w w:val="81"/>
              </w:rPr>
              <w:t>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line="195" w:lineRule="exact"/>
              <w:rPr>
                <w:sz w:val="20"/>
                <w:szCs w:val="20"/>
                <w:color w:val="auto"/>
              </w:rPr>
            </w:pPr>
            <w:r>
              <w:rPr>
                <w:rFonts w:ascii="Arial" w:cs="Arial" w:eastAsia="Arial" w:hAnsi="Arial"/>
                <w:sz w:val="22"/>
                <w:szCs w:val="22"/>
                <w:color w:val="auto"/>
                <w:w w:val="87"/>
              </w:rPr>
              <w:t>Section 1.2</w:t>
            </w:r>
          </w:p>
        </w:tc>
        <w:tc>
          <w:tcPr>
            <w:tcW w:w="1320" w:type="dxa"/>
            <w:vAlign w:val="bottom"/>
            <w:tcBorders>
              <w:top w:val="single" w:sz="8" w:color="auto"/>
            </w:tcBorders>
            <w:gridSpan w:val="5"/>
          </w:tcPr>
          <w:p>
            <w:pPr>
              <w:ind w:left="40"/>
              <w:spacing w:after="0" w:line="195" w:lineRule="exact"/>
              <w:rPr>
                <w:sz w:val="20"/>
                <w:szCs w:val="20"/>
                <w:color w:val="auto"/>
              </w:rPr>
            </w:pPr>
            <w:r>
              <w:rPr>
                <w:rFonts w:ascii="Arial" w:cs="Arial" w:eastAsia="Arial" w:hAnsi="Arial"/>
                <w:sz w:val="22"/>
                <w:szCs w:val="22"/>
                <w:color w:val="auto"/>
                <w:w w:val="97"/>
              </w:rPr>
              <w:t>Classification</w:t>
            </w:r>
          </w:p>
        </w:tc>
        <w:tc>
          <w:tcPr>
            <w:tcW w:w="2380" w:type="dxa"/>
            <w:vAlign w:val="bottom"/>
            <w:gridSpan w:val="18"/>
          </w:tcPr>
          <w:p>
            <w:pPr>
              <w:spacing w:after="0" w:line="195" w:lineRule="exact"/>
              <w:rPr>
                <w:sz w:val="20"/>
                <w:szCs w:val="20"/>
                <w:color w:val="auto"/>
              </w:rPr>
            </w:pPr>
            <w:r>
              <w:rPr>
                <w:rFonts w:ascii="Arial" w:cs="Arial" w:eastAsia="Arial" w:hAnsi="Arial"/>
                <w:sz w:val="22"/>
                <w:szCs w:val="22"/>
                <w:color w:val="auto"/>
                <w:w w:val="96"/>
              </w:rPr>
              <w:t>of Loans and Borrowings</w:t>
            </w:r>
          </w:p>
        </w:tc>
        <w:tc>
          <w:tcPr>
            <w:tcW w:w="220" w:type="dxa"/>
            <w:vAlign w:val="bottom"/>
          </w:tcPr>
          <w:p>
            <w:pPr>
              <w:jc w:val="right"/>
              <w:spacing w:after="0" w:line="195" w:lineRule="exact"/>
              <w:rPr>
                <w:sz w:val="20"/>
                <w:szCs w:val="20"/>
                <w:color w:val="auto"/>
              </w:rPr>
            </w:pPr>
            <w:r>
              <w:rPr>
                <w:rFonts w:ascii="Arial" w:cs="Arial" w:eastAsia="Arial" w:hAnsi="Arial"/>
                <w:sz w:val="22"/>
                <w:szCs w:val="22"/>
                <w:color w:val="FF0000"/>
                <w:strike w:val="1"/>
                <w:w w:val="81"/>
              </w:rPr>
              <w:t>47</w:t>
            </w:r>
          </w:p>
        </w:tc>
        <w:tc>
          <w:tcPr>
            <w:tcW w:w="220" w:type="dxa"/>
            <w:vAlign w:val="bottom"/>
            <w:gridSpan w:val="2"/>
            <w:shd w:val="clear" w:color="auto" w:fill="DDDDDD"/>
          </w:tcPr>
          <w:p>
            <w:pPr>
              <w:jc w:val="right"/>
              <w:spacing w:after="0" w:line="195" w:lineRule="exact"/>
              <w:rPr>
                <w:sz w:val="20"/>
                <w:szCs w:val="20"/>
                <w:color w:val="auto"/>
              </w:rPr>
            </w:pPr>
            <w:r>
              <w:rPr>
                <w:rFonts w:ascii="Arial" w:cs="Arial" w:eastAsia="Arial" w:hAnsi="Arial"/>
                <w:sz w:val="22"/>
                <w:szCs w:val="22"/>
                <w:color w:val="0000FF"/>
                <w:highlight w:val="lightGray"/>
                <w:w w:val="81"/>
              </w:rPr>
              <w:t>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line="176" w:lineRule="exact"/>
              <w:rPr>
                <w:sz w:val="20"/>
                <w:szCs w:val="20"/>
                <w:color w:val="auto"/>
              </w:rPr>
            </w:pPr>
            <w:r>
              <w:rPr>
                <w:rFonts w:ascii="Arial" w:cs="Arial" w:eastAsia="Arial" w:hAnsi="Arial"/>
                <w:sz w:val="19"/>
                <w:szCs w:val="19"/>
                <w:color w:val="auto"/>
                <w:w w:val="98"/>
              </w:rPr>
              <w:t>Section 1.3</w:t>
            </w:r>
          </w:p>
        </w:tc>
        <w:tc>
          <w:tcPr>
            <w:tcW w:w="1540" w:type="dxa"/>
            <w:vAlign w:val="bottom"/>
            <w:tcBorders>
              <w:top w:val="single" w:sz="8" w:color="auto"/>
            </w:tcBorders>
            <w:gridSpan w:val="8"/>
          </w:tcPr>
          <w:p>
            <w:pPr>
              <w:ind w:left="60"/>
              <w:spacing w:after="0" w:line="176" w:lineRule="exact"/>
              <w:rPr>
                <w:sz w:val="20"/>
                <w:szCs w:val="20"/>
                <w:color w:val="auto"/>
              </w:rPr>
            </w:pPr>
            <w:r>
              <w:rPr>
                <w:rFonts w:ascii="Arial" w:cs="Arial" w:eastAsia="Arial" w:hAnsi="Arial"/>
                <w:sz w:val="19"/>
                <w:szCs w:val="19"/>
                <w:color w:val="auto"/>
              </w:rPr>
              <w:t>Terms Generally</w:t>
            </w:r>
          </w:p>
        </w:tc>
        <w:tc>
          <w:tcPr>
            <w:tcW w:w="1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gridSpan w:val="2"/>
          </w:tcPr>
          <w:p>
            <w:pPr>
              <w:jc w:val="right"/>
              <w:spacing w:after="0" w:line="176" w:lineRule="exact"/>
              <w:rPr>
                <w:sz w:val="20"/>
                <w:szCs w:val="20"/>
                <w:color w:val="auto"/>
              </w:rPr>
            </w:pPr>
            <w:r>
              <w:rPr>
                <w:rFonts w:ascii="Arial" w:cs="Arial" w:eastAsia="Arial" w:hAnsi="Arial"/>
                <w:sz w:val="19"/>
                <w:szCs w:val="19"/>
                <w:color w:val="FF0000"/>
                <w:strike w:val="1"/>
                <w:w w:val="94"/>
              </w:rPr>
              <w:t>48</w:t>
            </w:r>
          </w:p>
        </w:tc>
        <w:tc>
          <w:tcPr>
            <w:tcW w:w="220" w:type="dxa"/>
            <w:vAlign w:val="bottom"/>
            <w:tcBorders>
              <w:top w:val="single" w:sz="8" w:color="auto"/>
              <w:right w:val="single" w:sz="8" w:color="DDDDDD"/>
            </w:tcBorders>
            <w:shd w:val="clear" w:color="auto" w:fill="DDDDDD"/>
          </w:tcPr>
          <w:p>
            <w:pPr>
              <w:spacing w:after="0" w:line="176" w:lineRule="exact"/>
              <w:rPr>
                <w:sz w:val="20"/>
                <w:szCs w:val="20"/>
                <w:color w:val="auto"/>
              </w:rPr>
            </w:pPr>
            <w:r>
              <w:rPr>
                <w:rFonts w:ascii="Arial" w:cs="Arial" w:eastAsia="Arial" w:hAnsi="Arial"/>
                <w:sz w:val="19"/>
                <w:szCs w:val="19"/>
                <w:color w:val="0000FF"/>
                <w:highlight w:val="lightGray"/>
                <w:w w:val="84"/>
              </w:rPr>
              <w:t>46</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line="195" w:lineRule="exact"/>
              <w:rPr>
                <w:sz w:val="20"/>
                <w:szCs w:val="20"/>
                <w:color w:val="auto"/>
              </w:rPr>
            </w:pPr>
            <w:r>
              <w:rPr>
                <w:rFonts w:ascii="Arial" w:cs="Arial" w:eastAsia="Arial" w:hAnsi="Arial"/>
                <w:sz w:val="22"/>
                <w:szCs w:val="22"/>
                <w:color w:val="auto"/>
                <w:w w:val="85"/>
              </w:rPr>
              <w:t>Section 1.4</w:t>
            </w:r>
          </w:p>
        </w:tc>
        <w:tc>
          <w:tcPr>
            <w:tcW w:w="900" w:type="dxa"/>
            <w:vAlign w:val="bottom"/>
            <w:tcBorders>
              <w:top w:val="single" w:sz="8" w:color="auto"/>
            </w:tcBorders>
            <w:gridSpan w:val="2"/>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0000FF"/>
              <w:right w:val="single" w:sz="8" w:color="DDDDDD"/>
            </w:tcBorders>
            <w:shd w:val="clear" w:color="auto" w:fill="DDDDD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DDDDDD"/>
            </w:tcBorders>
          </w:tcPr>
          <w:p>
            <w:pPr>
              <w:spacing w:after="0" w:line="20" w:lineRule="exact"/>
              <w:rPr>
                <w:sz w:val="1"/>
                <w:szCs w:val="1"/>
                <w:color w:val="auto"/>
              </w:rPr>
            </w:pPr>
          </w:p>
        </w:tc>
        <w:tc>
          <w:tcPr>
            <w:tcW w:w="120" w:type="dxa"/>
            <w:vAlign w:val="bottom"/>
            <w:tcBorders>
              <w:left w:val="single" w:sz="8" w:color="DDDDDD"/>
            </w:tcBorders>
            <w:shd w:val="clear" w:color="auto" w:fill="DDDDD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vMerge w:val="continue"/>
          </w:tcPr>
          <w:p>
            <w:pPr>
              <w:spacing w:after="0"/>
              <w:rPr>
                <w:sz w:val="17"/>
                <w:szCs w:val="17"/>
                <w:color w:val="auto"/>
              </w:rPr>
            </w:pPr>
          </w:p>
        </w:tc>
        <w:tc>
          <w:tcPr>
            <w:tcW w:w="2340" w:type="dxa"/>
            <w:vAlign w:val="bottom"/>
            <w:tcBorders>
              <w:bottom w:val="single" w:sz="8" w:color="auto"/>
            </w:tcBorders>
            <w:gridSpan w:val="14"/>
          </w:tcPr>
          <w:p>
            <w:pPr>
              <w:ind w:left="60"/>
              <w:spacing w:after="0" w:line="176" w:lineRule="exact"/>
              <w:rPr>
                <w:sz w:val="20"/>
                <w:szCs w:val="20"/>
                <w:color w:val="auto"/>
              </w:rPr>
            </w:pPr>
            <w:r>
              <w:rPr>
                <w:rFonts w:ascii="Arial" w:cs="Arial" w:eastAsia="Arial" w:hAnsi="Arial"/>
                <w:sz w:val="19"/>
                <w:szCs w:val="19"/>
                <w:color w:val="auto"/>
              </w:rPr>
              <w:t>Accounting Terms; GAAP</w:t>
            </w:r>
          </w:p>
        </w:tc>
        <w:tc>
          <w:tcPr>
            <w:tcW w:w="120" w:type="dxa"/>
            <w:vAlign w:val="bottom"/>
          </w:tcPr>
          <w:p>
            <w:pPr>
              <w:spacing w:after="0"/>
              <w:rPr>
                <w:sz w:val="17"/>
                <w:szCs w:val="17"/>
                <w:color w:val="auto"/>
              </w:rPr>
            </w:pPr>
          </w:p>
        </w:tc>
        <w:tc>
          <w:tcPr>
            <w:tcW w:w="420" w:type="dxa"/>
            <w:vAlign w:val="bottom"/>
            <w:tcBorders>
              <w:right w:val="single" w:sz="8" w:color="DDDDDD"/>
            </w:tcBorders>
            <w:gridSpan w:val="3"/>
          </w:tcPr>
          <w:p>
            <w:pPr>
              <w:jc w:val="right"/>
              <w:ind w:right="100"/>
              <w:spacing w:after="0" w:line="176" w:lineRule="exact"/>
              <w:rPr>
                <w:sz w:val="20"/>
                <w:szCs w:val="20"/>
                <w:color w:val="auto"/>
              </w:rPr>
            </w:pPr>
            <w:r>
              <w:rPr>
                <w:rFonts w:ascii="Arial" w:cs="Arial" w:eastAsia="Arial" w:hAnsi="Arial"/>
                <w:sz w:val="19"/>
                <w:szCs w:val="19"/>
                <w:color w:val="FF0000"/>
                <w:strike w:val="1"/>
              </w:rPr>
              <w:t>48</w:t>
            </w:r>
          </w:p>
        </w:tc>
        <w:tc>
          <w:tcPr>
            <w:tcW w:w="120" w:type="dxa"/>
            <w:vAlign w:val="bottom"/>
            <w:tcBorders>
              <w:left w:val="single" w:sz="8" w:color="DDDDDD"/>
              <w:bottom w:val="single" w:sz="8" w:color="0000FF"/>
            </w:tcBorders>
            <w:shd w:val="clear" w:color="auto" w:fill="DDDDDD"/>
          </w:tcPr>
          <w:p>
            <w:pPr>
              <w:jc w:val="right"/>
              <w:spacing w:after="0"/>
              <w:rPr>
                <w:sz w:val="20"/>
                <w:szCs w:val="20"/>
                <w:color w:val="auto"/>
              </w:rPr>
            </w:pPr>
            <w:r>
              <w:rPr>
                <w:rFonts w:ascii="Arial" w:cs="Arial" w:eastAsia="Arial" w:hAnsi="Arial"/>
                <w:sz w:val="12"/>
                <w:szCs w:val="12"/>
                <w:color w:val="0000FF"/>
                <w:highlight w:val="lightGray"/>
                <w:w w:val="74"/>
              </w:rPr>
              <w:t>46</w:t>
            </w:r>
          </w:p>
        </w:tc>
        <w:tc>
          <w:tcPr>
            <w:tcW w:w="20" w:type="dxa"/>
            <w:vAlign w:val="bottom"/>
            <w:tcBorders>
              <w:bottom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line="176" w:lineRule="exact"/>
              <w:rPr>
                <w:sz w:val="20"/>
                <w:szCs w:val="20"/>
                <w:color w:val="auto"/>
              </w:rPr>
            </w:pPr>
            <w:r>
              <w:rPr>
                <w:rFonts w:ascii="Arial" w:cs="Arial" w:eastAsia="Arial" w:hAnsi="Arial"/>
                <w:sz w:val="19"/>
                <w:szCs w:val="19"/>
                <w:color w:val="auto"/>
                <w:w w:val="98"/>
              </w:rPr>
              <w:t>Section 1.5</w:t>
            </w:r>
          </w:p>
        </w:tc>
        <w:tc>
          <w:tcPr>
            <w:tcW w:w="20" w:type="dxa"/>
            <w:vAlign w:val="bottom"/>
          </w:tcPr>
          <w:p>
            <w:pPr>
              <w:spacing w:after="0"/>
              <w:rPr>
                <w:sz w:val="17"/>
                <w:szCs w:val="17"/>
                <w:color w:val="auto"/>
              </w:rPr>
            </w:pPr>
          </w:p>
        </w:tc>
        <w:tc>
          <w:tcPr>
            <w:tcW w:w="2320" w:type="dxa"/>
            <w:vAlign w:val="bottom"/>
            <w:gridSpan w:val="13"/>
          </w:tcPr>
          <w:p>
            <w:pPr>
              <w:ind w:left="40"/>
              <w:spacing w:after="0" w:line="176" w:lineRule="exact"/>
              <w:rPr>
                <w:sz w:val="20"/>
                <w:szCs w:val="20"/>
                <w:color w:val="auto"/>
              </w:rPr>
            </w:pPr>
            <w:r>
              <w:rPr>
                <w:rFonts w:ascii="Arial" w:cs="Arial" w:eastAsia="Arial" w:hAnsi="Arial"/>
                <w:sz w:val="19"/>
                <w:szCs w:val="19"/>
                <w:color w:val="auto"/>
              </w:rPr>
              <w:t>Letter of Credit Amounts</w:t>
            </w:r>
          </w:p>
        </w:tc>
        <w:tc>
          <w:tcPr>
            <w:tcW w:w="120" w:type="dxa"/>
            <w:vAlign w:val="bottom"/>
          </w:tcPr>
          <w:p>
            <w:pPr>
              <w:spacing w:after="0"/>
              <w:rPr>
                <w:sz w:val="17"/>
                <w:szCs w:val="17"/>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9"/>
                <w:szCs w:val="19"/>
                <w:color w:val="FF0000"/>
                <w:strike w:val="1"/>
                <w:w w:val="84"/>
              </w:rPr>
              <w:t>48</w:t>
            </w:r>
          </w:p>
        </w:tc>
        <w:tc>
          <w:tcPr>
            <w:tcW w:w="220" w:type="dxa"/>
            <w:vAlign w:val="bottom"/>
            <w:tcBorders>
              <w:top w:val="single" w:sz="8" w:color="DDDDDD"/>
              <w:right w:val="single" w:sz="8" w:color="DDDDDD"/>
            </w:tcBorders>
            <w:gridSpan w:val="2"/>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94"/>
              </w:rPr>
              <w:t>47</w:t>
            </w:r>
          </w:p>
        </w:tc>
        <w:tc>
          <w:tcPr>
            <w:tcW w:w="120" w:type="dxa"/>
            <w:vAlign w:val="bottom"/>
            <w:tcBorders>
              <w:top w:val="single" w:sz="8" w:color="DDDDDD"/>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line="176" w:lineRule="exact"/>
              <w:rPr>
                <w:sz w:val="20"/>
                <w:szCs w:val="20"/>
                <w:color w:val="auto"/>
              </w:rPr>
            </w:pPr>
            <w:r>
              <w:rPr>
                <w:rFonts w:ascii="Arial" w:cs="Arial" w:eastAsia="Arial" w:hAnsi="Arial"/>
                <w:sz w:val="19"/>
                <w:szCs w:val="19"/>
                <w:color w:val="auto"/>
                <w:w w:val="98"/>
              </w:rPr>
              <w:t>Section 1.6</w:t>
            </w:r>
          </w:p>
        </w:tc>
        <w:tc>
          <w:tcPr>
            <w:tcW w:w="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ind w:left="40"/>
              <w:spacing w:after="0" w:line="176" w:lineRule="exact"/>
              <w:rPr>
                <w:sz w:val="20"/>
                <w:szCs w:val="20"/>
                <w:color w:val="auto"/>
              </w:rPr>
            </w:pPr>
            <w:r>
              <w:rPr>
                <w:rFonts w:ascii="Arial" w:cs="Arial" w:eastAsia="Arial" w:hAnsi="Arial"/>
                <w:sz w:val="19"/>
                <w:szCs w:val="19"/>
                <w:color w:val="auto"/>
              </w:rPr>
              <w:t>Divisions</w:t>
            </w:r>
          </w:p>
        </w:tc>
        <w:tc>
          <w:tcPr>
            <w:tcW w:w="2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gridSpan w:val="2"/>
          </w:tcPr>
          <w:p>
            <w:pPr>
              <w:jc w:val="right"/>
              <w:spacing w:after="0" w:line="176" w:lineRule="exact"/>
              <w:rPr>
                <w:sz w:val="20"/>
                <w:szCs w:val="20"/>
                <w:color w:val="auto"/>
              </w:rPr>
            </w:pPr>
            <w:r>
              <w:rPr>
                <w:rFonts w:ascii="Arial" w:cs="Arial" w:eastAsia="Arial" w:hAnsi="Arial"/>
                <w:sz w:val="19"/>
                <w:szCs w:val="19"/>
                <w:color w:val="FF0000"/>
                <w:strike w:val="1"/>
                <w:w w:val="94"/>
              </w:rPr>
              <w:t>49</w:t>
            </w:r>
          </w:p>
        </w:tc>
        <w:tc>
          <w:tcPr>
            <w:tcW w:w="220" w:type="dxa"/>
            <w:vAlign w:val="bottom"/>
            <w:tcBorders>
              <w:top w:val="single" w:sz="8" w:color="auto"/>
              <w:bottom w:val="single" w:sz="8" w:color="0000FF"/>
            </w:tcBorders>
            <w:gridSpan w:val="3"/>
            <w:shd w:val="clear" w:color="auto" w:fill="DDDDDD"/>
          </w:tcPr>
          <w:p>
            <w:pPr>
              <w:spacing w:after="0" w:line="176" w:lineRule="exact"/>
              <w:rPr>
                <w:sz w:val="20"/>
                <w:szCs w:val="20"/>
                <w:color w:val="auto"/>
              </w:rPr>
            </w:pPr>
            <w:r>
              <w:rPr>
                <w:rFonts w:ascii="Arial" w:cs="Arial" w:eastAsia="Arial" w:hAnsi="Arial"/>
                <w:sz w:val="19"/>
                <w:szCs w:val="19"/>
                <w:color w:val="0000FF"/>
                <w:highlight w:val="lightGray"/>
                <w:w w:val="94"/>
              </w:rPr>
              <w:t>47</w:t>
            </w:r>
          </w:p>
        </w:tc>
        <w:tc>
          <w:tcPr>
            <w:tcW w:w="1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top w:val="single" w:sz="8" w:color="DDDDDD"/>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line="195" w:lineRule="exact"/>
              <w:rPr>
                <w:sz w:val="20"/>
                <w:szCs w:val="20"/>
                <w:color w:val="auto"/>
              </w:rPr>
            </w:pPr>
            <w:r>
              <w:rPr>
                <w:rFonts w:ascii="Arial" w:cs="Arial" w:eastAsia="Arial" w:hAnsi="Arial"/>
                <w:sz w:val="22"/>
                <w:szCs w:val="22"/>
                <w:color w:val="auto"/>
                <w:w w:val="85"/>
              </w:rPr>
              <w:t>Section 1.7</w:t>
            </w:r>
          </w:p>
        </w:tc>
        <w:tc>
          <w:tcPr>
            <w:tcW w:w="20" w:type="dxa"/>
            <w:vAlign w:val="bottom"/>
          </w:tcPr>
          <w:p>
            <w:pPr>
              <w:spacing w:after="0" w:line="20" w:lineRule="exact"/>
              <w:rPr>
                <w:sz w:val="1"/>
                <w:szCs w:val="1"/>
                <w:color w:val="auto"/>
              </w:rPr>
            </w:pPr>
          </w:p>
        </w:tc>
        <w:tc>
          <w:tcPr>
            <w:tcW w:w="1260" w:type="dxa"/>
            <w:vAlign w:val="bottom"/>
            <w:gridSpan w:val="3"/>
            <w:vMerge w:val="restart"/>
          </w:tcPr>
          <w:p>
            <w:pPr>
              <w:ind w:left="40"/>
              <w:spacing w:after="0" w:line="195" w:lineRule="exact"/>
              <w:rPr>
                <w:sz w:val="20"/>
                <w:szCs w:val="20"/>
                <w:color w:val="auto"/>
              </w:rPr>
            </w:pPr>
            <w:r>
              <w:rPr>
                <w:rFonts w:ascii="Arial" w:cs="Arial" w:eastAsia="Arial" w:hAnsi="Arial"/>
                <w:sz w:val="22"/>
                <w:szCs w:val="22"/>
                <w:color w:val="auto"/>
                <w:w w:val="90"/>
              </w:rPr>
              <w:t>Interest Rate;</w:t>
            </w:r>
          </w:p>
        </w:tc>
        <w:tc>
          <w:tcPr>
            <w:tcW w:w="40" w:type="dxa"/>
            <w:vAlign w:val="bottom"/>
          </w:tcPr>
          <w:p>
            <w:pPr>
              <w:spacing w:after="0" w:line="20" w:lineRule="exact"/>
              <w:rPr>
                <w:sz w:val="1"/>
                <w:szCs w:val="1"/>
                <w:color w:val="auto"/>
              </w:rPr>
            </w:pPr>
          </w:p>
        </w:tc>
        <w:tc>
          <w:tcPr>
            <w:tcW w:w="220" w:type="dxa"/>
            <w:vAlign w:val="bottom"/>
            <w:gridSpan w:val="3"/>
            <w:shd w:val="clear" w:color="auto" w:fill="DDDDDD"/>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shd w:val="clear" w:color="auto" w:fill="DDDDDD"/>
          </w:tcPr>
          <w:p>
            <w:pPr>
              <w:spacing w:after="0" w:line="20" w:lineRule="exact"/>
              <w:rPr>
                <w:sz w:val="1"/>
                <w:szCs w:val="1"/>
                <w:color w:val="auto"/>
              </w:rPr>
            </w:pPr>
          </w:p>
        </w:tc>
        <w:tc>
          <w:tcPr>
            <w:tcW w:w="420" w:type="dxa"/>
            <w:vAlign w:val="bottom"/>
            <w:tcBorders>
              <w:right w:val="single" w:sz="8" w:color="DDDDDD"/>
            </w:tcBorders>
            <w:gridSpan w:val="3"/>
            <w:shd w:val="clear" w:color="auto" w:fill="DDDDDD"/>
          </w:tcPr>
          <w:p>
            <w:pPr>
              <w:spacing w:after="0" w:line="20" w:lineRule="exact"/>
              <w:rPr>
                <w:sz w:val="1"/>
                <w:szCs w:val="1"/>
                <w:color w:val="auto"/>
              </w:rPr>
            </w:pPr>
          </w:p>
        </w:tc>
        <w:tc>
          <w:tcPr>
            <w:tcW w:w="140" w:type="dxa"/>
            <w:vAlign w:val="bottom"/>
            <w:tcBorders>
              <w:left w:val="single" w:sz="8" w:color="DDDDDD"/>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DDDDD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vMerge w:val="continue"/>
          </w:tcPr>
          <w:p>
            <w:pPr>
              <w:spacing w:after="0"/>
              <w:rPr>
                <w:sz w:val="17"/>
                <w:szCs w:val="17"/>
                <w:color w:val="auto"/>
              </w:rPr>
            </w:pPr>
          </w:p>
        </w:tc>
        <w:tc>
          <w:tcPr>
            <w:tcW w:w="40" w:type="dxa"/>
            <w:vAlign w:val="bottom"/>
            <w:tcBorders>
              <w:bottom w:val="single" w:sz="8" w:color="FF0000"/>
            </w:tcBorders>
          </w:tcPr>
          <w:p>
            <w:pPr>
              <w:spacing w:after="0"/>
              <w:rPr>
                <w:sz w:val="17"/>
                <w:szCs w:val="17"/>
                <w:color w:val="auto"/>
              </w:rPr>
            </w:pPr>
          </w:p>
        </w:tc>
        <w:tc>
          <w:tcPr>
            <w:tcW w:w="600" w:type="dxa"/>
            <w:vAlign w:val="bottom"/>
            <w:tcBorders>
              <w:bottom w:val="single" w:sz="8" w:color="FF0000"/>
            </w:tcBorders>
            <w:gridSpan w:val="5"/>
          </w:tcPr>
          <w:p>
            <w:pPr>
              <w:spacing w:after="0" w:line="176" w:lineRule="exact"/>
              <w:rPr>
                <w:sz w:val="20"/>
                <w:szCs w:val="20"/>
                <w:color w:val="auto"/>
              </w:rPr>
            </w:pPr>
            <w:r>
              <w:rPr>
                <w:rFonts w:ascii="Arial" w:cs="Arial" w:eastAsia="Arial" w:hAnsi="Arial"/>
                <w:sz w:val="19"/>
                <w:szCs w:val="19"/>
                <w:color w:val="FF0000"/>
                <w:strike w:val="1"/>
              </w:rPr>
              <w:t>LIBOR</w:t>
            </w:r>
          </w:p>
        </w:tc>
        <w:tc>
          <w:tcPr>
            <w:tcW w:w="20" w:type="dxa"/>
            <w:vAlign w:val="bottom"/>
            <w:tcBorders>
              <w:bottom w:val="single" w:sz="8" w:color="0000FF"/>
            </w:tcBorders>
          </w:tcPr>
          <w:p>
            <w:pPr>
              <w:spacing w:after="0"/>
              <w:rPr>
                <w:sz w:val="17"/>
                <w:szCs w:val="17"/>
                <w:color w:val="auto"/>
              </w:rPr>
            </w:pPr>
          </w:p>
        </w:tc>
        <w:tc>
          <w:tcPr>
            <w:tcW w:w="940" w:type="dxa"/>
            <w:vAlign w:val="bottom"/>
            <w:tcBorders>
              <w:bottom w:val="single" w:sz="8" w:color="0000FF"/>
              <w:right w:val="single" w:sz="8" w:color="DDDDDD"/>
            </w:tcBorders>
            <w:gridSpan w:val="7"/>
            <w:shd w:val="clear" w:color="auto" w:fill="DDDDDD"/>
          </w:tcPr>
          <w:p>
            <w:pPr>
              <w:spacing w:after="0" w:line="176" w:lineRule="exact"/>
              <w:rPr>
                <w:sz w:val="20"/>
                <w:szCs w:val="20"/>
                <w:color w:val="auto"/>
              </w:rPr>
            </w:pPr>
            <w:r>
              <w:rPr>
                <w:rFonts w:ascii="Arial" w:cs="Arial" w:eastAsia="Arial" w:hAnsi="Arial"/>
                <w:sz w:val="19"/>
                <w:szCs w:val="19"/>
                <w:color w:val="0000FF"/>
                <w:highlight w:val="lightGray"/>
                <w:w w:val="93"/>
              </w:rPr>
              <w:t>Benchmark</w:t>
            </w:r>
          </w:p>
        </w:tc>
        <w:tc>
          <w:tcPr>
            <w:tcW w:w="1140" w:type="dxa"/>
            <w:vAlign w:val="bottom"/>
            <w:tcBorders>
              <w:left w:val="single" w:sz="8" w:color="DDDDDD"/>
              <w:bottom w:val="single" w:sz="8" w:color="auto"/>
            </w:tcBorders>
            <w:gridSpan w:val="8"/>
          </w:tcPr>
          <w:p>
            <w:pPr>
              <w:ind w:left="100"/>
              <w:spacing w:after="0" w:line="176" w:lineRule="exact"/>
              <w:rPr>
                <w:sz w:val="20"/>
                <w:szCs w:val="20"/>
                <w:color w:val="auto"/>
              </w:rPr>
            </w:pPr>
            <w:r>
              <w:rPr>
                <w:rFonts w:ascii="Arial" w:cs="Arial" w:eastAsia="Arial" w:hAnsi="Arial"/>
                <w:sz w:val="19"/>
                <w:szCs w:val="19"/>
                <w:color w:val="auto"/>
              </w:rPr>
              <w:t>Notification</w:t>
            </w:r>
          </w:p>
        </w:tc>
        <w:tc>
          <w:tcPr>
            <w:tcW w:w="220" w:type="dxa"/>
            <w:vAlign w:val="bottom"/>
            <w:gridSpan w:val="2"/>
          </w:tcPr>
          <w:p>
            <w:pPr>
              <w:spacing w:after="0"/>
              <w:rPr>
                <w:sz w:val="17"/>
                <w:szCs w:val="17"/>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9"/>
                <w:szCs w:val="19"/>
                <w:color w:val="FF0000"/>
                <w:strike w:val="1"/>
                <w:w w:val="84"/>
              </w:rPr>
              <w:t>49</w:t>
            </w:r>
          </w:p>
        </w:tc>
        <w:tc>
          <w:tcPr>
            <w:tcW w:w="220" w:type="dxa"/>
            <w:vAlign w:val="bottom"/>
            <w:tcBorders>
              <w:bottom w:val="single" w:sz="8" w:color="0000FF"/>
            </w:tcBorders>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94"/>
              </w:rPr>
              <w:t>47</w:t>
            </w:r>
          </w:p>
        </w:tc>
        <w:tc>
          <w:tcPr>
            <w:tcW w:w="0" w:type="dxa"/>
            <w:vAlign w:val="bottom"/>
          </w:tcPr>
          <w:p>
            <w:pPr>
              <w:spacing w:after="0"/>
              <w:rPr>
                <w:sz w:val="1"/>
                <w:szCs w:val="1"/>
                <w:color w:val="auto"/>
              </w:rPr>
            </w:pPr>
          </w:p>
        </w:tc>
      </w:tr>
      <w:tr>
        <w:trPr>
          <w:trHeight w:val="183"/>
        </w:trPr>
        <w:tc>
          <w:tcPr>
            <w:tcW w:w="960" w:type="dxa"/>
            <w:vAlign w:val="bottom"/>
          </w:tcPr>
          <w:p>
            <w:pPr>
              <w:spacing w:after="0" w:line="176" w:lineRule="exact"/>
              <w:rPr>
                <w:sz w:val="20"/>
                <w:szCs w:val="20"/>
                <w:color w:val="auto"/>
              </w:rPr>
            </w:pPr>
            <w:r>
              <w:rPr>
                <w:rFonts w:ascii="Arial" w:cs="Arial" w:eastAsia="Arial" w:hAnsi="Arial"/>
                <w:sz w:val="19"/>
                <w:szCs w:val="19"/>
                <w:color w:val="auto"/>
                <w:w w:val="98"/>
              </w:rPr>
              <w:t>Section 1.8</w:t>
            </w:r>
          </w:p>
        </w:tc>
        <w:tc>
          <w:tcPr>
            <w:tcW w:w="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10"/>
          </w:tcPr>
          <w:p>
            <w:pPr>
              <w:ind w:left="40"/>
              <w:spacing w:after="0" w:line="176" w:lineRule="exact"/>
              <w:rPr>
                <w:sz w:val="20"/>
                <w:szCs w:val="20"/>
                <w:color w:val="auto"/>
              </w:rPr>
            </w:pPr>
            <w:r>
              <w:rPr>
                <w:rFonts w:ascii="Arial" w:cs="Arial" w:eastAsia="Arial" w:hAnsi="Arial"/>
                <w:sz w:val="19"/>
                <w:szCs w:val="19"/>
                <w:color w:val="auto"/>
              </w:rPr>
              <w:t>Limited Condition</w:t>
            </w:r>
          </w:p>
        </w:tc>
        <w:tc>
          <w:tcPr>
            <w:tcW w:w="940" w:type="dxa"/>
            <w:vAlign w:val="bottom"/>
            <w:tcBorders>
              <w:top w:val="single" w:sz="8" w:color="DDDDDD"/>
              <w:bottom w:val="single" w:sz="8" w:color="auto"/>
            </w:tcBorders>
            <w:gridSpan w:val="7"/>
          </w:tcPr>
          <w:p>
            <w:pPr>
              <w:spacing w:after="0" w:line="176" w:lineRule="exact"/>
              <w:rPr>
                <w:sz w:val="20"/>
                <w:szCs w:val="20"/>
                <w:color w:val="auto"/>
              </w:rPr>
            </w:pPr>
            <w:r>
              <w:rPr>
                <w:rFonts w:ascii="Arial" w:cs="Arial" w:eastAsia="Arial" w:hAnsi="Arial"/>
                <w:sz w:val="19"/>
                <w:szCs w:val="19"/>
                <w:color w:val="auto"/>
                <w:w w:val="82"/>
              </w:rPr>
              <w:t>Transactions</w:t>
            </w:r>
          </w:p>
        </w:tc>
        <w:tc>
          <w:tcPr>
            <w:tcW w:w="140" w:type="dxa"/>
            <w:vAlign w:val="bottom"/>
            <w:gridSpan w:val="2"/>
          </w:tcPr>
          <w:p>
            <w:pPr>
              <w:spacing w:after="0"/>
              <w:rPr>
                <w:sz w:val="15"/>
                <w:szCs w:val="15"/>
                <w:color w:val="auto"/>
              </w:rPr>
            </w:pPr>
          </w:p>
        </w:tc>
        <w:tc>
          <w:tcPr>
            <w:tcW w:w="220" w:type="dxa"/>
            <w:vAlign w:val="bottom"/>
          </w:tcPr>
          <w:p>
            <w:pPr>
              <w:jc w:val="right"/>
              <w:spacing w:after="0" w:line="176" w:lineRule="exact"/>
              <w:rPr>
                <w:sz w:val="20"/>
                <w:szCs w:val="20"/>
                <w:color w:val="auto"/>
              </w:rPr>
            </w:pPr>
            <w:r>
              <w:rPr>
                <w:rFonts w:ascii="Arial" w:cs="Arial" w:eastAsia="Arial" w:hAnsi="Arial"/>
                <w:sz w:val="19"/>
                <w:szCs w:val="19"/>
                <w:color w:val="FF0000"/>
                <w:strike w:val="1"/>
                <w:w w:val="94"/>
              </w:rPr>
              <w:t>50</w:t>
            </w:r>
          </w:p>
        </w:tc>
        <w:tc>
          <w:tcPr>
            <w:tcW w:w="220" w:type="dxa"/>
            <w:vAlign w:val="bottom"/>
            <w:tcBorders>
              <w:top w:val="single" w:sz="8" w:color="DDDDDD"/>
              <w:bottom w:val="single" w:sz="8" w:color="0000FF"/>
            </w:tcBorders>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94"/>
              </w:rPr>
              <w:t>48</w:t>
            </w:r>
          </w:p>
        </w:tc>
        <w:tc>
          <w:tcPr>
            <w:tcW w:w="560" w:type="dxa"/>
            <w:vAlign w:val="bottom"/>
            <w:gridSpan w:val="4"/>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top w:val="single" w:sz="8" w:color="DDDDDD"/>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ARTICLE II</w:t>
      </w:r>
    </w:p>
    <w:p>
      <w:pPr>
        <w:spacing w:after="0" w:line="179" w:lineRule="exact"/>
        <w:rPr>
          <w:sz w:val="20"/>
          <w:szCs w:val="20"/>
          <w:color w:val="auto"/>
        </w:rPr>
      </w:pPr>
    </w:p>
    <w:p>
      <w:pPr>
        <w:ind w:left="1560"/>
        <w:spacing w:after="0"/>
        <w:tabs>
          <w:tab w:leader="none" w:pos="3140" w:val="left"/>
        </w:tabs>
        <w:rPr>
          <w:sz w:val="20"/>
          <w:szCs w:val="20"/>
          <w:color w:val="auto"/>
        </w:rPr>
      </w:pPr>
      <w:r>
        <w:rPr>
          <w:rFonts w:ascii="Arial" w:cs="Arial" w:eastAsia="Arial" w:hAnsi="Arial"/>
          <w:sz w:val="22"/>
          <w:szCs w:val="22"/>
          <w:color w:val="auto"/>
        </w:rPr>
        <w:t>THE CREDITS</w:t>
      </w:r>
      <w:r>
        <w:rPr>
          <w:sz w:val="20"/>
          <w:szCs w:val="20"/>
          <w:color w:val="auto"/>
        </w:rPr>
        <w:tab/>
      </w:r>
      <w:r>
        <w:rPr>
          <w:rFonts w:ascii="Arial" w:cs="Arial" w:eastAsia="Arial" w:hAnsi="Arial"/>
          <w:sz w:val="18"/>
          <w:szCs w:val="18"/>
          <w:color w:val="FF0000"/>
          <w:strike w:val="1"/>
        </w:rPr>
        <w:t>52</w:t>
      </w:r>
      <w:r>
        <w:rPr>
          <w:rFonts w:ascii="Arial" w:cs="Arial" w:eastAsia="Arial" w:hAnsi="Arial"/>
          <w:sz w:val="18"/>
          <w:szCs w:val="18"/>
          <w:u w:val="single" w:color="auto"/>
          <w:color w:val="0000FF"/>
          <w:highlight w:val="lightGray"/>
          <w:strike w:val="1"/>
        </w:rPr>
        <w:t>50</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50"/>
        </w:trPr>
        <w:tc>
          <w:tcPr>
            <w:tcW w:w="2460" w:type="dxa"/>
            <w:vAlign w:val="bottom"/>
            <w:gridSpan w:val="19"/>
            <w:vMerge w:val="restart"/>
          </w:tcPr>
          <w:p>
            <w:pPr>
              <w:spacing w:after="0"/>
              <w:rPr>
                <w:sz w:val="20"/>
                <w:szCs w:val="20"/>
                <w:color w:val="auto"/>
              </w:rPr>
            </w:pPr>
            <w:r>
              <w:rPr>
                <w:rFonts w:ascii="Arial" w:cs="Arial" w:eastAsia="Arial" w:hAnsi="Arial"/>
                <w:sz w:val="22"/>
                <w:szCs w:val="22"/>
                <w:color w:val="auto"/>
                <w:w w:val="96"/>
              </w:rPr>
              <w:t>Section 2.1 Commitments</w:t>
            </w:r>
          </w:p>
        </w:tc>
        <w:tc>
          <w:tcPr>
            <w:tcW w:w="220" w:type="dxa"/>
            <w:vAlign w:val="bottom"/>
            <w:gridSpan w:val="3"/>
            <w:vMerge w:val="restart"/>
          </w:tcPr>
          <w:p>
            <w:pPr>
              <w:jc w:val="right"/>
              <w:spacing w:after="0"/>
              <w:rPr>
                <w:sz w:val="20"/>
                <w:szCs w:val="20"/>
                <w:color w:val="auto"/>
              </w:rPr>
            </w:pPr>
            <w:r>
              <w:rPr>
                <w:rFonts w:ascii="Arial" w:cs="Arial" w:eastAsia="Arial" w:hAnsi="Arial"/>
                <w:sz w:val="22"/>
                <w:szCs w:val="22"/>
                <w:color w:val="FF0000"/>
                <w:strike w:val="1"/>
                <w:w w:val="81"/>
              </w:rPr>
              <w:t>52</w:t>
            </w:r>
          </w:p>
        </w:tc>
        <w:tc>
          <w:tcPr>
            <w:tcW w:w="2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460" w:type="dxa"/>
            <w:vAlign w:val="bottom"/>
            <w:gridSpan w:val="19"/>
            <w:vMerge w:val="continue"/>
          </w:tcPr>
          <w:p>
            <w:pPr>
              <w:spacing w:after="0"/>
              <w:rPr>
                <w:sz w:val="17"/>
                <w:szCs w:val="17"/>
                <w:color w:val="auto"/>
              </w:rPr>
            </w:pPr>
          </w:p>
        </w:tc>
        <w:tc>
          <w:tcPr>
            <w:tcW w:w="220" w:type="dxa"/>
            <w:vAlign w:val="bottom"/>
            <w:gridSpan w:val="3"/>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0" w:type="dxa"/>
            <w:vAlign w:val="bottom"/>
            <w:gridSpan w:val="2"/>
            <w:shd w:val="clear" w:color="auto" w:fill="DDDDDD"/>
          </w:tcPr>
          <w:p>
            <w:pPr>
              <w:jc w:val="right"/>
              <w:spacing w:after="0" w:line="203" w:lineRule="exact"/>
              <w:rPr>
                <w:sz w:val="20"/>
                <w:szCs w:val="20"/>
                <w:color w:val="auto"/>
              </w:rPr>
            </w:pPr>
            <w:r>
              <w:rPr>
                <w:rFonts w:ascii="Arial" w:cs="Arial" w:eastAsia="Arial" w:hAnsi="Arial"/>
                <w:sz w:val="22"/>
                <w:szCs w:val="22"/>
                <w:color w:val="0000FF"/>
                <w:highlight w:val="lightGray"/>
                <w:w w:val="73"/>
              </w:rPr>
              <w:t>50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vMerge w:val="restart"/>
          </w:tcPr>
          <w:p>
            <w:pPr>
              <w:spacing w:after="0" w:line="195" w:lineRule="exact"/>
              <w:rPr>
                <w:sz w:val="20"/>
                <w:szCs w:val="20"/>
                <w:color w:val="auto"/>
              </w:rPr>
            </w:pPr>
            <w:r>
              <w:rPr>
                <w:rFonts w:ascii="Arial" w:cs="Arial" w:eastAsia="Arial" w:hAnsi="Arial"/>
                <w:sz w:val="22"/>
                <w:szCs w:val="22"/>
                <w:color w:val="auto"/>
                <w:w w:val="87"/>
              </w:rPr>
              <w:t>Section 2.2</w:t>
            </w:r>
          </w:p>
        </w:tc>
        <w:tc>
          <w:tcPr>
            <w:tcW w:w="1260" w:type="dxa"/>
            <w:vAlign w:val="bottom"/>
            <w:tcBorders>
              <w:top w:val="single" w:sz="8" w:color="auto"/>
            </w:tcBorders>
            <w:gridSpan w:val="14"/>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220" w:type="dxa"/>
            <w:vAlign w:val="bottom"/>
            <w:tcBorders>
              <w:top w:val="single" w:sz="8" w:color="0000FF"/>
            </w:tcBorders>
            <w:gridSpan w:val="3"/>
          </w:tcPr>
          <w:p>
            <w:pPr>
              <w:spacing w:after="0" w:line="20" w:lineRule="exact"/>
              <w:rPr>
                <w:sz w:val="1"/>
                <w:szCs w:val="1"/>
                <w:color w:val="auto"/>
              </w:rPr>
            </w:pPr>
          </w:p>
        </w:tc>
        <w:tc>
          <w:tcPr>
            <w:tcW w:w="1540" w:type="dxa"/>
            <w:vAlign w:val="bottom"/>
            <w:tcBorders>
              <w:right w:val="single" w:sz="8" w:color="DDDDDD"/>
            </w:tcBorders>
            <w:gridSpan w:val="19"/>
          </w:tcPr>
          <w:p>
            <w:pPr>
              <w:spacing w:after="0" w:line="20" w:lineRule="exact"/>
              <w:rPr>
                <w:sz w:val="1"/>
                <w:szCs w:val="1"/>
                <w:color w:val="auto"/>
              </w:rPr>
            </w:pPr>
          </w:p>
        </w:tc>
        <w:tc>
          <w:tcPr>
            <w:tcW w:w="3080" w:type="dxa"/>
            <w:vAlign w:val="bottom"/>
            <w:gridSpan w:val="20"/>
            <w:shd w:val="clear" w:color="auto" w:fill="DDDDD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2"/>
            <w:vMerge w:val="continue"/>
          </w:tcPr>
          <w:p>
            <w:pPr>
              <w:spacing w:after="0"/>
              <w:rPr>
                <w:sz w:val="17"/>
                <w:szCs w:val="17"/>
                <w:color w:val="auto"/>
              </w:rPr>
            </w:pPr>
          </w:p>
        </w:tc>
        <w:tc>
          <w:tcPr>
            <w:tcW w:w="1920" w:type="dxa"/>
            <w:vAlign w:val="bottom"/>
            <w:gridSpan w:val="23"/>
          </w:tcPr>
          <w:p>
            <w:pPr>
              <w:ind w:left="40"/>
              <w:spacing w:after="0" w:line="176" w:lineRule="exact"/>
              <w:rPr>
                <w:sz w:val="20"/>
                <w:szCs w:val="20"/>
                <w:color w:val="auto"/>
              </w:rPr>
            </w:pPr>
            <w:r>
              <w:rPr>
                <w:rFonts w:ascii="Arial" w:cs="Arial" w:eastAsia="Arial" w:hAnsi="Arial"/>
                <w:sz w:val="19"/>
                <w:szCs w:val="19"/>
                <w:color w:val="auto"/>
              </w:rPr>
              <w:t>Revolving Loans and</w:t>
            </w:r>
          </w:p>
        </w:tc>
        <w:tc>
          <w:tcPr>
            <w:tcW w:w="20" w:type="dxa"/>
            <w:vAlign w:val="bottom"/>
          </w:tcPr>
          <w:p>
            <w:pPr>
              <w:spacing w:after="0"/>
              <w:rPr>
                <w:sz w:val="17"/>
                <w:szCs w:val="17"/>
                <w:color w:val="auto"/>
              </w:rPr>
            </w:pPr>
          </w:p>
        </w:tc>
        <w:tc>
          <w:tcPr>
            <w:tcW w:w="1240" w:type="dxa"/>
            <w:vAlign w:val="bottom"/>
            <w:gridSpan w:val="17"/>
          </w:tcPr>
          <w:p>
            <w:pPr>
              <w:jc w:val="right"/>
              <w:ind w:right="220"/>
              <w:spacing w:after="0" w:line="176" w:lineRule="exact"/>
              <w:rPr>
                <w:sz w:val="20"/>
                <w:szCs w:val="20"/>
                <w:color w:val="auto"/>
              </w:rPr>
            </w:pPr>
            <w:r>
              <w:rPr>
                <w:rFonts w:ascii="Arial" w:cs="Arial" w:eastAsia="Arial" w:hAnsi="Arial"/>
                <w:sz w:val="19"/>
                <w:szCs w:val="19"/>
                <w:color w:val="auto"/>
              </w:rPr>
              <w:t>Borrowings</w:t>
            </w:r>
          </w:p>
        </w:tc>
        <w:tc>
          <w:tcPr>
            <w:tcW w:w="280" w:type="dxa"/>
            <w:vAlign w:val="bottom"/>
            <w:tcBorders>
              <w:right w:val="single" w:sz="8" w:color="DDDDDD"/>
            </w:tcBorders>
          </w:tcPr>
          <w:p>
            <w:pPr>
              <w:jc w:val="right"/>
              <w:spacing w:after="0" w:line="176" w:lineRule="exact"/>
              <w:rPr>
                <w:sz w:val="20"/>
                <w:szCs w:val="20"/>
                <w:color w:val="auto"/>
              </w:rPr>
            </w:pPr>
            <w:r>
              <w:rPr>
                <w:rFonts w:ascii="Arial" w:cs="Arial" w:eastAsia="Arial" w:hAnsi="Arial"/>
                <w:sz w:val="19"/>
                <w:szCs w:val="19"/>
                <w:color w:val="FF0000"/>
                <w:strike w:val="1"/>
                <w:w w:val="94"/>
              </w:rPr>
              <w:t>52</w:t>
            </w: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0000FF"/>
                <w:highlight w:val="lightGray"/>
                <w:w w:val="71"/>
              </w:rPr>
              <w:t>50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line="176" w:lineRule="exact"/>
              <w:rPr>
                <w:sz w:val="20"/>
                <w:szCs w:val="20"/>
                <w:color w:val="auto"/>
              </w:rPr>
            </w:pPr>
            <w:r>
              <w:rPr>
                <w:rFonts w:ascii="Arial" w:cs="Arial" w:eastAsia="Arial" w:hAnsi="Arial"/>
                <w:sz w:val="19"/>
                <w:szCs w:val="19"/>
                <w:color w:val="auto"/>
                <w:w w:val="98"/>
              </w:rPr>
              <w:t>Section 2.3</w:t>
            </w:r>
          </w:p>
        </w:tc>
        <w:tc>
          <w:tcPr>
            <w:tcW w:w="880" w:type="dxa"/>
            <w:vAlign w:val="bottom"/>
            <w:tcBorders>
              <w:top w:val="single" w:sz="8" w:color="auto"/>
            </w:tcBorders>
            <w:gridSpan w:val="9"/>
          </w:tcPr>
          <w:p>
            <w:pPr>
              <w:ind w:left="60"/>
              <w:spacing w:after="0" w:line="176" w:lineRule="exact"/>
              <w:rPr>
                <w:sz w:val="20"/>
                <w:szCs w:val="20"/>
                <w:color w:val="auto"/>
              </w:rPr>
            </w:pPr>
            <w:r>
              <w:rPr>
                <w:rFonts w:ascii="Arial" w:cs="Arial" w:eastAsia="Arial" w:hAnsi="Arial"/>
                <w:sz w:val="19"/>
                <w:szCs w:val="19"/>
                <w:color w:val="auto"/>
                <w:w w:val="98"/>
              </w:rPr>
              <w:t>Reserved</w:t>
            </w: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right w:val="single" w:sz="8" w:color="DDDDDD"/>
            </w:tcBorders>
            <w:gridSpan w:val="6"/>
          </w:tcPr>
          <w:p>
            <w:pPr>
              <w:ind w:left="80"/>
              <w:spacing w:after="0" w:line="176" w:lineRule="exact"/>
              <w:rPr>
                <w:sz w:val="20"/>
                <w:szCs w:val="20"/>
                <w:color w:val="auto"/>
              </w:rPr>
            </w:pPr>
            <w:r>
              <w:rPr>
                <w:rFonts w:ascii="Arial" w:cs="Arial" w:eastAsia="Arial" w:hAnsi="Arial"/>
                <w:sz w:val="19"/>
                <w:szCs w:val="19"/>
                <w:color w:val="FF0000"/>
                <w:strike w:val="1"/>
                <w:w w:val="94"/>
              </w:rPr>
              <w:t>53</w:t>
            </w:r>
          </w:p>
        </w:tc>
        <w:tc>
          <w:tcPr>
            <w:tcW w:w="220" w:type="dxa"/>
            <w:vAlign w:val="bottom"/>
            <w:tcBorders>
              <w:top w:val="single" w:sz="8" w:color="auto"/>
              <w:right w:val="single" w:sz="8" w:color="DDDDDD"/>
            </w:tcBorders>
            <w:gridSpan w:val="3"/>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84"/>
              </w:rPr>
              <w:t>51</w:t>
            </w: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line="195" w:lineRule="exact"/>
              <w:rPr>
                <w:sz w:val="20"/>
                <w:szCs w:val="20"/>
                <w:color w:val="auto"/>
              </w:rPr>
            </w:pPr>
            <w:r>
              <w:rPr>
                <w:rFonts w:ascii="Arial" w:cs="Arial" w:eastAsia="Arial" w:hAnsi="Arial"/>
                <w:sz w:val="22"/>
                <w:szCs w:val="22"/>
                <w:color w:val="auto"/>
                <w:w w:val="85"/>
              </w:rPr>
              <w:t>Section 2.4</w:t>
            </w:r>
          </w:p>
        </w:tc>
        <w:tc>
          <w:tcPr>
            <w:tcW w:w="860" w:type="dxa"/>
            <w:vAlign w:val="bottom"/>
            <w:tcBorders>
              <w:top w:val="single" w:sz="8" w:color="auto"/>
            </w:tcBorders>
            <w:gridSpan w:val="8"/>
            <w:vMerge w:val="restart"/>
          </w:tcPr>
          <w:p>
            <w:pPr>
              <w:ind w:left="60"/>
              <w:spacing w:after="0" w:line="195" w:lineRule="exact"/>
              <w:rPr>
                <w:sz w:val="20"/>
                <w:szCs w:val="20"/>
                <w:color w:val="auto"/>
              </w:rPr>
            </w:pPr>
            <w:r>
              <w:rPr>
                <w:rFonts w:ascii="Arial" w:cs="Arial" w:eastAsia="Arial" w:hAnsi="Arial"/>
                <w:sz w:val="22"/>
                <w:szCs w:val="22"/>
                <w:color w:val="auto"/>
                <w:w w:val="88"/>
              </w:rPr>
              <w:t>Issuance</w:t>
            </w: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DDDDDD"/>
            </w:tcBorders>
            <w:gridSpan w:val="2"/>
          </w:tcPr>
          <w:p>
            <w:pPr>
              <w:spacing w:after="0" w:line="20" w:lineRule="exact"/>
              <w:rPr>
                <w:sz w:val="1"/>
                <w:szCs w:val="1"/>
                <w:color w:val="auto"/>
              </w:rPr>
            </w:pPr>
          </w:p>
        </w:tc>
        <w:tc>
          <w:tcPr>
            <w:tcW w:w="140" w:type="dxa"/>
            <w:vAlign w:val="bottom"/>
            <w:tcBorders>
              <w:top w:val="single" w:sz="8" w:color="0000FF"/>
            </w:tcBorders>
            <w:shd w:val="clear" w:color="auto" w:fill="DDDDDD"/>
          </w:tcPr>
          <w:p>
            <w:pPr>
              <w:spacing w:after="0" w:line="20" w:lineRule="exact"/>
              <w:rPr>
                <w:sz w:val="1"/>
                <w:szCs w:val="1"/>
                <w:color w:val="auto"/>
              </w:rPr>
            </w:pPr>
          </w:p>
        </w:tc>
        <w:tc>
          <w:tcPr>
            <w:tcW w:w="80" w:type="dxa"/>
            <w:vAlign w:val="bottom"/>
            <w:tcBorders>
              <w:top w:val="single" w:sz="8" w:color="0000FF"/>
              <w:right w:val="single" w:sz="8" w:color="DDDDDD"/>
            </w:tcBorders>
            <w:gridSpan w:val="2"/>
            <w:shd w:val="clear" w:color="auto" w:fill="DDDDD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DDDDD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vMerge w:val="continue"/>
          </w:tcPr>
          <w:p>
            <w:pPr>
              <w:spacing w:after="0"/>
              <w:rPr>
                <w:sz w:val="17"/>
                <w:szCs w:val="17"/>
                <w:color w:val="auto"/>
              </w:rPr>
            </w:pPr>
          </w:p>
        </w:tc>
        <w:tc>
          <w:tcPr>
            <w:tcW w:w="860" w:type="dxa"/>
            <w:vAlign w:val="bottom"/>
            <w:gridSpan w:val="8"/>
            <w:vMerge w:val="continue"/>
          </w:tcPr>
          <w:p>
            <w:pPr>
              <w:spacing w:after="0"/>
              <w:rPr>
                <w:sz w:val="17"/>
                <w:szCs w:val="17"/>
                <w:color w:val="auto"/>
              </w:rPr>
            </w:pPr>
          </w:p>
        </w:tc>
        <w:tc>
          <w:tcPr>
            <w:tcW w:w="5280" w:type="dxa"/>
            <w:vAlign w:val="bottom"/>
            <w:gridSpan w:val="53"/>
          </w:tcPr>
          <w:p>
            <w:pPr>
              <w:spacing w:after="0" w:line="176" w:lineRule="exact"/>
              <w:rPr>
                <w:sz w:val="20"/>
                <w:szCs w:val="20"/>
                <w:color w:val="auto"/>
              </w:rPr>
            </w:pPr>
            <w:r>
              <w:rPr>
                <w:rFonts w:ascii="Arial" w:cs="Arial" w:eastAsia="Arial" w:hAnsi="Arial"/>
                <w:sz w:val="19"/>
                <w:szCs w:val="19"/>
                <w:color w:val="auto"/>
              </w:rPr>
              <w:t>of Letters of Credit and Purchase of Participations Therein</w:t>
            </w:r>
          </w:p>
        </w:tc>
        <w:tc>
          <w:tcPr>
            <w:tcW w:w="220" w:type="dxa"/>
            <w:vAlign w:val="bottom"/>
          </w:tcPr>
          <w:p>
            <w:pPr>
              <w:jc w:val="right"/>
              <w:spacing w:after="0" w:line="176" w:lineRule="exact"/>
              <w:rPr>
                <w:sz w:val="20"/>
                <w:szCs w:val="20"/>
                <w:color w:val="auto"/>
              </w:rPr>
            </w:pPr>
            <w:r>
              <w:rPr>
                <w:rFonts w:ascii="Arial" w:cs="Arial" w:eastAsia="Arial" w:hAnsi="Arial"/>
                <w:sz w:val="19"/>
                <w:szCs w:val="19"/>
                <w:color w:val="FF0000"/>
                <w:strike w:val="1"/>
                <w:w w:val="94"/>
              </w:rPr>
              <w:t>53</w:t>
            </w:r>
          </w:p>
        </w:tc>
        <w:tc>
          <w:tcPr>
            <w:tcW w:w="200" w:type="dxa"/>
            <w:vAlign w:val="bottom"/>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84"/>
              </w:rPr>
              <w:t>51</w:t>
            </w:r>
          </w:p>
        </w:tc>
        <w:tc>
          <w:tcPr>
            <w:tcW w:w="0" w:type="dxa"/>
            <w:vAlign w:val="bottom"/>
          </w:tcPr>
          <w:p>
            <w:pPr>
              <w:spacing w:after="0"/>
              <w:rPr>
                <w:sz w:val="1"/>
                <w:szCs w:val="1"/>
                <w:color w:val="auto"/>
              </w:rPr>
            </w:pPr>
          </w:p>
        </w:tc>
      </w:tr>
      <w:tr>
        <w:trPr>
          <w:trHeight w:val="196"/>
        </w:trPr>
        <w:tc>
          <w:tcPr>
            <w:tcW w:w="960" w:type="dxa"/>
            <w:vAlign w:val="bottom"/>
          </w:tcPr>
          <w:p>
            <w:pPr>
              <w:spacing w:after="0" w:line="176" w:lineRule="exact"/>
              <w:rPr>
                <w:sz w:val="20"/>
                <w:szCs w:val="20"/>
                <w:color w:val="auto"/>
              </w:rPr>
            </w:pPr>
            <w:r>
              <w:rPr>
                <w:rFonts w:ascii="Arial" w:cs="Arial" w:eastAsia="Arial" w:hAnsi="Arial"/>
                <w:sz w:val="19"/>
                <w:szCs w:val="19"/>
                <w:color w:val="auto"/>
                <w:w w:val="98"/>
              </w:rPr>
              <w:t>Section 2.5</w:t>
            </w:r>
          </w:p>
        </w:tc>
        <w:tc>
          <w:tcPr>
            <w:tcW w:w="2240" w:type="dxa"/>
            <w:vAlign w:val="bottom"/>
            <w:tcBorders>
              <w:top w:val="single" w:sz="8" w:color="auto"/>
              <w:bottom w:val="single" w:sz="8" w:color="auto"/>
            </w:tcBorders>
            <w:gridSpan w:val="29"/>
          </w:tcPr>
          <w:p>
            <w:pPr>
              <w:ind w:left="60"/>
              <w:spacing w:after="0" w:line="176" w:lineRule="exact"/>
              <w:rPr>
                <w:sz w:val="20"/>
                <w:szCs w:val="20"/>
                <w:color w:val="auto"/>
              </w:rPr>
            </w:pPr>
            <w:r>
              <w:rPr>
                <w:rFonts w:ascii="Arial" w:cs="Arial" w:eastAsia="Arial" w:hAnsi="Arial"/>
                <w:sz w:val="19"/>
                <w:szCs w:val="19"/>
                <w:color w:val="auto"/>
              </w:rPr>
              <w:t>Requests for Borrowings</w:t>
            </w: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right w:val="single" w:sz="8" w:color="DDDDDD"/>
            </w:tcBorders>
            <w:gridSpan w:val="6"/>
          </w:tcPr>
          <w:p>
            <w:pPr>
              <w:jc w:val="right"/>
              <w:spacing w:after="0" w:line="176" w:lineRule="exact"/>
              <w:rPr>
                <w:sz w:val="20"/>
                <w:szCs w:val="20"/>
                <w:color w:val="auto"/>
              </w:rPr>
            </w:pPr>
            <w:r>
              <w:rPr>
                <w:rFonts w:ascii="Arial" w:cs="Arial" w:eastAsia="Arial" w:hAnsi="Arial"/>
                <w:sz w:val="19"/>
                <w:szCs w:val="19"/>
                <w:color w:val="FF0000"/>
                <w:strike w:val="1"/>
              </w:rPr>
              <w:t>61</w:t>
            </w:r>
          </w:p>
        </w:tc>
        <w:tc>
          <w:tcPr>
            <w:tcW w:w="180" w:type="dxa"/>
            <w:vAlign w:val="bottom"/>
            <w:tcBorders>
              <w:top w:val="single" w:sz="8" w:color="auto"/>
              <w:bottom w:val="single" w:sz="8" w:color="0000FF"/>
            </w:tcBorders>
            <w:gridSpan w:val="3"/>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75"/>
              </w:rPr>
              <w:t>58</w:t>
            </w: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line="176" w:lineRule="exact"/>
              <w:rPr>
                <w:sz w:val="20"/>
                <w:szCs w:val="20"/>
                <w:color w:val="auto"/>
              </w:rPr>
            </w:pPr>
            <w:r>
              <w:rPr>
                <w:rFonts w:ascii="Arial" w:cs="Arial" w:eastAsia="Arial" w:hAnsi="Arial"/>
                <w:sz w:val="19"/>
                <w:szCs w:val="19"/>
                <w:color w:val="auto"/>
                <w:w w:val="98"/>
              </w:rPr>
              <w:t>Section 2.6</w:t>
            </w:r>
          </w:p>
        </w:tc>
        <w:tc>
          <w:tcPr>
            <w:tcW w:w="2100" w:type="dxa"/>
            <w:vAlign w:val="bottom"/>
            <w:tcBorders>
              <w:bottom w:val="single" w:sz="8" w:color="auto"/>
            </w:tcBorders>
            <w:gridSpan w:val="27"/>
          </w:tcPr>
          <w:p>
            <w:pPr>
              <w:ind w:left="60"/>
              <w:spacing w:after="0" w:line="176" w:lineRule="exact"/>
              <w:rPr>
                <w:sz w:val="20"/>
                <w:szCs w:val="20"/>
                <w:color w:val="auto"/>
              </w:rPr>
            </w:pPr>
            <w:r>
              <w:rPr>
                <w:rFonts w:ascii="Arial" w:cs="Arial" w:eastAsia="Arial" w:hAnsi="Arial"/>
                <w:sz w:val="19"/>
                <w:szCs w:val="19"/>
                <w:color w:val="auto"/>
              </w:rPr>
              <w:t>Funding of Borrowings</w:t>
            </w:r>
          </w:p>
        </w:tc>
        <w:tc>
          <w:tcPr>
            <w:tcW w:w="1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gridSpan w:val="3"/>
          </w:tcPr>
          <w:p>
            <w:pPr>
              <w:spacing w:after="0" w:line="176" w:lineRule="exact"/>
              <w:rPr>
                <w:sz w:val="20"/>
                <w:szCs w:val="20"/>
                <w:color w:val="auto"/>
              </w:rPr>
            </w:pPr>
            <w:r>
              <w:rPr>
                <w:rFonts w:ascii="Arial" w:cs="Arial" w:eastAsia="Arial" w:hAnsi="Arial"/>
                <w:sz w:val="17"/>
                <w:szCs w:val="17"/>
                <w:color w:val="FF0000"/>
                <w:strike w:val="1"/>
                <w:w w:val="73"/>
              </w:rPr>
              <w:t>62</w:t>
            </w:r>
          </w:p>
        </w:tc>
        <w:tc>
          <w:tcPr>
            <w:tcW w:w="220" w:type="dxa"/>
            <w:vAlign w:val="bottom"/>
            <w:tcBorders>
              <w:top w:val="single" w:sz="8" w:color="DDDDDD"/>
              <w:bottom w:val="single" w:sz="8" w:color="0000FF"/>
            </w:tcBorders>
            <w:gridSpan w:val="4"/>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94"/>
              </w:rPr>
              <w:t>59</w:t>
            </w:r>
          </w:p>
        </w:tc>
        <w:tc>
          <w:tcPr>
            <w:tcW w:w="40" w:type="dxa"/>
            <w:vAlign w:val="bottom"/>
            <w:tcBorders>
              <w:top w:val="single" w:sz="8" w:color="DDDDDD"/>
            </w:tcBorders>
          </w:tcPr>
          <w:p>
            <w:pPr>
              <w:spacing w:after="0"/>
              <w:rPr>
                <w:sz w:val="17"/>
                <w:szCs w:val="17"/>
                <w:color w:val="auto"/>
              </w:rPr>
            </w:pPr>
          </w:p>
        </w:tc>
        <w:tc>
          <w:tcPr>
            <w:tcW w:w="80" w:type="dxa"/>
            <w:vAlign w:val="bottom"/>
            <w:tcBorders>
              <w:top w:val="single" w:sz="8" w:color="DDDDDD"/>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line="176" w:lineRule="exact"/>
              <w:rPr>
                <w:sz w:val="20"/>
                <w:szCs w:val="20"/>
                <w:color w:val="auto"/>
              </w:rPr>
            </w:pPr>
            <w:r>
              <w:rPr>
                <w:rFonts w:ascii="Arial" w:cs="Arial" w:eastAsia="Arial" w:hAnsi="Arial"/>
                <w:sz w:val="19"/>
                <w:szCs w:val="19"/>
                <w:color w:val="auto"/>
                <w:w w:val="98"/>
              </w:rPr>
              <w:t>Section 2.7</w:t>
            </w:r>
          </w:p>
        </w:tc>
        <w:tc>
          <w:tcPr>
            <w:tcW w:w="1720" w:type="dxa"/>
            <w:vAlign w:val="bottom"/>
            <w:gridSpan w:val="21"/>
          </w:tcPr>
          <w:p>
            <w:pPr>
              <w:ind w:left="60"/>
              <w:spacing w:after="0" w:line="176" w:lineRule="exact"/>
              <w:rPr>
                <w:sz w:val="20"/>
                <w:szCs w:val="20"/>
                <w:color w:val="auto"/>
              </w:rPr>
            </w:pPr>
            <w:r>
              <w:rPr>
                <w:rFonts w:ascii="Arial" w:cs="Arial" w:eastAsia="Arial" w:hAnsi="Arial"/>
                <w:sz w:val="19"/>
                <w:szCs w:val="19"/>
                <w:color w:val="auto"/>
              </w:rPr>
              <w:t>Interest Elections</w:t>
            </w:r>
          </w:p>
        </w:tc>
        <w:tc>
          <w:tcPr>
            <w:tcW w:w="20" w:type="dxa"/>
            <w:vAlign w:val="bottom"/>
          </w:tcPr>
          <w:p>
            <w:pPr>
              <w:spacing w:after="0"/>
              <w:rPr>
                <w:sz w:val="15"/>
                <w:szCs w:val="15"/>
                <w:color w:val="auto"/>
              </w:rPr>
            </w:pPr>
          </w:p>
        </w:tc>
        <w:tc>
          <w:tcPr>
            <w:tcW w:w="320" w:type="dxa"/>
            <w:vAlign w:val="bottom"/>
            <w:tcBorders>
              <w:right w:val="single" w:sz="8" w:color="DDDDDD"/>
            </w:tcBorders>
            <w:gridSpan w:val="4"/>
          </w:tcPr>
          <w:p>
            <w:pPr>
              <w:jc w:val="center"/>
              <w:spacing w:after="0" w:line="176" w:lineRule="exact"/>
              <w:rPr>
                <w:sz w:val="20"/>
                <w:szCs w:val="20"/>
                <w:color w:val="auto"/>
              </w:rPr>
            </w:pPr>
            <w:r>
              <w:rPr>
                <w:rFonts w:ascii="Arial" w:cs="Arial" w:eastAsia="Arial" w:hAnsi="Arial"/>
                <w:sz w:val="19"/>
                <w:szCs w:val="19"/>
                <w:color w:val="FF0000"/>
                <w:strike w:val="1"/>
              </w:rPr>
              <w:t>62</w:t>
            </w:r>
          </w:p>
        </w:tc>
        <w:tc>
          <w:tcPr>
            <w:tcW w:w="180" w:type="dxa"/>
            <w:vAlign w:val="bottom"/>
            <w:tcBorders>
              <w:top w:val="single" w:sz="8" w:color="DDDDDD"/>
              <w:right w:val="single" w:sz="8" w:color="DDDDDD"/>
            </w:tcBorders>
            <w:gridSpan w:val="3"/>
            <w:shd w:val="clear" w:color="auto" w:fill="DDDDDD"/>
          </w:tcPr>
          <w:p>
            <w:pPr>
              <w:jc w:val="right"/>
              <w:ind w:right="20"/>
              <w:spacing w:after="0" w:line="176" w:lineRule="exact"/>
              <w:rPr>
                <w:sz w:val="20"/>
                <w:szCs w:val="20"/>
                <w:color w:val="auto"/>
              </w:rPr>
            </w:pPr>
            <w:r>
              <w:rPr>
                <w:rFonts w:ascii="Arial" w:cs="Arial" w:eastAsia="Arial" w:hAnsi="Arial"/>
                <w:sz w:val="17"/>
                <w:szCs w:val="17"/>
                <w:color w:val="0000FF"/>
                <w:highlight w:val="lightGray"/>
                <w:w w:val="73"/>
              </w:rPr>
              <w:t>60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DDDDDD"/>
            </w:tcBorders>
          </w:tcPr>
          <w:p>
            <w:pPr>
              <w:spacing w:after="0"/>
              <w:rPr>
                <w:sz w:val="15"/>
                <w:szCs w:val="15"/>
                <w:color w:val="auto"/>
              </w:rPr>
            </w:pPr>
          </w:p>
        </w:tc>
        <w:tc>
          <w:tcPr>
            <w:tcW w:w="20" w:type="dxa"/>
            <w:vAlign w:val="bottom"/>
            <w:tcBorders>
              <w:top w:val="single" w:sz="8" w:color="DDDDDD"/>
            </w:tcBorders>
          </w:tcPr>
          <w:p>
            <w:pPr>
              <w:spacing w:after="0"/>
              <w:rPr>
                <w:sz w:val="15"/>
                <w:szCs w:val="15"/>
                <w:color w:val="auto"/>
              </w:rPr>
            </w:pPr>
          </w:p>
        </w:tc>
        <w:tc>
          <w:tcPr>
            <w:tcW w:w="120" w:type="dxa"/>
            <w:vAlign w:val="bottom"/>
            <w:tcBorders>
              <w:top w:val="single" w:sz="8" w:color="DDDDDD"/>
            </w:tcBorders>
          </w:tcPr>
          <w:p>
            <w:pPr>
              <w:spacing w:after="0"/>
              <w:rPr>
                <w:sz w:val="15"/>
                <w:szCs w:val="15"/>
                <w:color w:val="auto"/>
              </w:rPr>
            </w:pPr>
          </w:p>
        </w:tc>
        <w:tc>
          <w:tcPr>
            <w:tcW w:w="60" w:type="dxa"/>
            <w:vAlign w:val="bottom"/>
            <w:tcBorders>
              <w:top w:val="single" w:sz="8" w:color="DDDDDD"/>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line="195" w:lineRule="exact"/>
              <w:rPr>
                <w:sz w:val="20"/>
                <w:szCs w:val="20"/>
                <w:color w:val="auto"/>
              </w:rPr>
            </w:pPr>
            <w:r>
              <w:rPr>
                <w:rFonts w:ascii="Arial" w:cs="Arial" w:eastAsia="Arial" w:hAnsi="Arial"/>
                <w:sz w:val="22"/>
                <w:szCs w:val="22"/>
                <w:color w:val="auto"/>
                <w:w w:val="85"/>
              </w:rPr>
              <w:t>Section 2.8</w:t>
            </w:r>
          </w:p>
        </w:tc>
        <w:tc>
          <w:tcPr>
            <w:tcW w:w="1560" w:type="dxa"/>
            <w:vAlign w:val="bottom"/>
            <w:tcBorders>
              <w:top w:val="single" w:sz="8" w:color="auto"/>
            </w:tcBorders>
            <w:gridSpan w:val="20"/>
            <w:vMerge w:val="restart"/>
          </w:tcPr>
          <w:p>
            <w:pPr>
              <w:ind w:left="60"/>
              <w:spacing w:after="0" w:line="195" w:lineRule="exact"/>
              <w:rPr>
                <w:sz w:val="20"/>
                <w:szCs w:val="20"/>
                <w:color w:val="auto"/>
              </w:rPr>
            </w:pPr>
            <w:r>
              <w:rPr>
                <w:rFonts w:ascii="Arial" w:cs="Arial" w:eastAsia="Arial" w:hAnsi="Arial"/>
                <w:sz w:val="22"/>
                <w:szCs w:val="22"/>
                <w:color w:val="auto"/>
                <w:w w:val="93"/>
              </w:rPr>
              <w:t>Termination and</w:t>
            </w: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Borders>
              <w:right w:val="single" w:sz="8" w:color="DDDDDD"/>
            </w:tcBorders>
          </w:tcPr>
          <w:p>
            <w:pPr>
              <w:spacing w:after="0" w:line="20" w:lineRule="exact"/>
              <w:rPr>
                <w:sz w:val="1"/>
                <w:szCs w:val="1"/>
                <w:color w:val="auto"/>
              </w:rPr>
            </w:pPr>
          </w:p>
        </w:tc>
        <w:tc>
          <w:tcPr>
            <w:tcW w:w="120" w:type="dxa"/>
            <w:vAlign w:val="bottom"/>
            <w:tcBorders>
              <w:top w:val="single" w:sz="8" w:color="0000FF"/>
            </w:tcBorders>
            <w:gridSpan w:val="2"/>
            <w:shd w:val="clear" w:color="auto" w:fill="DDDDDD"/>
          </w:tcPr>
          <w:p>
            <w:pPr>
              <w:spacing w:after="0" w:line="20" w:lineRule="exact"/>
              <w:rPr>
                <w:sz w:val="1"/>
                <w:szCs w:val="1"/>
                <w:color w:val="auto"/>
              </w:rPr>
            </w:pPr>
          </w:p>
        </w:tc>
        <w:tc>
          <w:tcPr>
            <w:tcW w:w="60" w:type="dxa"/>
            <w:vAlign w:val="bottom"/>
            <w:tcBorders>
              <w:top w:val="single" w:sz="8" w:color="0000FF"/>
              <w:right w:val="single" w:sz="8" w:color="DDDDDD"/>
            </w:tcBorders>
            <w:shd w:val="clear" w:color="auto" w:fill="DDDDDD"/>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40" w:type="dxa"/>
            <w:vAlign w:val="bottom"/>
            <w:gridSpan w:val="16"/>
            <w:vMerge w:val="restart"/>
          </w:tcPr>
          <w:p>
            <w:pPr>
              <w:jc w:val="right"/>
              <w:ind w:right="103"/>
              <w:spacing w:after="0" w:line="195" w:lineRule="exact"/>
              <w:rPr>
                <w:sz w:val="20"/>
                <w:szCs w:val="20"/>
                <w:color w:val="auto"/>
              </w:rPr>
            </w:pPr>
            <w:r>
              <w:rPr>
                <w:rFonts w:ascii="Arial" w:cs="Arial" w:eastAsia="Arial" w:hAnsi="Arial"/>
                <w:sz w:val="22"/>
                <w:szCs w:val="22"/>
                <w:color w:val="auto"/>
                <w:w w:val="88"/>
              </w:rPr>
              <w:t>of Commitments</w:t>
            </w:r>
          </w:p>
        </w:tc>
        <w:tc>
          <w:tcPr>
            <w:tcW w:w="220" w:type="dxa"/>
            <w:vAlign w:val="bottom"/>
            <w:gridSpan w:val="2"/>
            <w:vMerge w:val="restart"/>
          </w:tcPr>
          <w:p>
            <w:pPr>
              <w:jc w:val="right"/>
              <w:spacing w:after="0" w:line="195" w:lineRule="exact"/>
              <w:rPr>
                <w:sz w:val="20"/>
                <w:szCs w:val="20"/>
                <w:color w:val="auto"/>
              </w:rPr>
            </w:pPr>
            <w:r>
              <w:rPr>
                <w:rFonts w:ascii="Arial" w:cs="Arial" w:eastAsia="Arial" w:hAnsi="Arial"/>
                <w:sz w:val="22"/>
                <w:szCs w:val="22"/>
                <w:color w:val="FF0000"/>
                <w:strike w:val="1"/>
                <w:w w:val="81"/>
              </w:rPr>
              <w:t>63</w:t>
            </w:r>
          </w:p>
        </w:tc>
        <w:tc>
          <w:tcPr>
            <w:tcW w:w="240" w:type="dxa"/>
            <w:vAlign w:val="bottom"/>
            <w:tcBorders>
              <w:right w:val="single" w:sz="8" w:color="DDDDDD"/>
            </w:tcBorders>
            <w:gridSpan w:val="2"/>
            <w:vMerge w:val="restart"/>
            <w:shd w:val="clear" w:color="auto" w:fill="DDDDDD"/>
          </w:tcPr>
          <w:p>
            <w:pPr>
              <w:jc w:val="right"/>
              <w:ind w:right="20"/>
              <w:spacing w:after="0" w:line="195" w:lineRule="exact"/>
              <w:rPr>
                <w:sz w:val="20"/>
                <w:szCs w:val="20"/>
                <w:color w:val="auto"/>
              </w:rPr>
            </w:pPr>
            <w:r>
              <w:rPr>
                <w:rFonts w:ascii="Arial" w:cs="Arial" w:eastAsia="Arial" w:hAnsi="Arial"/>
                <w:sz w:val="22"/>
                <w:szCs w:val="22"/>
                <w:color w:val="0000FF"/>
                <w:highlight w:val="lightGray"/>
                <w:w w:val="81"/>
              </w:rPr>
              <w:t>61</w:t>
            </w:r>
          </w:p>
        </w:tc>
        <w:tc>
          <w:tcPr>
            <w:tcW w:w="2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vMerge w:val="continue"/>
          </w:tcPr>
          <w:p>
            <w:pPr>
              <w:spacing w:after="0"/>
              <w:rPr>
                <w:sz w:val="17"/>
                <w:szCs w:val="17"/>
                <w:color w:val="auto"/>
              </w:rPr>
            </w:pPr>
          </w:p>
        </w:tc>
        <w:tc>
          <w:tcPr>
            <w:tcW w:w="1560" w:type="dxa"/>
            <w:vAlign w:val="bottom"/>
            <w:gridSpan w:val="20"/>
            <w:vMerge w:val="continue"/>
          </w:tcPr>
          <w:p>
            <w:pPr>
              <w:spacing w:after="0"/>
              <w:rPr>
                <w:sz w:val="17"/>
                <w:szCs w:val="17"/>
                <w:color w:val="auto"/>
              </w:rPr>
            </w:pPr>
          </w:p>
        </w:tc>
        <w:tc>
          <w:tcPr>
            <w:tcW w:w="680" w:type="dxa"/>
            <w:vAlign w:val="bottom"/>
            <w:gridSpan w:val="9"/>
          </w:tcPr>
          <w:p>
            <w:pPr>
              <w:jc w:val="center"/>
              <w:ind w:right="20"/>
              <w:spacing w:after="0" w:line="176" w:lineRule="exact"/>
              <w:rPr>
                <w:sz w:val="20"/>
                <w:szCs w:val="20"/>
                <w:color w:val="auto"/>
              </w:rPr>
            </w:pPr>
            <w:r>
              <w:rPr>
                <w:rFonts w:ascii="Arial" w:cs="Arial" w:eastAsia="Arial" w:hAnsi="Arial"/>
                <w:sz w:val="19"/>
                <w:szCs w:val="19"/>
                <w:color w:val="auto"/>
                <w:w w:val="77"/>
              </w:rPr>
              <w:t>Reduction</w:t>
            </w:r>
          </w:p>
        </w:tc>
        <w:tc>
          <w:tcPr>
            <w:tcW w:w="1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640" w:type="dxa"/>
            <w:vAlign w:val="bottom"/>
            <w:gridSpan w:val="16"/>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240" w:type="dxa"/>
            <w:vAlign w:val="bottom"/>
            <w:tcBorders>
              <w:right w:val="single" w:sz="8" w:color="DDDDDD"/>
            </w:tcBorders>
            <w:gridSpan w:val="2"/>
            <w:vMerge w:val="continue"/>
            <w:shd w:val="clear" w:color="auto" w:fill="DDDDDD"/>
          </w:tcPr>
          <w:p>
            <w:pPr>
              <w:spacing w:after="0"/>
              <w:rPr>
                <w:sz w:val="17"/>
                <w:szCs w:val="17"/>
                <w:color w:val="auto"/>
              </w:rPr>
            </w:pPr>
          </w:p>
        </w:tc>
        <w:tc>
          <w:tcPr>
            <w:tcW w:w="2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line="176" w:lineRule="exact"/>
              <w:rPr>
                <w:sz w:val="20"/>
                <w:szCs w:val="20"/>
                <w:color w:val="auto"/>
              </w:rPr>
            </w:pPr>
            <w:r>
              <w:rPr>
                <w:rFonts w:ascii="Arial" w:cs="Arial" w:eastAsia="Arial" w:hAnsi="Arial"/>
                <w:sz w:val="19"/>
                <w:szCs w:val="19"/>
                <w:color w:val="auto"/>
                <w:w w:val="98"/>
              </w:rPr>
              <w:t>Section 2.9</w:t>
            </w:r>
          </w:p>
        </w:tc>
        <w:tc>
          <w:tcPr>
            <w:tcW w:w="3700" w:type="dxa"/>
            <w:vAlign w:val="bottom"/>
            <w:tcBorders>
              <w:top w:val="single" w:sz="8" w:color="auto"/>
            </w:tcBorders>
            <w:gridSpan w:val="46"/>
          </w:tcPr>
          <w:p>
            <w:pPr>
              <w:ind w:left="60"/>
              <w:spacing w:after="0" w:line="176" w:lineRule="exact"/>
              <w:rPr>
                <w:sz w:val="20"/>
                <w:szCs w:val="20"/>
                <w:color w:val="auto"/>
              </w:rPr>
            </w:pPr>
            <w:r>
              <w:rPr>
                <w:rFonts w:ascii="Arial" w:cs="Arial" w:eastAsia="Arial" w:hAnsi="Arial"/>
                <w:sz w:val="19"/>
                <w:szCs w:val="19"/>
                <w:color w:val="auto"/>
              </w:rPr>
              <w:t>Repayment of Loans; Evidence of Debt</w:t>
            </w:r>
          </w:p>
        </w:tc>
        <w:tc>
          <w:tcPr>
            <w:tcW w:w="240" w:type="dxa"/>
            <w:vAlign w:val="bottom"/>
            <w:tcBorders>
              <w:top w:val="single" w:sz="8" w:color="auto"/>
              <w:right w:val="single" w:sz="8" w:color="DDDDDD"/>
            </w:tcBorders>
          </w:tcPr>
          <w:p>
            <w:pPr>
              <w:jc w:val="right"/>
              <w:spacing w:after="0" w:line="176" w:lineRule="exact"/>
              <w:rPr>
                <w:sz w:val="20"/>
                <w:szCs w:val="20"/>
                <w:color w:val="auto"/>
              </w:rPr>
            </w:pPr>
            <w:r>
              <w:rPr>
                <w:rFonts w:ascii="Arial" w:cs="Arial" w:eastAsia="Arial" w:hAnsi="Arial"/>
                <w:sz w:val="19"/>
                <w:szCs w:val="19"/>
                <w:color w:val="FF0000"/>
                <w:strike w:val="1"/>
                <w:w w:val="94"/>
              </w:rPr>
              <w:t>64</w:t>
            </w:r>
          </w:p>
        </w:tc>
        <w:tc>
          <w:tcPr>
            <w:tcW w:w="200" w:type="dxa"/>
            <w:vAlign w:val="bottom"/>
            <w:tcBorders>
              <w:top w:val="single" w:sz="8" w:color="DDDDDD"/>
              <w:right w:val="single" w:sz="8" w:color="DDDDDD"/>
            </w:tcBorders>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84"/>
              </w:rPr>
              <w:t>62</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bottom w:val="single" w:sz="8" w:color="DDDDDD"/>
            </w:tcBorders>
            <w:gridSpan w:val="2"/>
            <w:shd w:val="clear" w:color="auto" w:fill="000000"/>
          </w:tcPr>
          <w:p>
            <w:pPr>
              <w:spacing w:after="0" w:line="20" w:lineRule="exact"/>
              <w:rPr>
                <w:sz w:val="1"/>
                <w:szCs w:val="1"/>
                <w:color w:val="auto"/>
              </w:rPr>
            </w:pPr>
          </w:p>
        </w:tc>
        <w:tc>
          <w:tcPr>
            <w:tcW w:w="20" w:type="dxa"/>
            <w:vAlign w:val="bottom"/>
            <w:tcBorders>
              <w:bottom w:val="single" w:sz="8" w:color="DDDDDD"/>
            </w:tcBorders>
            <w:shd w:val="clear" w:color="auto" w:fill="000000"/>
          </w:tcPr>
          <w:p>
            <w:pPr>
              <w:spacing w:after="0" w:line="20" w:lineRule="exact"/>
              <w:rPr>
                <w:sz w:val="1"/>
                <w:szCs w:val="1"/>
                <w:color w:val="auto"/>
              </w:rPr>
            </w:pPr>
          </w:p>
        </w:tc>
        <w:tc>
          <w:tcPr>
            <w:tcW w:w="120" w:type="dxa"/>
            <w:vAlign w:val="bottom"/>
            <w:tcBorders>
              <w:bottom w:val="single" w:sz="8" w:color="DDDDDD"/>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00" w:type="dxa"/>
            <w:vAlign w:val="bottom"/>
            <w:tcBorders>
              <w:bottom w:val="single" w:sz="8" w:color="DDDDDD"/>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gridSpan w:val="30"/>
          </w:tcPr>
          <w:p>
            <w:pPr>
              <w:spacing w:after="0" w:line="176" w:lineRule="exact"/>
              <w:rPr>
                <w:sz w:val="20"/>
                <w:szCs w:val="20"/>
                <w:color w:val="auto"/>
              </w:rPr>
            </w:pPr>
            <w:r>
              <w:rPr>
                <w:rFonts w:ascii="Arial" w:cs="Arial" w:eastAsia="Arial" w:hAnsi="Arial"/>
                <w:sz w:val="19"/>
                <w:szCs w:val="19"/>
                <w:color w:val="auto"/>
              </w:rPr>
              <w:t>Section 2.10 Prepayment of Loans</w:t>
            </w:r>
          </w:p>
        </w:tc>
        <w:tc>
          <w:tcPr>
            <w:tcW w:w="200" w:type="dxa"/>
            <w:vAlign w:val="bottom"/>
            <w:gridSpan w:val="2"/>
          </w:tcPr>
          <w:p>
            <w:pPr>
              <w:jc w:val="right"/>
              <w:spacing w:after="0" w:line="176" w:lineRule="exact"/>
              <w:rPr>
                <w:sz w:val="20"/>
                <w:szCs w:val="20"/>
                <w:color w:val="auto"/>
              </w:rPr>
            </w:pPr>
            <w:r>
              <w:rPr>
                <w:rFonts w:ascii="Arial" w:cs="Arial" w:eastAsia="Arial" w:hAnsi="Arial"/>
                <w:sz w:val="19"/>
                <w:szCs w:val="19"/>
                <w:color w:val="FF0000"/>
                <w:strike w:val="1"/>
                <w:w w:val="84"/>
              </w:rPr>
              <w:t>65</w:t>
            </w:r>
          </w:p>
        </w:tc>
        <w:tc>
          <w:tcPr>
            <w:tcW w:w="60" w:type="dxa"/>
            <w:vAlign w:val="bottom"/>
            <w:tcBorders>
              <w:right w:val="single" w:sz="8" w:color="DDDDDD"/>
            </w:tcBorders>
          </w:tcPr>
          <w:p>
            <w:pPr>
              <w:spacing w:after="0"/>
              <w:rPr>
                <w:sz w:val="17"/>
                <w:szCs w:val="17"/>
                <w:color w:val="auto"/>
              </w:rPr>
            </w:pPr>
          </w:p>
        </w:tc>
        <w:tc>
          <w:tcPr>
            <w:tcW w:w="180" w:type="dxa"/>
            <w:vAlign w:val="bottom"/>
            <w:tcBorders>
              <w:right w:val="single" w:sz="8" w:color="DDDDDD"/>
            </w:tcBorders>
            <w:gridSpan w:val="4"/>
            <w:shd w:val="clear" w:color="auto" w:fill="DDDDDD"/>
          </w:tcPr>
          <w:p>
            <w:pPr>
              <w:jc w:val="right"/>
              <w:spacing w:after="0" w:line="176" w:lineRule="exact"/>
              <w:rPr>
                <w:sz w:val="20"/>
                <w:szCs w:val="20"/>
                <w:color w:val="auto"/>
              </w:rPr>
            </w:pPr>
            <w:r>
              <w:rPr>
                <w:rFonts w:ascii="Arial" w:cs="Arial" w:eastAsia="Arial" w:hAnsi="Arial"/>
                <w:sz w:val="17"/>
                <w:szCs w:val="17"/>
                <w:color w:val="0000FF"/>
                <w:highlight w:val="lightGray"/>
                <w:w w:val="73"/>
              </w:rPr>
              <w:t>62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80" w:type="dxa"/>
            <w:vAlign w:val="bottom"/>
            <w:gridSpan w:val="4"/>
          </w:tcPr>
          <w:p>
            <w:pPr>
              <w:spacing w:after="0" w:line="176" w:lineRule="exact"/>
              <w:rPr>
                <w:sz w:val="20"/>
                <w:szCs w:val="20"/>
                <w:color w:val="auto"/>
              </w:rPr>
            </w:pPr>
            <w:r>
              <w:rPr>
                <w:rFonts w:ascii="Arial" w:cs="Arial" w:eastAsia="Arial" w:hAnsi="Arial"/>
                <w:sz w:val="19"/>
                <w:szCs w:val="19"/>
                <w:color w:val="auto"/>
              </w:rPr>
              <w:t>Section 2.11</w:t>
            </w:r>
          </w:p>
        </w:tc>
        <w:tc>
          <w:tcPr>
            <w:tcW w:w="660" w:type="dxa"/>
            <w:vAlign w:val="bottom"/>
            <w:tcBorders>
              <w:top w:val="single" w:sz="8" w:color="auto"/>
            </w:tcBorders>
            <w:gridSpan w:val="3"/>
          </w:tcPr>
          <w:p>
            <w:pPr>
              <w:ind w:left="40"/>
              <w:spacing w:after="0" w:line="176" w:lineRule="exact"/>
              <w:rPr>
                <w:sz w:val="20"/>
                <w:szCs w:val="20"/>
                <w:color w:val="auto"/>
              </w:rPr>
            </w:pPr>
            <w:r>
              <w:rPr>
                <w:rFonts w:ascii="Arial" w:cs="Arial" w:eastAsia="Arial" w:hAnsi="Arial"/>
                <w:sz w:val="19"/>
                <w:szCs w:val="19"/>
                <w:color w:val="auto"/>
              </w:rPr>
              <w:t>Fees</w:t>
            </w:r>
          </w:p>
        </w:tc>
        <w:tc>
          <w:tcPr>
            <w:tcW w:w="220" w:type="dxa"/>
            <w:vAlign w:val="bottom"/>
            <w:tcBorders>
              <w:top w:val="single" w:sz="8" w:color="auto"/>
            </w:tcBorders>
            <w:gridSpan w:val="4"/>
          </w:tcPr>
          <w:p>
            <w:pPr>
              <w:jc w:val="right"/>
              <w:spacing w:after="0" w:line="176" w:lineRule="exact"/>
              <w:rPr>
                <w:sz w:val="20"/>
                <w:szCs w:val="20"/>
                <w:color w:val="auto"/>
              </w:rPr>
            </w:pPr>
            <w:r>
              <w:rPr>
                <w:rFonts w:ascii="Arial" w:cs="Arial" w:eastAsia="Arial" w:hAnsi="Arial"/>
                <w:sz w:val="19"/>
                <w:szCs w:val="19"/>
                <w:color w:val="FF0000"/>
                <w:strike w:val="1"/>
                <w:w w:val="84"/>
              </w:rPr>
              <w:t>65</w:t>
            </w:r>
          </w:p>
        </w:tc>
        <w:tc>
          <w:tcPr>
            <w:tcW w:w="200" w:type="dxa"/>
            <w:vAlign w:val="bottom"/>
            <w:tcBorders>
              <w:top w:val="single" w:sz="8" w:color="auto"/>
            </w:tcBorders>
            <w:gridSpan w:val="2"/>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84"/>
              </w:rPr>
              <w:t>63</w:t>
            </w: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gridSpan w:val="2"/>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gridSpan w:val="2"/>
          </w:tcPr>
          <w:p>
            <w:pPr>
              <w:spacing w:after="0"/>
              <w:rPr>
                <w:sz w:val="15"/>
                <w:szCs w:val="15"/>
                <w:color w:val="auto"/>
              </w:rPr>
            </w:pPr>
          </w:p>
        </w:tc>
        <w:tc>
          <w:tcPr>
            <w:tcW w:w="180" w:type="dxa"/>
            <w:vAlign w:val="bottom"/>
            <w:tcBorders>
              <w:top w:val="single" w:sz="8" w:color="auto"/>
            </w:tcBorders>
            <w:gridSpan w:val="2"/>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gridSpan w:val="3"/>
            <w:vMerge w:val="restart"/>
          </w:tcPr>
          <w:p>
            <w:pPr>
              <w:spacing w:after="0" w:line="216" w:lineRule="exact"/>
              <w:rPr>
                <w:sz w:val="20"/>
                <w:szCs w:val="20"/>
                <w:color w:val="auto"/>
              </w:rPr>
            </w:pPr>
            <w:r>
              <w:rPr>
                <w:rFonts w:ascii="Arial" w:cs="Arial" w:eastAsia="Arial" w:hAnsi="Arial"/>
                <w:sz w:val="22"/>
                <w:szCs w:val="22"/>
                <w:color w:val="auto"/>
                <w:w w:val="84"/>
              </w:rPr>
              <w:t>Section 2.12</w:t>
            </w:r>
          </w:p>
        </w:tc>
        <w:tc>
          <w:tcPr>
            <w:tcW w:w="900" w:type="dxa"/>
            <w:vAlign w:val="bottom"/>
            <w:tcBorders>
              <w:right w:val="single" w:sz="8" w:color="0000FF"/>
            </w:tcBorders>
            <w:gridSpan w:val="8"/>
            <w:shd w:val="clear" w:color="auto" w:fill="000000"/>
          </w:tcPr>
          <w:p>
            <w:pPr>
              <w:spacing w:after="0" w:line="20" w:lineRule="exact"/>
              <w:rPr>
                <w:sz w:val="1"/>
                <w:szCs w:val="1"/>
                <w:color w:val="auto"/>
              </w:rPr>
            </w:pPr>
          </w:p>
        </w:tc>
        <w:tc>
          <w:tcPr>
            <w:tcW w:w="120" w:type="dxa"/>
            <w:vAlign w:val="bottom"/>
            <w:tcBorders>
              <w:bottom w:val="single" w:sz="8" w:color="DDDDDD"/>
              <w:right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DDDDDD"/>
            </w:tcBorders>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Borders>
              <w:bottom w:val="single" w:sz="8" w:color="DDDDDD"/>
            </w:tcBorders>
            <w:gridSpan w:val="3"/>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060" w:type="dxa"/>
            <w:vAlign w:val="bottom"/>
            <w:gridSpan w:val="4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auto"/>
            </w:tcBorders>
            <w:gridSpan w:val="4"/>
          </w:tcPr>
          <w:p>
            <w:pPr>
              <w:ind w:left="60"/>
              <w:spacing w:after="0" w:line="176" w:lineRule="exact"/>
              <w:rPr>
                <w:sz w:val="20"/>
                <w:szCs w:val="20"/>
                <w:color w:val="auto"/>
              </w:rPr>
            </w:pPr>
            <w:r>
              <w:rPr>
                <w:rFonts w:ascii="Arial" w:cs="Arial" w:eastAsia="Arial" w:hAnsi="Arial"/>
                <w:sz w:val="19"/>
                <w:szCs w:val="19"/>
                <w:color w:val="auto"/>
                <w:w w:val="97"/>
              </w:rPr>
              <w:t>Interest</w:t>
            </w:r>
          </w:p>
        </w:tc>
        <w:tc>
          <w:tcPr>
            <w:tcW w:w="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spacing w:after="0" w:line="176" w:lineRule="exact"/>
              <w:rPr>
                <w:sz w:val="20"/>
                <w:szCs w:val="20"/>
                <w:color w:val="auto"/>
              </w:rPr>
            </w:pPr>
            <w:r>
              <w:rPr>
                <w:rFonts w:ascii="Arial" w:cs="Arial" w:eastAsia="Arial" w:hAnsi="Arial"/>
                <w:sz w:val="19"/>
                <w:szCs w:val="19"/>
                <w:color w:val="FF0000"/>
                <w:strike w:val="1"/>
                <w:w w:val="84"/>
              </w:rPr>
              <w:t>67</w:t>
            </w:r>
          </w:p>
        </w:tc>
        <w:tc>
          <w:tcPr>
            <w:tcW w:w="40" w:type="dxa"/>
            <w:vAlign w:val="bottom"/>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200" w:type="dxa"/>
            <w:vAlign w:val="bottom"/>
            <w:tcBorders>
              <w:bottom w:val="single" w:sz="8" w:color="0000FF"/>
            </w:tcBorders>
            <w:gridSpan w:val="3"/>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84"/>
              </w:rPr>
              <w:t>64</w:t>
            </w:r>
          </w:p>
        </w:tc>
        <w:tc>
          <w:tcPr>
            <w:tcW w:w="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gridSpan w:val="4"/>
          </w:tcPr>
          <w:p>
            <w:pPr>
              <w:spacing w:after="0" w:line="176" w:lineRule="exact"/>
              <w:rPr>
                <w:sz w:val="20"/>
                <w:szCs w:val="20"/>
                <w:color w:val="auto"/>
              </w:rPr>
            </w:pPr>
            <w:r>
              <w:rPr>
                <w:rFonts w:ascii="Arial" w:cs="Arial" w:eastAsia="Arial" w:hAnsi="Arial"/>
                <w:sz w:val="19"/>
                <w:szCs w:val="19"/>
                <w:color w:val="auto"/>
              </w:rPr>
              <w:t>Section 2.13</w:t>
            </w:r>
          </w:p>
        </w:tc>
        <w:tc>
          <w:tcPr>
            <w:tcW w:w="700" w:type="dxa"/>
            <w:vAlign w:val="bottom"/>
            <w:gridSpan w:val="4"/>
          </w:tcPr>
          <w:p>
            <w:pPr>
              <w:ind w:left="40"/>
              <w:spacing w:after="0" w:line="176" w:lineRule="exact"/>
              <w:rPr>
                <w:sz w:val="20"/>
                <w:szCs w:val="20"/>
                <w:color w:val="auto"/>
              </w:rPr>
            </w:pPr>
            <w:r>
              <w:rPr>
                <w:rFonts w:ascii="Arial" w:cs="Arial" w:eastAsia="Arial" w:hAnsi="Arial"/>
                <w:sz w:val="19"/>
                <w:szCs w:val="19"/>
                <w:color w:val="auto"/>
                <w:w w:val="84"/>
              </w:rPr>
              <w:t>Alternate</w:t>
            </w:r>
          </w:p>
        </w:tc>
        <w:tc>
          <w:tcPr>
            <w:tcW w:w="640" w:type="dxa"/>
            <w:vAlign w:val="bottom"/>
            <w:gridSpan w:val="10"/>
          </w:tcPr>
          <w:p>
            <w:pPr>
              <w:jc w:val="right"/>
              <w:spacing w:after="0" w:line="176" w:lineRule="exact"/>
              <w:rPr>
                <w:sz w:val="20"/>
                <w:szCs w:val="20"/>
                <w:color w:val="auto"/>
              </w:rPr>
            </w:pPr>
            <w:r>
              <w:rPr>
                <w:rFonts w:ascii="Arial" w:cs="Arial" w:eastAsia="Arial" w:hAnsi="Arial"/>
                <w:sz w:val="19"/>
                <w:szCs w:val="19"/>
                <w:color w:val="auto"/>
              </w:rPr>
              <w:t>Rate</w:t>
            </w:r>
          </w:p>
        </w:tc>
        <w:tc>
          <w:tcPr>
            <w:tcW w:w="1100" w:type="dxa"/>
            <w:vAlign w:val="bottom"/>
            <w:gridSpan w:val="18"/>
          </w:tcPr>
          <w:p>
            <w:pPr>
              <w:jc w:val="center"/>
              <w:ind w:right="220"/>
              <w:spacing w:after="0" w:line="176" w:lineRule="exact"/>
              <w:rPr>
                <w:sz w:val="20"/>
                <w:szCs w:val="20"/>
                <w:color w:val="auto"/>
              </w:rPr>
            </w:pPr>
            <w:r>
              <w:rPr>
                <w:rFonts w:ascii="Arial" w:cs="Arial" w:eastAsia="Arial" w:hAnsi="Arial"/>
                <w:sz w:val="19"/>
                <w:szCs w:val="19"/>
                <w:color w:val="auto"/>
              </w:rPr>
              <w:t>of Interest</w:t>
            </w:r>
          </w:p>
        </w:tc>
        <w:tc>
          <w:tcPr>
            <w:tcW w:w="220" w:type="dxa"/>
            <w:vAlign w:val="bottom"/>
            <w:gridSpan w:val="3"/>
          </w:tcPr>
          <w:p>
            <w:pPr>
              <w:jc w:val="right"/>
              <w:spacing w:after="0" w:line="176" w:lineRule="exact"/>
              <w:rPr>
                <w:sz w:val="20"/>
                <w:szCs w:val="20"/>
                <w:color w:val="auto"/>
              </w:rPr>
            </w:pPr>
            <w:r>
              <w:rPr>
                <w:rFonts w:ascii="Arial" w:cs="Arial" w:eastAsia="Arial" w:hAnsi="Arial"/>
                <w:sz w:val="19"/>
                <w:szCs w:val="19"/>
                <w:color w:val="FF0000"/>
                <w:strike w:val="1"/>
                <w:w w:val="94"/>
              </w:rPr>
              <w:t>68</w:t>
            </w:r>
          </w:p>
        </w:tc>
        <w:tc>
          <w:tcPr>
            <w:tcW w:w="220" w:type="dxa"/>
            <w:vAlign w:val="bottom"/>
            <w:gridSpan w:val="3"/>
            <w:shd w:val="clear" w:color="auto" w:fill="DDDDDD"/>
          </w:tcPr>
          <w:p>
            <w:pPr>
              <w:spacing w:after="0" w:line="176" w:lineRule="exact"/>
              <w:rPr>
                <w:sz w:val="20"/>
                <w:szCs w:val="20"/>
                <w:color w:val="auto"/>
              </w:rPr>
            </w:pPr>
            <w:r>
              <w:rPr>
                <w:rFonts w:ascii="Arial" w:cs="Arial" w:eastAsia="Arial" w:hAnsi="Arial"/>
                <w:sz w:val="19"/>
                <w:szCs w:val="19"/>
                <w:color w:val="0000FF"/>
                <w:highlight w:val="lightGray"/>
                <w:w w:val="94"/>
              </w:rPr>
              <w:t>66</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gridSpan w:val="4"/>
          </w:tcPr>
          <w:p>
            <w:pPr>
              <w:spacing w:after="0" w:line="176" w:lineRule="exact"/>
              <w:rPr>
                <w:sz w:val="20"/>
                <w:szCs w:val="20"/>
                <w:color w:val="auto"/>
              </w:rPr>
            </w:pPr>
            <w:r>
              <w:rPr>
                <w:rFonts w:ascii="Arial" w:cs="Arial" w:eastAsia="Arial" w:hAnsi="Arial"/>
                <w:sz w:val="19"/>
                <w:szCs w:val="19"/>
                <w:color w:val="auto"/>
              </w:rPr>
              <w:t>Section 2.14</w:t>
            </w:r>
          </w:p>
        </w:tc>
        <w:tc>
          <w:tcPr>
            <w:tcW w:w="1420" w:type="dxa"/>
            <w:vAlign w:val="bottom"/>
            <w:tcBorders>
              <w:top w:val="single" w:sz="8" w:color="auto"/>
              <w:bottom w:val="single" w:sz="8" w:color="auto"/>
            </w:tcBorders>
            <w:gridSpan w:val="16"/>
          </w:tcPr>
          <w:p>
            <w:pPr>
              <w:ind w:left="60"/>
              <w:spacing w:after="0" w:line="176" w:lineRule="exact"/>
              <w:rPr>
                <w:sz w:val="20"/>
                <w:szCs w:val="20"/>
                <w:color w:val="auto"/>
              </w:rPr>
            </w:pPr>
            <w:r>
              <w:rPr>
                <w:rFonts w:ascii="Arial" w:cs="Arial" w:eastAsia="Arial" w:hAnsi="Arial"/>
                <w:sz w:val="19"/>
                <w:szCs w:val="19"/>
                <w:color w:val="auto"/>
                <w:w w:val="96"/>
              </w:rPr>
              <w:t>Increased Costs</w:t>
            </w:r>
          </w:p>
        </w:tc>
        <w:tc>
          <w:tcPr>
            <w:tcW w:w="180" w:type="dxa"/>
            <w:vAlign w:val="bottom"/>
            <w:tcBorders>
              <w:top w:val="single" w:sz="8" w:color="auto"/>
            </w:tcBorders>
            <w:gridSpan w:val="2"/>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gridSpan w:val="3"/>
          </w:tcPr>
          <w:p>
            <w:pPr>
              <w:jc w:val="right"/>
              <w:spacing w:after="0" w:line="176" w:lineRule="exact"/>
              <w:rPr>
                <w:sz w:val="20"/>
                <w:szCs w:val="20"/>
                <w:color w:val="auto"/>
              </w:rPr>
            </w:pPr>
            <w:r>
              <w:rPr>
                <w:rFonts w:ascii="Arial" w:cs="Arial" w:eastAsia="Arial" w:hAnsi="Arial"/>
                <w:sz w:val="19"/>
                <w:szCs w:val="19"/>
                <w:color w:val="FF0000"/>
                <w:strike w:val="1"/>
                <w:w w:val="94"/>
              </w:rPr>
              <w:t>70</w:t>
            </w:r>
          </w:p>
        </w:tc>
        <w:tc>
          <w:tcPr>
            <w:tcW w:w="220" w:type="dxa"/>
            <w:vAlign w:val="bottom"/>
            <w:tcBorders>
              <w:top w:val="single" w:sz="8" w:color="auto"/>
              <w:bottom w:val="single" w:sz="8" w:color="0000FF"/>
            </w:tcBorders>
            <w:gridSpan w:val="3"/>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94"/>
              </w:rPr>
              <w:t>68</w:t>
            </w: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0000FF"/>
              <w:bottom w:val="single" w:sz="8" w:color="DDDDDD"/>
            </w:tcBorders>
          </w:tcPr>
          <w:p>
            <w:pPr>
              <w:spacing w:after="0"/>
              <w:rPr>
                <w:sz w:val="17"/>
                <w:szCs w:val="17"/>
                <w:color w:val="auto"/>
              </w:rPr>
            </w:pPr>
          </w:p>
        </w:tc>
        <w:tc>
          <w:tcPr>
            <w:tcW w:w="120" w:type="dxa"/>
            <w:vAlign w:val="bottom"/>
            <w:tcBorders>
              <w:top w:val="single" w:sz="8" w:color="0000FF"/>
              <w:bottom w:val="single" w:sz="8" w:color="DDDDDD"/>
            </w:tcBorders>
          </w:tcPr>
          <w:p>
            <w:pPr>
              <w:spacing w:after="0"/>
              <w:rPr>
                <w:sz w:val="17"/>
                <w:szCs w:val="17"/>
                <w:color w:val="auto"/>
              </w:rPr>
            </w:pPr>
          </w:p>
        </w:tc>
        <w:tc>
          <w:tcPr>
            <w:tcW w:w="20" w:type="dxa"/>
            <w:vAlign w:val="bottom"/>
            <w:tcBorders>
              <w:top w:val="single" w:sz="8" w:color="0000FF"/>
              <w:bottom w:val="single" w:sz="8" w:color="DDDDDD"/>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gridSpan w:val="4"/>
          </w:tcPr>
          <w:p>
            <w:pPr>
              <w:spacing w:after="0" w:line="176" w:lineRule="exact"/>
              <w:rPr>
                <w:sz w:val="20"/>
                <w:szCs w:val="20"/>
                <w:color w:val="auto"/>
              </w:rPr>
            </w:pPr>
            <w:r>
              <w:rPr>
                <w:rFonts w:ascii="Arial" w:cs="Arial" w:eastAsia="Arial" w:hAnsi="Arial"/>
                <w:sz w:val="19"/>
                <w:szCs w:val="19"/>
                <w:color w:val="auto"/>
              </w:rPr>
              <w:t>Section 2.15</w:t>
            </w:r>
          </w:p>
        </w:tc>
        <w:tc>
          <w:tcPr>
            <w:tcW w:w="1420" w:type="dxa"/>
            <w:vAlign w:val="bottom"/>
            <w:tcBorders>
              <w:bottom w:val="single" w:sz="8" w:color="auto"/>
            </w:tcBorders>
            <w:gridSpan w:val="16"/>
          </w:tcPr>
          <w:p>
            <w:pPr>
              <w:ind w:left="60"/>
              <w:spacing w:after="0" w:line="176" w:lineRule="exact"/>
              <w:rPr>
                <w:sz w:val="20"/>
                <w:szCs w:val="20"/>
                <w:color w:val="auto"/>
              </w:rPr>
            </w:pPr>
            <w:r>
              <w:rPr>
                <w:rFonts w:ascii="Arial" w:cs="Arial" w:eastAsia="Arial" w:hAnsi="Arial"/>
                <w:sz w:val="19"/>
                <w:szCs w:val="19"/>
                <w:color w:val="auto"/>
              </w:rPr>
              <w:t>Break Funding</w:t>
            </w:r>
          </w:p>
        </w:tc>
        <w:tc>
          <w:tcPr>
            <w:tcW w:w="640" w:type="dxa"/>
            <w:vAlign w:val="bottom"/>
            <w:tcBorders>
              <w:bottom w:val="single" w:sz="8" w:color="auto"/>
            </w:tcBorders>
            <w:gridSpan w:val="9"/>
          </w:tcPr>
          <w:p>
            <w:pPr>
              <w:jc w:val="right"/>
              <w:spacing w:after="0" w:line="176" w:lineRule="exact"/>
              <w:rPr>
                <w:sz w:val="20"/>
                <w:szCs w:val="20"/>
                <w:color w:val="auto"/>
              </w:rPr>
            </w:pPr>
            <w:r>
              <w:rPr>
                <w:rFonts w:ascii="Arial" w:cs="Arial" w:eastAsia="Arial" w:hAnsi="Arial"/>
                <w:sz w:val="19"/>
                <w:szCs w:val="19"/>
                <w:color w:val="auto"/>
                <w:w w:val="73"/>
              </w:rPr>
              <w:t>Payments</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3"/>
          </w:tcPr>
          <w:p>
            <w:pPr>
              <w:jc w:val="right"/>
              <w:spacing w:after="0" w:line="176" w:lineRule="exact"/>
              <w:rPr>
                <w:sz w:val="20"/>
                <w:szCs w:val="20"/>
                <w:color w:val="auto"/>
              </w:rPr>
            </w:pPr>
            <w:r>
              <w:rPr>
                <w:rFonts w:ascii="Arial" w:cs="Arial" w:eastAsia="Arial" w:hAnsi="Arial"/>
                <w:sz w:val="19"/>
                <w:szCs w:val="19"/>
                <w:color w:val="FF0000"/>
                <w:strike w:val="1"/>
                <w:w w:val="94"/>
              </w:rPr>
              <w:t>72</w:t>
            </w:r>
          </w:p>
        </w:tc>
        <w:tc>
          <w:tcPr>
            <w:tcW w:w="220" w:type="dxa"/>
            <w:vAlign w:val="bottom"/>
            <w:tcBorders>
              <w:bottom w:val="single" w:sz="8" w:color="0000FF"/>
            </w:tcBorders>
            <w:gridSpan w:val="3"/>
            <w:shd w:val="clear" w:color="auto" w:fill="DDDDDD"/>
          </w:tcPr>
          <w:p>
            <w:pPr>
              <w:spacing w:after="0" w:line="176" w:lineRule="exact"/>
              <w:rPr>
                <w:sz w:val="20"/>
                <w:szCs w:val="20"/>
                <w:color w:val="auto"/>
              </w:rPr>
            </w:pPr>
            <w:r>
              <w:rPr>
                <w:rFonts w:ascii="Arial" w:cs="Arial" w:eastAsia="Arial" w:hAnsi="Arial"/>
                <w:sz w:val="19"/>
                <w:szCs w:val="19"/>
                <w:color w:val="0000FF"/>
                <w:highlight w:val="lightGray"/>
                <w:w w:val="94"/>
              </w:rPr>
              <w:t>70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80" w:type="dxa"/>
            <w:vAlign w:val="bottom"/>
            <w:gridSpan w:val="4"/>
          </w:tcPr>
          <w:p>
            <w:pPr>
              <w:spacing w:after="0" w:line="176" w:lineRule="exact"/>
              <w:rPr>
                <w:sz w:val="20"/>
                <w:szCs w:val="20"/>
                <w:color w:val="auto"/>
              </w:rPr>
            </w:pPr>
            <w:r>
              <w:rPr>
                <w:rFonts w:ascii="Arial" w:cs="Arial" w:eastAsia="Arial" w:hAnsi="Arial"/>
                <w:sz w:val="19"/>
                <w:szCs w:val="19"/>
                <w:color w:val="auto"/>
              </w:rPr>
              <w:t>Section 2.16</w:t>
            </w:r>
          </w:p>
        </w:tc>
        <w:tc>
          <w:tcPr>
            <w:tcW w:w="760" w:type="dxa"/>
            <w:vAlign w:val="bottom"/>
            <w:gridSpan w:val="6"/>
          </w:tcPr>
          <w:p>
            <w:pPr>
              <w:ind w:left="40"/>
              <w:spacing w:after="0" w:line="176" w:lineRule="exact"/>
              <w:rPr>
                <w:sz w:val="20"/>
                <w:szCs w:val="20"/>
                <w:color w:val="auto"/>
              </w:rPr>
            </w:pPr>
            <w:r>
              <w:rPr>
                <w:rFonts w:ascii="Arial" w:cs="Arial" w:eastAsia="Arial" w:hAnsi="Arial"/>
                <w:sz w:val="19"/>
                <w:szCs w:val="19"/>
                <w:color w:val="auto"/>
              </w:rPr>
              <w:t>Taxes</w:t>
            </w:r>
          </w:p>
        </w:tc>
        <w:tc>
          <w:tcPr>
            <w:tcW w:w="240" w:type="dxa"/>
            <w:vAlign w:val="bottom"/>
            <w:gridSpan w:val="2"/>
          </w:tcPr>
          <w:p>
            <w:pPr>
              <w:spacing w:after="0" w:line="176" w:lineRule="exact"/>
              <w:rPr>
                <w:sz w:val="20"/>
                <w:szCs w:val="20"/>
                <w:color w:val="auto"/>
              </w:rPr>
            </w:pPr>
            <w:r>
              <w:rPr>
                <w:rFonts w:ascii="Arial" w:cs="Arial" w:eastAsia="Arial" w:hAnsi="Arial"/>
                <w:sz w:val="19"/>
                <w:szCs w:val="19"/>
                <w:color w:val="FF0000"/>
                <w:strike w:val="1"/>
                <w:w w:val="94"/>
              </w:rPr>
              <w:t>72</w:t>
            </w:r>
          </w:p>
        </w:tc>
        <w:tc>
          <w:tcPr>
            <w:tcW w:w="200" w:type="dxa"/>
            <w:vAlign w:val="bottom"/>
            <w:tcBorders>
              <w:top w:val="single" w:sz="8" w:color="DDDDDD"/>
              <w:right w:val="single" w:sz="8" w:color="DDDDDD"/>
            </w:tcBorders>
            <w:gridSpan w:val="5"/>
            <w:shd w:val="clear" w:color="auto" w:fill="DDDDDD"/>
          </w:tcPr>
          <w:p>
            <w:pPr>
              <w:spacing w:after="0" w:line="176" w:lineRule="exact"/>
              <w:rPr>
                <w:sz w:val="20"/>
                <w:szCs w:val="20"/>
                <w:color w:val="auto"/>
              </w:rPr>
            </w:pPr>
            <w:r>
              <w:rPr>
                <w:rFonts w:ascii="Arial" w:cs="Arial" w:eastAsia="Arial" w:hAnsi="Arial"/>
                <w:sz w:val="19"/>
                <w:szCs w:val="19"/>
                <w:color w:val="0000FF"/>
                <w:highlight w:val="lightGray"/>
                <w:w w:val="75"/>
              </w:rPr>
              <w:t>70</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DDDDDD"/>
            </w:tcBorders>
          </w:tcPr>
          <w:p>
            <w:pPr>
              <w:spacing w:after="0"/>
              <w:rPr>
                <w:sz w:val="15"/>
                <w:szCs w:val="15"/>
                <w:color w:val="auto"/>
              </w:rPr>
            </w:pPr>
          </w:p>
        </w:tc>
        <w:tc>
          <w:tcPr>
            <w:tcW w:w="120" w:type="dxa"/>
            <w:vAlign w:val="bottom"/>
            <w:tcBorders>
              <w:top w:val="single" w:sz="8" w:color="DDDDDD"/>
            </w:tcBorders>
          </w:tcPr>
          <w:p>
            <w:pPr>
              <w:spacing w:after="0"/>
              <w:rPr>
                <w:sz w:val="15"/>
                <w:szCs w:val="15"/>
                <w:color w:val="auto"/>
              </w:rPr>
            </w:pPr>
          </w:p>
        </w:tc>
        <w:tc>
          <w:tcPr>
            <w:tcW w:w="20" w:type="dxa"/>
            <w:vAlign w:val="bottom"/>
            <w:tcBorders>
              <w:top w:val="single" w:sz="8" w:color="DDDDDD"/>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gridSpan w:val="4"/>
            <w:vMerge w:val="restart"/>
          </w:tcPr>
          <w:p>
            <w:pPr>
              <w:spacing w:after="0" w:line="216" w:lineRule="exact"/>
              <w:rPr>
                <w:sz w:val="20"/>
                <w:szCs w:val="20"/>
                <w:color w:val="auto"/>
              </w:rPr>
            </w:pPr>
            <w:r>
              <w:rPr>
                <w:rFonts w:ascii="Arial" w:cs="Arial" w:eastAsia="Arial" w:hAnsi="Arial"/>
                <w:sz w:val="22"/>
                <w:szCs w:val="22"/>
                <w:color w:val="auto"/>
                <w:w w:val="86"/>
              </w:rPr>
              <w:t>Section 2.17</w:t>
            </w:r>
          </w:p>
        </w:tc>
        <w:tc>
          <w:tcPr>
            <w:tcW w:w="54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0000FF"/>
            </w:tcBorders>
            <w:gridSpan w:val="6"/>
          </w:tcPr>
          <w:p>
            <w:pPr>
              <w:spacing w:after="0" w:line="20" w:lineRule="exact"/>
              <w:rPr>
                <w:sz w:val="1"/>
                <w:szCs w:val="1"/>
                <w:color w:val="auto"/>
              </w:rPr>
            </w:pPr>
          </w:p>
        </w:tc>
        <w:tc>
          <w:tcPr>
            <w:tcW w:w="200" w:type="dxa"/>
            <w:vAlign w:val="bottom"/>
            <w:tcBorders>
              <w:bottom w:val="single" w:sz="8" w:color="DDDDDD"/>
              <w:right w:val="single" w:sz="8" w:color="0000FF"/>
            </w:tcBorders>
            <w:gridSpan w:val="5"/>
            <w:shd w:val="clear" w:color="auto" w:fill="0000FF"/>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DDDDDD"/>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4"/>
            <w:vMerge w:val="continue"/>
          </w:tcPr>
          <w:p>
            <w:pPr>
              <w:spacing w:after="0"/>
              <w:rPr>
                <w:sz w:val="17"/>
                <w:szCs w:val="17"/>
                <w:color w:val="auto"/>
              </w:rPr>
            </w:pPr>
          </w:p>
        </w:tc>
        <w:tc>
          <w:tcPr>
            <w:tcW w:w="1000" w:type="dxa"/>
            <w:vAlign w:val="bottom"/>
            <w:gridSpan w:val="8"/>
          </w:tcPr>
          <w:p>
            <w:pPr>
              <w:ind w:left="60"/>
              <w:spacing w:after="0" w:line="176" w:lineRule="exact"/>
              <w:rPr>
                <w:sz w:val="20"/>
                <w:szCs w:val="20"/>
                <w:color w:val="auto"/>
              </w:rPr>
            </w:pPr>
            <w:r>
              <w:rPr>
                <w:rFonts w:ascii="Arial" w:cs="Arial" w:eastAsia="Arial" w:hAnsi="Arial"/>
                <w:sz w:val="19"/>
                <w:szCs w:val="19"/>
                <w:color w:val="auto"/>
              </w:rPr>
              <w:t>Payments</w:t>
            </w:r>
          </w:p>
        </w:tc>
        <w:tc>
          <w:tcPr>
            <w:tcW w:w="4560" w:type="dxa"/>
            <w:vAlign w:val="bottom"/>
            <w:gridSpan w:val="45"/>
          </w:tcPr>
          <w:p>
            <w:pPr>
              <w:spacing w:after="0" w:line="176" w:lineRule="exact"/>
              <w:rPr>
                <w:sz w:val="20"/>
                <w:szCs w:val="20"/>
                <w:color w:val="auto"/>
              </w:rPr>
            </w:pPr>
            <w:r>
              <w:rPr>
                <w:rFonts w:ascii="Arial" w:cs="Arial" w:eastAsia="Arial" w:hAnsi="Arial"/>
                <w:sz w:val="19"/>
                <w:szCs w:val="19"/>
                <w:color w:val="auto"/>
              </w:rPr>
              <w:t>Generally; Pro Rata Treatment; Sharing of Set-offs</w:t>
            </w:r>
          </w:p>
        </w:tc>
        <w:tc>
          <w:tcPr>
            <w:tcW w:w="220" w:type="dxa"/>
            <w:vAlign w:val="bottom"/>
          </w:tcPr>
          <w:p>
            <w:pPr>
              <w:jc w:val="right"/>
              <w:spacing w:after="0" w:line="176" w:lineRule="exact"/>
              <w:rPr>
                <w:sz w:val="20"/>
                <w:szCs w:val="20"/>
                <w:color w:val="auto"/>
              </w:rPr>
            </w:pPr>
            <w:r>
              <w:rPr>
                <w:rFonts w:ascii="Arial" w:cs="Arial" w:eastAsia="Arial" w:hAnsi="Arial"/>
                <w:sz w:val="19"/>
                <w:szCs w:val="19"/>
                <w:color w:val="FF0000"/>
                <w:strike w:val="1"/>
                <w:w w:val="94"/>
              </w:rPr>
              <w:t>76</w:t>
            </w:r>
          </w:p>
        </w:tc>
        <w:tc>
          <w:tcPr>
            <w:tcW w:w="200" w:type="dxa"/>
            <w:vAlign w:val="bottom"/>
            <w:gridSpan w:val="2"/>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84"/>
              </w:rPr>
              <w:t>74</w:t>
            </w:r>
          </w:p>
        </w:tc>
        <w:tc>
          <w:tcPr>
            <w:tcW w:w="20" w:type="dxa"/>
            <w:vAlign w:val="bottom"/>
          </w:tcPr>
          <w:p>
            <w:pPr>
              <w:spacing w:after="0"/>
              <w:rPr>
                <w:sz w:val="17"/>
                <w:szCs w:val="17"/>
                <w:color w:val="auto"/>
              </w:rPr>
            </w:pPr>
          </w:p>
        </w:tc>
        <w:tc>
          <w:tcPr>
            <w:tcW w:w="4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gridSpan w:val="4"/>
          </w:tcPr>
          <w:p>
            <w:pPr>
              <w:spacing w:after="0" w:line="176" w:lineRule="exact"/>
              <w:rPr>
                <w:sz w:val="20"/>
                <w:szCs w:val="20"/>
                <w:color w:val="auto"/>
              </w:rPr>
            </w:pPr>
            <w:r>
              <w:rPr>
                <w:rFonts w:ascii="Arial" w:cs="Arial" w:eastAsia="Arial" w:hAnsi="Arial"/>
                <w:sz w:val="19"/>
                <w:szCs w:val="19"/>
                <w:color w:val="auto"/>
              </w:rPr>
              <w:t>Section 2.18</w:t>
            </w:r>
          </w:p>
        </w:tc>
        <w:tc>
          <w:tcPr>
            <w:tcW w:w="4480" w:type="dxa"/>
            <w:vAlign w:val="bottom"/>
            <w:tcBorders>
              <w:top w:val="single" w:sz="8" w:color="auto"/>
            </w:tcBorders>
            <w:gridSpan w:val="49"/>
          </w:tcPr>
          <w:p>
            <w:pPr>
              <w:ind w:left="60"/>
              <w:spacing w:after="0" w:line="176" w:lineRule="exact"/>
              <w:rPr>
                <w:sz w:val="20"/>
                <w:szCs w:val="20"/>
                <w:color w:val="auto"/>
              </w:rPr>
            </w:pPr>
            <w:r>
              <w:rPr>
                <w:rFonts w:ascii="Arial" w:cs="Arial" w:eastAsia="Arial" w:hAnsi="Arial"/>
                <w:sz w:val="19"/>
                <w:szCs w:val="19"/>
                <w:color w:val="auto"/>
              </w:rPr>
              <w:t>Mitigation Obligations; Replacement of Lenders</w:t>
            </w:r>
          </w:p>
        </w:tc>
        <w:tc>
          <w:tcPr>
            <w:tcW w:w="20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9"/>
                <w:szCs w:val="19"/>
                <w:color w:val="FF0000"/>
                <w:strike w:val="1"/>
                <w:w w:val="84"/>
              </w:rPr>
              <w:t>78</w:t>
            </w:r>
          </w:p>
        </w:tc>
        <w:tc>
          <w:tcPr>
            <w:tcW w:w="220" w:type="dxa"/>
            <w:vAlign w:val="bottom"/>
            <w:tcBorders>
              <w:top w:val="single" w:sz="8" w:color="auto"/>
            </w:tcBorders>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94"/>
              </w:rPr>
              <w:t>75</w:t>
            </w:r>
          </w:p>
        </w:tc>
        <w:tc>
          <w:tcPr>
            <w:tcW w:w="4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gridSpan w:val="4"/>
          </w:tcPr>
          <w:p>
            <w:pPr>
              <w:spacing w:after="0" w:line="176" w:lineRule="exact"/>
              <w:rPr>
                <w:sz w:val="20"/>
                <w:szCs w:val="20"/>
                <w:color w:val="auto"/>
              </w:rPr>
            </w:pPr>
            <w:r>
              <w:rPr>
                <w:rFonts w:ascii="Arial" w:cs="Arial" w:eastAsia="Arial" w:hAnsi="Arial"/>
                <w:sz w:val="19"/>
                <w:szCs w:val="19"/>
                <w:color w:val="auto"/>
              </w:rPr>
              <w:t>Section 2.19</w:t>
            </w:r>
          </w:p>
        </w:tc>
        <w:tc>
          <w:tcPr>
            <w:tcW w:w="3580" w:type="dxa"/>
            <w:vAlign w:val="bottom"/>
            <w:tcBorders>
              <w:top w:val="single" w:sz="8" w:color="auto"/>
            </w:tcBorders>
            <w:gridSpan w:val="43"/>
          </w:tcPr>
          <w:p>
            <w:pPr>
              <w:ind w:left="60"/>
              <w:spacing w:after="0" w:line="176" w:lineRule="exact"/>
              <w:rPr>
                <w:sz w:val="20"/>
                <w:szCs w:val="20"/>
                <w:color w:val="auto"/>
              </w:rPr>
            </w:pPr>
            <w:r>
              <w:rPr>
                <w:rFonts w:ascii="Arial" w:cs="Arial" w:eastAsia="Arial" w:hAnsi="Arial"/>
                <w:sz w:val="19"/>
                <w:szCs w:val="19"/>
                <w:color w:val="auto"/>
              </w:rPr>
              <w:t>Increase in the Aggregate Commitments</w:t>
            </w:r>
          </w:p>
        </w:tc>
        <w:tc>
          <w:tcPr>
            <w:tcW w:w="440" w:type="dxa"/>
            <w:vAlign w:val="bottom"/>
            <w:tcBorders>
              <w:top w:val="single" w:sz="8" w:color="auto"/>
              <w:right w:val="single" w:sz="8" w:color="DDDDDD"/>
            </w:tcBorders>
            <w:gridSpan w:val="2"/>
          </w:tcPr>
          <w:p>
            <w:pPr>
              <w:jc w:val="right"/>
              <w:spacing w:after="0" w:line="176" w:lineRule="exact"/>
              <w:rPr>
                <w:sz w:val="20"/>
                <w:szCs w:val="20"/>
                <w:color w:val="auto"/>
              </w:rPr>
            </w:pPr>
            <w:r>
              <w:rPr>
                <w:rFonts w:ascii="Arial" w:cs="Arial" w:eastAsia="Arial" w:hAnsi="Arial"/>
                <w:sz w:val="19"/>
                <w:szCs w:val="19"/>
                <w:color w:val="FF0000"/>
                <w:strike w:val="1"/>
              </w:rPr>
              <w:t>79</w:t>
            </w:r>
          </w:p>
        </w:tc>
        <w:tc>
          <w:tcPr>
            <w:tcW w:w="160" w:type="dxa"/>
            <w:vAlign w:val="bottom"/>
            <w:tcBorders>
              <w:top w:val="single" w:sz="8" w:color="auto"/>
            </w:tcBorders>
            <w:shd w:val="clear" w:color="auto" w:fill="DDDDDD"/>
          </w:tcPr>
          <w:p>
            <w:pPr>
              <w:jc w:val="right"/>
              <w:spacing w:after="0" w:line="176" w:lineRule="exact"/>
              <w:rPr>
                <w:sz w:val="20"/>
                <w:szCs w:val="20"/>
                <w:color w:val="auto"/>
              </w:rPr>
            </w:pPr>
            <w:r>
              <w:rPr>
                <w:rFonts w:ascii="Arial" w:cs="Arial" w:eastAsia="Arial" w:hAnsi="Arial"/>
                <w:sz w:val="17"/>
                <w:szCs w:val="17"/>
                <w:color w:val="0000FF"/>
                <w:highlight w:val="lightGray"/>
                <w:w w:val="73"/>
              </w:rPr>
              <w:t>76</w:t>
            </w: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gridSpan w:val="4"/>
          </w:tcPr>
          <w:p>
            <w:pPr>
              <w:spacing w:after="0" w:line="176" w:lineRule="exact"/>
              <w:rPr>
                <w:sz w:val="20"/>
                <w:szCs w:val="20"/>
                <w:color w:val="auto"/>
              </w:rPr>
            </w:pPr>
            <w:r>
              <w:rPr>
                <w:rFonts w:ascii="Arial" w:cs="Arial" w:eastAsia="Arial" w:hAnsi="Arial"/>
                <w:sz w:val="19"/>
                <w:szCs w:val="19"/>
                <w:color w:val="auto"/>
              </w:rPr>
              <w:t>Section 2.20</w:t>
            </w:r>
          </w:p>
        </w:tc>
        <w:tc>
          <w:tcPr>
            <w:tcW w:w="2440" w:type="dxa"/>
            <w:vAlign w:val="bottom"/>
            <w:tcBorders>
              <w:top w:val="single" w:sz="8" w:color="auto"/>
            </w:tcBorders>
            <w:gridSpan w:val="32"/>
          </w:tcPr>
          <w:p>
            <w:pPr>
              <w:ind w:left="60"/>
              <w:spacing w:after="0" w:line="176" w:lineRule="exact"/>
              <w:rPr>
                <w:sz w:val="20"/>
                <w:szCs w:val="20"/>
                <w:color w:val="auto"/>
              </w:rPr>
            </w:pPr>
            <w:r>
              <w:rPr>
                <w:rFonts w:ascii="Arial" w:cs="Arial" w:eastAsia="Arial" w:hAnsi="Arial"/>
                <w:sz w:val="19"/>
                <w:szCs w:val="19"/>
                <w:color w:val="auto"/>
              </w:rPr>
              <w:t>Extension of Maturity Date</w:t>
            </w:r>
          </w:p>
        </w:tc>
        <w:tc>
          <w:tcPr>
            <w:tcW w:w="180" w:type="dxa"/>
            <w:vAlign w:val="bottom"/>
            <w:tcBorders>
              <w:top w:val="single" w:sz="8" w:color="auto"/>
            </w:tcBorders>
            <w:gridSpan w:val="2"/>
          </w:tcPr>
          <w:p>
            <w:pPr>
              <w:spacing w:after="0"/>
              <w:rPr>
                <w:sz w:val="17"/>
                <w:szCs w:val="17"/>
                <w:color w:val="auto"/>
              </w:rPr>
            </w:pPr>
          </w:p>
        </w:tc>
        <w:tc>
          <w:tcPr>
            <w:tcW w:w="240" w:type="dxa"/>
            <w:vAlign w:val="bottom"/>
            <w:tcBorders>
              <w:top w:val="single" w:sz="8" w:color="auto"/>
            </w:tcBorders>
            <w:gridSpan w:val="3"/>
          </w:tcPr>
          <w:p>
            <w:pPr>
              <w:ind w:left="20"/>
              <w:spacing w:after="0" w:line="176" w:lineRule="exact"/>
              <w:rPr>
                <w:sz w:val="20"/>
                <w:szCs w:val="20"/>
                <w:color w:val="auto"/>
              </w:rPr>
            </w:pPr>
            <w:r>
              <w:rPr>
                <w:rFonts w:ascii="Arial" w:cs="Arial" w:eastAsia="Arial" w:hAnsi="Arial"/>
                <w:sz w:val="19"/>
                <w:szCs w:val="19"/>
                <w:color w:val="FF0000"/>
                <w:strike w:val="1"/>
                <w:w w:val="94"/>
              </w:rPr>
              <w:t>80</w:t>
            </w:r>
          </w:p>
        </w:tc>
        <w:tc>
          <w:tcPr>
            <w:tcW w:w="220" w:type="dxa"/>
            <w:vAlign w:val="bottom"/>
            <w:tcBorders>
              <w:top w:val="single" w:sz="8" w:color="auto"/>
              <w:right w:val="single" w:sz="8" w:color="DDDDDD"/>
            </w:tcBorders>
            <w:gridSpan w:val="2"/>
            <w:shd w:val="clear" w:color="auto" w:fill="DDDDDD"/>
          </w:tcPr>
          <w:p>
            <w:pPr>
              <w:jc w:val="right"/>
              <w:ind w:right="20"/>
              <w:spacing w:after="0" w:line="176" w:lineRule="exact"/>
              <w:rPr>
                <w:sz w:val="20"/>
                <w:szCs w:val="20"/>
                <w:color w:val="auto"/>
              </w:rPr>
            </w:pPr>
            <w:r>
              <w:rPr>
                <w:rFonts w:ascii="Arial" w:cs="Arial" w:eastAsia="Arial" w:hAnsi="Arial"/>
                <w:sz w:val="19"/>
                <w:szCs w:val="19"/>
                <w:color w:val="0000FF"/>
                <w:highlight w:val="lightGray"/>
                <w:w w:val="84"/>
              </w:rPr>
              <w:t>78</w:t>
            </w:r>
          </w:p>
        </w:tc>
        <w:tc>
          <w:tcPr>
            <w:tcW w:w="2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80" w:type="dxa"/>
            <w:vAlign w:val="bottom"/>
            <w:gridSpan w:val="4"/>
          </w:tcPr>
          <w:p>
            <w:pPr>
              <w:spacing w:after="0" w:line="176" w:lineRule="exact"/>
              <w:rPr>
                <w:sz w:val="20"/>
                <w:szCs w:val="20"/>
                <w:color w:val="auto"/>
              </w:rPr>
            </w:pPr>
            <w:r>
              <w:rPr>
                <w:rFonts w:ascii="Arial" w:cs="Arial" w:eastAsia="Arial" w:hAnsi="Arial"/>
                <w:sz w:val="19"/>
                <w:szCs w:val="19"/>
                <w:color w:val="auto"/>
              </w:rPr>
              <w:t>Section 2.21</w:t>
            </w:r>
          </w:p>
        </w:tc>
        <w:tc>
          <w:tcPr>
            <w:tcW w:w="1940" w:type="dxa"/>
            <w:vAlign w:val="bottom"/>
            <w:tcBorders>
              <w:top w:val="single" w:sz="8" w:color="auto"/>
            </w:tcBorders>
            <w:gridSpan w:val="23"/>
          </w:tcPr>
          <w:p>
            <w:pPr>
              <w:ind w:left="60"/>
              <w:spacing w:after="0" w:line="176" w:lineRule="exact"/>
              <w:rPr>
                <w:sz w:val="20"/>
                <w:szCs w:val="20"/>
                <w:color w:val="auto"/>
              </w:rPr>
            </w:pPr>
            <w:r>
              <w:rPr>
                <w:rFonts w:ascii="Arial" w:cs="Arial" w:eastAsia="Arial" w:hAnsi="Arial"/>
                <w:sz w:val="19"/>
                <w:szCs w:val="19"/>
                <w:color w:val="auto"/>
              </w:rPr>
              <w:t>Defaulting Lenders</w:t>
            </w:r>
          </w:p>
        </w:tc>
        <w:tc>
          <w:tcPr>
            <w:tcW w:w="300" w:type="dxa"/>
            <w:vAlign w:val="bottom"/>
            <w:tcBorders>
              <w:top w:val="single" w:sz="8" w:color="auto"/>
              <w:right w:val="single" w:sz="8" w:color="DDDDDD"/>
            </w:tcBorders>
            <w:gridSpan w:val="4"/>
          </w:tcPr>
          <w:p>
            <w:pPr>
              <w:jc w:val="right"/>
              <w:spacing w:after="0" w:line="176" w:lineRule="exact"/>
              <w:rPr>
                <w:sz w:val="20"/>
                <w:szCs w:val="20"/>
                <w:color w:val="auto"/>
              </w:rPr>
            </w:pPr>
            <w:r>
              <w:rPr>
                <w:rFonts w:ascii="Arial" w:cs="Arial" w:eastAsia="Arial" w:hAnsi="Arial"/>
                <w:sz w:val="19"/>
                <w:szCs w:val="19"/>
                <w:color w:val="FF0000"/>
                <w:strike w:val="1"/>
                <w:w w:val="94"/>
              </w:rPr>
              <w:t>83</w:t>
            </w:r>
          </w:p>
        </w:tc>
        <w:tc>
          <w:tcPr>
            <w:tcW w:w="140" w:type="dxa"/>
            <w:vAlign w:val="bottom"/>
            <w:tcBorders>
              <w:top w:val="single" w:sz="8" w:color="auto"/>
              <w:right w:val="single" w:sz="8" w:color="DDDDDD"/>
            </w:tcBorders>
            <w:gridSpan w:val="2"/>
            <w:shd w:val="clear" w:color="auto" w:fill="DDDDDD"/>
          </w:tcPr>
          <w:p>
            <w:pPr>
              <w:spacing w:after="0"/>
              <w:rPr>
                <w:sz w:val="20"/>
                <w:szCs w:val="20"/>
                <w:color w:val="auto"/>
              </w:rPr>
            </w:pPr>
            <w:r>
              <w:rPr>
                <w:rFonts w:ascii="Arial" w:cs="Arial" w:eastAsia="Arial" w:hAnsi="Arial"/>
                <w:sz w:val="12"/>
                <w:szCs w:val="12"/>
                <w:color w:val="0000FF"/>
                <w:highlight w:val="lightGray"/>
                <w:w w:val="74"/>
              </w:rPr>
              <w:t>80</w:t>
            </w:r>
          </w:p>
        </w:tc>
        <w:tc>
          <w:tcPr>
            <w:tcW w:w="40" w:type="dxa"/>
            <w:vAlign w:val="bottom"/>
            <w:tcBorders>
              <w:top w:val="single" w:sz="8" w:color="auto"/>
            </w:tcBorders>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960" w:type="dxa"/>
            <w:vAlign w:val="bottom"/>
            <w:tcBorders>
              <w:right w:val="single" w:sz="8" w:color="auto"/>
            </w:tcBorders>
            <w:gridSpan w:val="11"/>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auto"/>
            </w:tcBorders>
            <w:gridSpan w:val="5"/>
            <w:shd w:val="clear" w:color="auto" w:fill="000000"/>
          </w:tcPr>
          <w:p>
            <w:pPr>
              <w:spacing w:after="0"/>
              <w:rPr>
                <w:sz w:val="2"/>
                <w:szCs w:val="2"/>
                <w:color w:val="auto"/>
              </w:rPr>
            </w:pPr>
          </w:p>
        </w:tc>
        <w:tc>
          <w:tcPr>
            <w:tcW w:w="220" w:type="dxa"/>
            <w:vAlign w:val="bottom"/>
            <w:tcBorders>
              <w:right w:val="single" w:sz="8" w:color="auto"/>
            </w:tcBorders>
            <w:gridSpan w:val="3"/>
            <w:shd w:val="clear" w:color="auto" w:fill="000000"/>
          </w:tcPr>
          <w:p>
            <w:pPr>
              <w:spacing w:after="0"/>
              <w:rPr>
                <w:sz w:val="2"/>
                <w:szCs w:val="2"/>
                <w:color w:val="auto"/>
              </w:rPr>
            </w:pPr>
          </w:p>
        </w:tc>
        <w:tc>
          <w:tcPr>
            <w:tcW w:w="820" w:type="dxa"/>
            <w:vAlign w:val="bottom"/>
            <w:tcBorders>
              <w:right w:val="single" w:sz="8" w:color="0000FF"/>
            </w:tcBorders>
            <w:gridSpan w:val="11"/>
            <w:shd w:val="clear" w:color="auto" w:fill="000000"/>
          </w:tcPr>
          <w:p>
            <w:pPr>
              <w:spacing w:after="0"/>
              <w:rPr>
                <w:sz w:val="2"/>
                <w:szCs w:val="2"/>
                <w:color w:val="auto"/>
              </w:rPr>
            </w:pPr>
          </w:p>
        </w:tc>
        <w:tc>
          <w:tcPr>
            <w:tcW w:w="140" w:type="dxa"/>
            <w:vAlign w:val="bottom"/>
            <w:tcBorders>
              <w:right w:val="single" w:sz="8" w:color="0000FF"/>
            </w:tcBorders>
            <w:gridSpan w:val="2"/>
            <w:shd w:val="clear" w:color="auto" w:fill="0000FF"/>
          </w:tcPr>
          <w:p>
            <w:pPr>
              <w:spacing w:after="0"/>
              <w:rPr>
                <w:sz w:val="2"/>
                <w:szCs w:val="2"/>
                <w:color w:val="auto"/>
              </w:rPr>
            </w:pPr>
          </w:p>
        </w:tc>
        <w:tc>
          <w:tcPr>
            <w:tcW w:w="4060" w:type="dxa"/>
            <w:vAlign w:val="bottom"/>
            <w:gridSpan w:val="31"/>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ARTICLE III</w:t>
      </w:r>
    </w:p>
    <w:p>
      <w:pPr>
        <w:spacing w:after="0" w:line="179" w:lineRule="exact"/>
        <w:rPr>
          <w:sz w:val="20"/>
          <w:szCs w:val="20"/>
          <w:color w:val="auto"/>
        </w:rPr>
      </w:pPr>
    </w:p>
    <w:p>
      <w:pPr>
        <w:ind w:left="1560"/>
        <w:spacing w:after="0"/>
        <w:tabs>
          <w:tab w:leader="none" w:pos="5680" w:val="left"/>
        </w:tabs>
        <w:rPr>
          <w:sz w:val="20"/>
          <w:szCs w:val="20"/>
          <w:color w:val="auto"/>
        </w:rPr>
      </w:pPr>
      <w:r>
        <w:rPr>
          <w:rFonts w:ascii="Arial" w:cs="Arial" w:eastAsia="Arial" w:hAnsi="Arial"/>
          <w:sz w:val="22"/>
          <w:szCs w:val="22"/>
          <w:color w:val="auto"/>
        </w:rPr>
        <w:t>REPRESENTATIONS AND WARRANTIES</w:t>
      </w:r>
      <w:r>
        <w:rPr>
          <w:sz w:val="20"/>
          <w:szCs w:val="20"/>
          <w:color w:val="auto"/>
        </w:rPr>
        <w:tab/>
      </w:r>
      <w:r>
        <w:rPr>
          <w:rFonts w:ascii="Arial" w:cs="Arial" w:eastAsia="Arial" w:hAnsi="Arial"/>
          <w:sz w:val="18"/>
          <w:szCs w:val="18"/>
          <w:color w:val="FF0000"/>
          <w:strike w:val="1"/>
        </w:rPr>
        <w:t>86</w:t>
      </w:r>
      <w:r>
        <w:rPr>
          <w:rFonts w:ascii="Arial" w:cs="Arial" w:eastAsia="Arial" w:hAnsi="Arial"/>
          <w:sz w:val="18"/>
          <w:szCs w:val="18"/>
          <w:u w:val="single" w:color="auto"/>
          <w:color w:val="0000FF"/>
          <w:highlight w:val="lightGray"/>
          <w:strike w:val="1"/>
        </w:rPr>
        <w:t>83</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50"/>
        </w:trPr>
        <w:tc>
          <w:tcPr>
            <w:tcW w:w="960" w:type="dxa"/>
            <w:vAlign w:val="bottom"/>
            <w:vMerge w:val="restart"/>
          </w:tcPr>
          <w:p>
            <w:pPr>
              <w:spacing w:after="0"/>
              <w:rPr>
                <w:sz w:val="20"/>
                <w:szCs w:val="20"/>
                <w:color w:val="auto"/>
              </w:rPr>
            </w:pPr>
            <w:r>
              <w:rPr>
                <w:rFonts w:ascii="Arial" w:cs="Arial" w:eastAsia="Arial" w:hAnsi="Arial"/>
                <w:sz w:val="22"/>
                <w:szCs w:val="22"/>
                <w:color w:val="auto"/>
                <w:w w:val="83"/>
              </w:rPr>
              <w:t>Section 3.1</w:t>
            </w:r>
          </w:p>
        </w:tc>
        <w:tc>
          <w:tcPr>
            <w:tcW w:w="1940" w:type="dxa"/>
            <w:vAlign w:val="bottom"/>
            <w:gridSpan w:val="6"/>
            <w:vMerge w:val="restart"/>
          </w:tcPr>
          <w:p>
            <w:pPr>
              <w:ind w:left="60"/>
              <w:spacing w:after="0"/>
              <w:rPr>
                <w:sz w:val="20"/>
                <w:szCs w:val="20"/>
                <w:color w:val="auto"/>
              </w:rPr>
            </w:pPr>
            <w:r>
              <w:rPr>
                <w:rFonts w:ascii="Arial" w:cs="Arial" w:eastAsia="Arial" w:hAnsi="Arial"/>
                <w:sz w:val="22"/>
                <w:szCs w:val="22"/>
                <w:color w:val="auto"/>
                <w:w w:val="88"/>
              </w:rPr>
              <w:t>Organization; Powers</w:t>
            </w:r>
          </w:p>
        </w:tc>
        <w:tc>
          <w:tcPr>
            <w:tcW w:w="220" w:type="dxa"/>
            <w:vAlign w:val="bottom"/>
            <w:vMerge w:val="restart"/>
          </w:tcPr>
          <w:p>
            <w:pPr>
              <w:spacing w:after="0"/>
              <w:rPr>
                <w:sz w:val="4"/>
                <w:szCs w:val="4"/>
                <w:color w:val="auto"/>
              </w:rPr>
            </w:pPr>
          </w:p>
        </w:tc>
        <w:tc>
          <w:tcPr>
            <w:tcW w:w="200" w:type="dxa"/>
            <w:vAlign w:val="bottom"/>
            <w:vMerge w:val="restart"/>
          </w:tcPr>
          <w:p>
            <w:pPr>
              <w:jc w:val="right"/>
              <w:spacing w:after="0"/>
              <w:rPr>
                <w:sz w:val="20"/>
                <w:szCs w:val="20"/>
                <w:color w:val="auto"/>
              </w:rPr>
            </w:pPr>
            <w:r>
              <w:rPr>
                <w:rFonts w:ascii="Arial" w:cs="Arial" w:eastAsia="Arial" w:hAnsi="Arial"/>
                <w:sz w:val="22"/>
                <w:szCs w:val="22"/>
                <w:color w:val="FF0000"/>
                <w:strike w:val="1"/>
                <w:w w:val="73"/>
              </w:rPr>
              <w:t>86</w:t>
            </w: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960" w:type="dxa"/>
            <w:vAlign w:val="bottom"/>
            <w:vMerge w:val="continue"/>
          </w:tcPr>
          <w:p>
            <w:pPr>
              <w:spacing w:after="0"/>
              <w:rPr>
                <w:sz w:val="19"/>
                <w:szCs w:val="19"/>
                <w:color w:val="auto"/>
              </w:rPr>
            </w:pPr>
          </w:p>
        </w:tc>
        <w:tc>
          <w:tcPr>
            <w:tcW w:w="1940" w:type="dxa"/>
            <w:vAlign w:val="bottom"/>
            <w:tcBorders>
              <w:bottom w:val="single" w:sz="8" w:color="auto"/>
            </w:tcBorders>
            <w:gridSpan w:val="6"/>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20" w:type="dxa"/>
            <w:vAlign w:val="bottom"/>
            <w:tcBorders>
              <w:bottom w:val="single" w:sz="8" w:color="0000FF"/>
            </w:tcBorders>
            <w:vMerge w:val="continue"/>
          </w:tcPr>
          <w:p>
            <w:pPr>
              <w:spacing w:after="0"/>
              <w:rPr>
                <w:sz w:val="19"/>
                <w:szCs w:val="19"/>
                <w:color w:val="auto"/>
              </w:rPr>
            </w:pPr>
          </w:p>
        </w:tc>
        <w:tc>
          <w:tcPr>
            <w:tcW w:w="200" w:type="dxa"/>
            <w:vAlign w:val="bottom"/>
            <w:tcBorders>
              <w:bottom w:val="single" w:sz="8" w:color="0000FF"/>
            </w:tcBorders>
            <w:shd w:val="clear" w:color="auto" w:fill="DDDDDD"/>
          </w:tcPr>
          <w:p>
            <w:pPr>
              <w:jc w:val="right"/>
              <w:spacing w:after="0" w:line="203" w:lineRule="exact"/>
              <w:rPr>
                <w:sz w:val="20"/>
                <w:szCs w:val="20"/>
                <w:color w:val="auto"/>
              </w:rPr>
            </w:pPr>
            <w:r>
              <w:rPr>
                <w:rFonts w:ascii="Arial" w:cs="Arial" w:eastAsia="Arial" w:hAnsi="Arial"/>
                <w:sz w:val="22"/>
                <w:szCs w:val="22"/>
                <w:color w:val="0000FF"/>
                <w:highlight w:val="lightGray"/>
                <w:w w:val="73"/>
              </w:rPr>
              <w:t>83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line="176" w:lineRule="exact"/>
              <w:rPr>
                <w:sz w:val="20"/>
                <w:szCs w:val="20"/>
                <w:color w:val="auto"/>
              </w:rPr>
            </w:pPr>
            <w:r>
              <w:rPr>
                <w:rFonts w:ascii="Arial" w:cs="Arial" w:eastAsia="Arial" w:hAnsi="Arial"/>
                <w:sz w:val="19"/>
                <w:szCs w:val="19"/>
                <w:color w:val="auto"/>
                <w:w w:val="96"/>
              </w:rPr>
              <w:t>Section 3.2</w:t>
            </w:r>
          </w:p>
        </w:tc>
        <w:tc>
          <w:tcPr>
            <w:tcW w:w="2380" w:type="dxa"/>
            <w:vAlign w:val="bottom"/>
            <w:tcBorders>
              <w:bottom w:val="single" w:sz="8" w:color="auto"/>
            </w:tcBorders>
            <w:gridSpan w:val="9"/>
          </w:tcPr>
          <w:p>
            <w:pPr>
              <w:ind w:left="60"/>
              <w:spacing w:after="0" w:line="176" w:lineRule="exact"/>
              <w:rPr>
                <w:sz w:val="20"/>
                <w:szCs w:val="20"/>
                <w:color w:val="auto"/>
              </w:rPr>
            </w:pPr>
            <w:r>
              <w:rPr>
                <w:rFonts w:ascii="Arial" w:cs="Arial" w:eastAsia="Arial" w:hAnsi="Arial"/>
                <w:sz w:val="19"/>
                <w:szCs w:val="19"/>
                <w:color w:val="auto"/>
                <w:w w:val="97"/>
              </w:rPr>
              <w:t>Authorization; Enforceability</w:t>
            </w:r>
          </w:p>
        </w:tc>
        <w:tc>
          <w:tcPr>
            <w:tcW w:w="200" w:type="dxa"/>
            <w:vAlign w:val="bottom"/>
            <w:tcBorders>
              <w:top w:val="single" w:sz="8" w:color="DDDDDD"/>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9"/>
                <w:szCs w:val="19"/>
                <w:color w:val="FF0000"/>
                <w:strike w:val="1"/>
              </w:rPr>
              <w:t>86</w:t>
            </w:r>
          </w:p>
        </w:tc>
        <w:tc>
          <w:tcPr>
            <w:tcW w:w="200" w:type="dxa"/>
            <w:vAlign w:val="bottom"/>
            <w:tcBorders>
              <w:top w:val="single" w:sz="8" w:color="DDDDDD"/>
              <w:bottom w:val="single" w:sz="8" w:color="0000FF"/>
            </w:tcBorders>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84"/>
              </w:rPr>
              <w:t>84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bottom w:val="single" w:sz="8" w:color="DDDDDD"/>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line="176" w:lineRule="exact"/>
              <w:rPr>
                <w:sz w:val="20"/>
                <w:szCs w:val="20"/>
                <w:color w:val="auto"/>
              </w:rPr>
            </w:pPr>
            <w:r>
              <w:rPr>
                <w:rFonts w:ascii="Arial" w:cs="Arial" w:eastAsia="Arial" w:hAnsi="Arial"/>
                <w:sz w:val="19"/>
                <w:szCs w:val="19"/>
                <w:color w:val="auto"/>
                <w:w w:val="96"/>
              </w:rPr>
              <w:t>Section 3.3</w:t>
            </w:r>
          </w:p>
        </w:tc>
        <w:tc>
          <w:tcPr>
            <w:tcW w:w="2600" w:type="dxa"/>
            <w:vAlign w:val="bottom"/>
            <w:gridSpan w:val="11"/>
          </w:tcPr>
          <w:p>
            <w:pPr>
              <w:ind w:left="60"/>
              <w:spacing w:after="0" w:line="176" w:lineRule="exact"/>
              <w:rPr>
                <w:sz w:val="20"/>
                <w:szCs w:val="20"/>
                <w:color w:val="auto"/>
              </w:rPr>
            </w:pPr>
            <w:r>
              <w:rPr>
                <w:rFonts w:ascii="Arial" w:cs="Arial" w:eastAsia="Arial" w:hAnsi="Arial"/>
                <w:sz w:val="19"/>
                <w:szCs w:val="19"/>
                <w:color w:val="auto"/>
              </w:rPr>
              <w:t>Governmental Approvals; No</w:t>
            </w:r>
          </w:p>
        </w:tc>
        <w:tc>
          <w:tcPr>
            <w:tcW w:w="1080" w:type="dxa"/>
            <w:vAlign w:val="bottom"/>
            <w:gridSpan w:val="4"/>
          </w:tcPr>
          <w:p>
            <w:pPr>
              <w:ind w:left="80"/>
              <w:spacing w:after="0" w:line="176" w:lineRule="exact"/>
              <w:rPr>
                <w:sz w:val="20"/>
                <w:szCs w:val="20"/>
                <w:color w:val="auto"/>
              </w:rPr>
            </w:pPr>
            <w:r>
              <w:rPr>
                <w:rFonts w:ascii="Arial" w:cs="Arial" w:eastAsia="Arial" w:hAnsi="Arial"/>
                <w:sz w:val="19"/>
                <w:szCs w:val="19"/>
                <w:color w:val="auto"/>
              </w:rPr>
              <w:t>Conflicts</w:t>
            </w:r>
          </w:p>
        </w:tc>
        <w:tc>
          <w:tcPr>
            <w:tcW w:w="240" w:type="dxa"/>
            <w:vAlign w:val="bottom"/>
          </w:tcPr>
          <w:p>
            <w:pPr>
              <w:jc w:val="right"/>
              <w:spacing w:after="0" w:line="176" w:lineRule="exact"/>
              <w:rPr>
                <w:sz w:val="20"/>
                <w:szCs w:val="20"/>
                <w:color w:val="auto"/>
              </w:rPr>
            </w:pPr>
            <w:r>
              <w:rPr>
                <w:rFonts w:ascii="Arial" w:cs="Arial" w:eastAsia="Arial" w:hAnsi="Arial"/>
                <w:sz w:val="19"/>
                <w:szCs w:val="19"/>
                <w:color w:val="FF0000"/>
                <w:strike w:val="1"/>
                <w:w w:val="94"/>
              </w:rPr>
              <w:t>86</w:t>
            </w:r>
          </w:p>
        </w:tc>
        <w:tc>
          <w:tcPr>
            <w:tcW w:w="200" w:type="dxa"/>
            <w:vAlign w:val="bottom"/>
            <w:shd w:val="clear" w:color="auto" w:fill="DDDDDD"/>
          </w:tcPr>
          <w:p>
            <w:pPr>
              <w:spacing w:after="0" w:line="176" w:lineRule="exact"/>
              <w:rPr>
                <w:sz w:val="20"/>
                <w:szCs w:val="20"/>
                <w:color w:val="auto"/>
              </w:rPr>
            </w:pPr>
            <w:r>
              <w:rPr>
                <w:rFonts w:ascii="Arial" w:cs="Arial" w:eastAsia="Arial" w:hAnsi="Arial"/>
                <w:sz w:val="19"/>
                <w:szCs w:val="19"/>
                <w:color w:val="0000FF"/>
                <w:highlight w:val="lightGray"/>
                <w:w w:val="84"/>
              </w:rPr>
              <w:t>84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line="216" w:lineRule="exact"/>
              <w:rPr>
                <w:sz w:val="20"/>
                <w:szCs w:val="20"/>
                <w:color w:val="auto"/>
              </w:rPr>
            </w:pPr>
            <w:r>
              <w:rPr>
                <w:rFonts w:ascii="Arial" w:cs="Arial" w:eastAsia="Arial" w:hAnsi="Arial"/>
                <w:sz w:val="22"/>
                <w:szCs w:val="22"/>
                <w:color w:val="auto"/>
                <w:w w:val="83"/>
              </w:rPr>
              <w:t>Section 3.4</w:t>
            </w:r>
          </w:p>
        </w:tc>
        <w:tc>
          <w:tcPr>
            <w:tcW w:w="9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80" w:type="dxa"/>
            <w:vAlign w:val="bottom"/>
            <w:gridSpan w:val="9"/>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00" w:type="dxa"/>
            <w:vAlign w:val="bottom"/>
            <w:tcBorders>
              <w:bottom w:val="single" w:sz="8" w:color="DDDDDD"/>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vMerge w:val="continue"/>
          </w:tcPr>
          <w:p>
            <w:pPr>
              <w:spacing w:after="0"/>
              <w:rPr>
                <w:sz w:val="17"/>
                <w:szCs w:val="17"/>
                <w:color w:val="auto"/>
              </w:rPr>
            </w:pPr>
          </w:p>
        </w:tc>
        <w:tc>
          <w:tcPr>
            <w:tcW w:w="3920" w:type="dxa"/>
            <w:vAlign w:val="bottom"/>
            <w:gridSpan w:val="16"/>
          </w:tcPr>
          <w:p>
            <w:pPr>
              <w:ind w:left="60"/>
              <w:spacing w:after="0" w:line="176" w:lineRule="exact"/>
              <w:rPr>
                <w:sz w:val="20"/>
                <w:szCs w:val="20"/>
                <w:color w:val="auto"/>
              </w:rPr>
            </w:pPr>
            <w:r>
              <w:rPr>
                <w:rFonts w:ascii="Arial" w:cs="Arial" w:eastAsia="Arial" w:hAnsi="Arial"/>
                <w:sz w:val="19"/>
                <w:szCs w:val="19"/>
                <w:color w:val="auto"/>
              </w:rPr>
              <w:t>Financial Condition; No Material Adverse</w:t>
            </w:r>
          </w:p>
        </w:tc>
        <w:tc>
          <w:tcPr>
            <w:tcW w:w="660" w:type="dxa"/>
            <w:vAlign w:val="bottom"/>
            <w:gridSpan w:val="3"/>
          </w:tcPr>
          <w:p>
            <w:pPr>
              <w:spacing w:after="0" w:line="176" w:lineRule="exact"/>
              <w:rPr>
                <w:sz w:val="20"/>
                <w:szCs w:val="20"/>
                <w:color w:val="auto"/>
              </w:rPr>
            </w:pPr>
            <w:r>
              <w:rPr>
                <w:rFonts w:ascii="Arial" w:cs="Arial" w:eastAsia="Arial" w:hAnsi="Arial"/>
                <w:sz w:val="19"/>
                <w:szCs w:val="19"/>
                <w:color w:val="auto"/>
              </w:rPr>
              <w:t>Effects</w:t>
            </w:r>
          </w:p>
        </w:tc>
        <w:tc>
          <w:tcPr>
            <w:tcW w:w="220" w:type="dxa"/>
            <w:vAlign w:val="bottom"/>
          </w:tcPr>
          <w:p>
            <w:pPr>
              <w:jc w:val="right"/>
              <w:spacing w:after="0" w:line="176" w:lineRule="exact"/>
              <w:rPr>
                <w:sz w:val="20"/>
                <w:szCs w:val="20"/>
                <w:color w:val="auto"/>
              </w:rPr>
            </w:pPr>
            <w:r>
              <w:rPr>
                <w:rFonts w:ascii="Arial" w:cs="Arial" w:eastAsia="Arial" w:hAnsi="Arial"/>
                <w:sz w:val="19"/>
                <w:szCs w:val="19"/>
                <w:color w:val="FF0000"/>
                <w:strike w:val="1"/>
                <w:w w:val="94"/>
              </w:rPr>
              <w:t>87</w:t>
            </w:r>
          </w:p>
        </w:tc>
        <w:tc>
          <w:tcPr>
            <w:tcW w:w="220" w:type="dxa"/>
            <w:vAlign w:val="bottom"/>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94"/>
              </w:rPr>
              <w:t>84</w:t>
            </w:r>
          </w:p>
        </w:tc>
        <w:tc>
          <w:tcPr>
            <w:tcW w:w="0" w:type="dxa"/>
            <w:vAlign w:val="bottom"/>
          </w:tcPr>
          <w:p>
            <w:pPr>
              <w:spacing w:after="0"/>
              <w:rPr>
                <w:sz w:val="1"/>
                <w:szCs w:val="1"/>
                <w:color w:val="auto"/>
              </w:rPr>
            </w:pPr>
          </w:p>
        </w:tc>
      </w:tr>
      <w:tr>
        <w:trPr>
          <w:trHeight w:val="183"/>
        </w:trPr>
        <w:tc>
          <w:tcPr>
            <w:tcW w:w="960" w:type="dxa"/>
            <w:vAlign w:val="bottom"/>
          </w:tcPr>
          <w:p>
            <w:pPr>
              <w:spacing w:after="0" w:line="176" w:lineRule="exact"/>
              <w:rPr>
                <w:sz w:val="20"/>
                <w:szCs w:val="20"/>
                <w:color w:val="auto"/>
              </w:rPr>
            </w:pPr>
            <w:r>
              <w:rPr>
                <w:rFonts w:ascii="Arial" w:cs="Arial" w:eastAsia="Arial" w:hAnsi="Arial"/>
                <w:sz w:val="19"/>
                <w:szCs w:val="19"/>
                <w:color w:val="auto"/>
                <w:w w:val="96"/>
              </w:rPr>
              <w:t>Section 3.5</w:t>
            </w:r>
          </w:p>
        </w:tc>
        <w:tc>
          <w:tcPr>
            <w:tcW w:w="940" w:type="dxa"/>
            <w:vAlign w:val="bottom"/>
            <w:tcBorders>
              <w:top w:val="single" w:sz="8" w:color="auto"/>
              <w:bottom w:val="single" w:sz="8" w:color="auto"/>
            </w:tcBorders>
          </w:tcPr>
          <w:p>
            <w:pPr>
              <w:ind w:left="60"/>
              <w:spacing w:after="0" w:line="176" w:lineRule="exact"/>
              <w:rPr>
                <w:sz w:val="20"/>
                <w:szCs w:val="20"/>
                <w:color w:val="auto"/>
              </w:rPr>
            </w:pPr>
            <w:r>
              <w:rPr>
                <w:rFonts w:ascii="Arial" w:cs="Arial" w:eastAsia="Arial" w:hAnsi="Arial"/>
                <w:sz w:val="19"/>
                <w:szCs w:val="19"/>
                <w:color w:val="auto"/>
                <w:w w:val="99"/>
              </w:rPr>
              <w:t>Properties</w:t>
            </w:r>
          </w:p>
        </w:tc>
        <w:tc>
          <w:tcPr>
            <w:tcW w:w="2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9"/>
                <w:szCs w:val="19"/>
                <w:color w:val="FF0000"/>
                <w:strike w:val="1"/>
                <w:w w:val="84"/>
              </w:rPr>
              <w:t>87</w:t>
            </w:r>
          </w:p>
        </w:tc>
        <w:tc>
          <w:tcPr>
            <w:tcW w:w="20" w:type="dxa"/>
            <w:vAlign w:val="bottom"/>
            <w:tcBorders>
              <w:top w:val="single" w:sz="8" w:color="auto"/>
              <w:bottom w:val="single" w:sz="8" w:color="0000FF"/>
            </w:tcBorders>
          </w:tcPr>
          <w:p>
            <w:pPr>
              <w:spacing w:after="0"/>
              <w:rPr>
                <w:sz w:val="15"/>
                <w:szCs w:val="15"/>
                <w:color w:val="auto"/>
              </w:rPr>
            </w:pPr>
          </w:p>
        </w:tc>
        <w:tc>
          <w:tcPr>
            <w:tcW w:w="200" w:type="dxa"/>
            <w:vAlign w:val="bottom"/>
            <w:tcBorders>
              <w:top w:val="single" w:sz="8" w:color="auto"/>
              <w:bottom w:val="single" w:sz="8" w:color="0000FF"/>
            </w:tcBorders>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84"/>
              </w:rPr>
              <w:t>85</w:t>
            </w:r>
          </w:p>
        </w:tc>
        <w:tc>
          <w:tcPr>
            <w:tcW w:w="2800" w:type="dxa"/>
            <w:vAlign w:val="bottom"/>
            <w:tcBorders>
              <w:top w:val="single" w:sz="8" w:color="auto"/>
            </w:tcBorders>
            <w:gridSpan w:val="13"/>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40"/>
          </w:cols>
          <w:pgMar w:left="320" w:top="1440"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50"/>
        </w:trPr>
        <w:tc>
          <w:tcPr>
            <w:tcW w:w="5160" w:type="dxa"/>
            <w:vAlign w:val="bottom"/>
            <w:gridSpan w:val="46"/>
            <w:vMerge w:val="restart"/>
          </w:tcPr>
          <w:p>
            <w:pPr>
              <w:ind w:left="660"/>
              <w:spacing w:after="0"/>
              <w:rPr>
                <w:sz w:val="20"/>
                <w:szCs w:val="20"/>
                <w:color w:val="auto"/>
              </w:rPr>
            </w:pPr>
            <w:r>
              <w:rPr>
                <w:rFonts w:ascii="Arial" w:cs="Arial" w:eastAsia="Arial" w:hAnsi="Arial"/>
                <w:sz w:val="22"/>
                <w:szCs w:val="22"/>
                <w:color w:val="auto"/>
                <w:w w:val="94"/>
              </w:rPr>
              <w:t>Section 3.6 Litigation and Environmental Matters</w:t>
            </w:r>
          </w:p>
        </w:tc>
        <w:tc>
          <w:tcPr>
            <w:tcW w:w="220" w:type="dxa"/>
            <w:vAlign w:val="bottom"/>
            <w:vMerge w:val="restart"/>
          </w:tcPr>
          <w:p>
            <w:pPr>
              <w:jc w:val="right"/>
              <w:spacing w:after="0"/>
              <w:rPr>
                <w:sz w:val="20"/>
                <w:szCs w:val="20"/>
                <w:color w:val="auto"/>
              </w:rPr>
            </w:pPr>
            <w:r>
              <w:rPr>
                <w:rFonts w:ascii="Arial" w:cs="Arial" w:eastAsia="Arial" w:hAnsi="Arial"/>
                <w:sz w:val="22"/>
                <w:szCs w:val="22"/>
                <w:color w:val="FF0000"/>
                <w:strike w:val="1"/>
                <w:w w:val="81"/>
              </w:rPr>
              <w:t>87</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160" w:type="dxa"/>
            <w:vAlign w:val="bottom"/>
            <w:gridSpan w:val="46"/>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20" w:type="dxa"/>
            <w:vAlign w:val="bottom"/>
            <w:tcBorders>
              <w:right w:val="single" w:sz="8" w:color="DDDDDD"/>
            </w:tcBorders>
            <w:gridSpan w:val="3"/>
            <w:shd w:val="clear" w:color="auto" w:fill="DDDDDD"/>
          </w:tcPr>
          <w:p>
            <w:pPr>
              <w:jc w:val="right"/>
              <w:spacing w:after="0" w:line="203" w:lineRule="exact"/>
              <w:rPr>
                <w:sz w:val="20"/>
                <w:szCs w:val="20"/>
                <w:color w:val="auto"/>
              </w:rPr>
            </w:pPr>
            <w:r>
              <w:rPr>
                <w:rFonts w:ascii="Arial" w:cs="Arial" w:eastAsia="Arial" w:hAnsi="Arial"/>
                <w:sz w:val="22"/>
                <w:szCs w:val="22"/>
                <w:color w:val="0000FF"/>
                <w:highlight w:val="lightGray"/>
                <w:w w:val="81"/>
              </w:rPr>
              <w:t>85</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gridSpan w:val="2"/>
            <w:vMerge w:val="restart"/>
          </w:tcPr>
          <w:p>
            <w:pPr>
              <w:ind w:left="660"/>
              <w:spacing w:after="0" w:line="216" w:lineRule="exact"/>
              <w:rPr>
                <w:sz w:val="20"/>
                <w:szCs w:val="20"/>
                <w:color w:val="auto"/>
              </w:rPr>
            </w:pPr>
            <w:r>
              <w:rPr>
                <w:rFonts w:ascii="Arial" w:cs="Arial" w:eastAsia="Arial" w:hAnsi="Arial"/>
                <w:sz w:val="22"/>
                <w:szCs w:val="22"/>
                <w:color w:val="auto"/>
                <w:w w:val="87"/>
              </w:rPr>
              <w:t>Section 3.7</w:t>
            </w: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 w:type="dxa"/>
            <w:vAlign w:val="bottom"/>
            <w:shd w:val="clear" w:color="auto" w:fill="000000"/>
          </w:tcPr>
          <w:p>
            <w:pPr>
              <w:spacing w:after="0" w:line="20" w:lineRule="exact"/>
              <w:rPr>
                <w:sz w:val="1"/>
                <w:szCs w:val="1"/>
                <w:color w:val="auto"/>
              </w:rPr>
            </w:pPr>
          </w:p>
        </w:tc>
        <w:tc>
          <w:tcPr>
            <w:tcW w:w="3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DDDDDD"/>
            </w:tcBorders>
            <w:shd w:val="clear" w:color="auto" w:fill="0000FF"/>
          </w:tcPr>
          <w:p>
            <w:pPr>
              <w:spacing w:after="0" w:line="20" w:lineRule="exact"/>
              <w:rPr>
                <w:sz w:val="1"/>
                <w:szCs w:val="1"/>
                <w:color w:val="auto"/>
              </w:rPr>
            </w:pPr>
          </w:p>
        </w:tc>
        <w:tc>
          <w:tcPr>
            <w:tcW w:w="160" w:type="dxa"/>
            <w:vAlign w:val="bottom"/>
            <w:tcBorders>
              <w:bottom w:val="single" w:sz="8" w:color="DDDDDD"/>
            </w:tcBorders>
            <w:shd w:val="clear" w:color="auto" w:fill="0000FF"/>
          </w:tcPr>
          <w:p>
            <w:pPr>
              <w:spacing w:after="0" w:line="20" w:lineRule="exact"/>
              <w:rPr>
                <w:sz w:val="1"/>
                <w:szCs w:val="1"/>
                <w:color w:val="auto"/>
              </w:rPr>
            </w:pPr>
          </w:p>
        </w:tc>
        <w:tc>
          <w:tcPr>
            <w:tcW w:w="40" w:type="dxa"/>
            <w:vAlign w:val="bottom"/>
            <w:tcBorders>
              <w:bottom w:val="single" w:sz="8" w:color="DDDDDD"/>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bottom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gridSpan w:val="2"/>
            <w:vMerge w:val="continue"/>
          </w:tcPr>
          <w:p>
            <w:pPr>
              <w:spacing w:after="0"/>
              <w:rPr>
                <w:sz w:val="17"/>
                <w:szCs w:val="17"/>
                <w:color w:val="auto"/>
              </w:rPr>
            </w:pPr>
          </w:p>
        </w:tc>
        <w:tc>
          <w:tcPr>
            <w:tcW w:w="3320" w:type="dxa"/>
            <w:vAlign w:val="bottom"/>
            <w:gridSpan w:val="40"/>
          </w:tcPr>
          <w:p>
            <w:pPr>
              <w:ind w:left="40"/>
              <w:spacing w:after="0" w:line="176" w:lineRule="exact"/>
              <w:rPr>
                <w:sz w:val="20"/>
                <w:szCs w:val="20"/>
                <w:color w:val="auto"/>
              </w:rPr>
            </w:pPr>
            <w:r>
              <w:rPr>
                <w:rFonts w:ascii="Arial" w:cs="Arial" w:eastAsia="Arial" w:hAnsi="Arial"/>
                <w:sz w:val="19"/>
                <w:szCs w:val="19"/>
                <w:color w:val="auto"/>
                <w:w w:val="97"/>
              </w:rPr>
              <w:t>Compliance with Laws and Agreements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gridSpan w:val="2"/>
          </w:tcPr>
          <w:p>
            <w:pPr>
              <w:jc w:val="right"/>
              <w:spacing w:after="0" w:line="176" w:lineRule="exact"/>
              <w:rPr>
                <w:sz w:val="20"/>
                <w:szCs w:val="20"/>
                <w:color w:val="auto"/>
              </w:rPr>
            </w:pPr>
            <w:r>
              <w:rPr>
                <w:rFonts w:ascii="Arial" w:cs="Arial" w:eastAsia="Arial" w:hAnsi="Arial"/>
                <w:sz w:val="19"/>
                <w:szCs w:val="19"/>
                <w:color w:val="FF0000"/>
                <w:strike w:val="1"/>
                <w:w w:val="75"/>
              </w:rPr>
              <w:t>88</w:t>
            </w:r>
          </w:p>
        </w:tc>
        <w:tc>
          <w:tcPr>
            <w:tcW w:w="40" w:type="dxa"/>
            <w:vAlign w:val="bottom"/>
            <w:tcBorders>
              <w:right w:val="single" w:sz="8" w:color="DDDDDD"/>
            </w:tcBorders>
          </w:tcPr>
          <w:p>
            <w:pPr>
              <w:spacing w:after="0"/>
              <w:rPr>
                <w:sz w:val="17"/>
                <w:szCs w:val="17"/>
                <w:color w:val="auto"/>
              </w:rPr>
            </w:pPr>
          </w:p>
        </w:tc>
        <w:tc>
          <w:tcPr>
            <w:tcW w:w="200" w:type="dxa"/>
            <w:vAlign w:val="bottom"/>
            <w:tcBorders>
              <w:left w:val="single" w:sz="8" w:color="DDDDDD"/>
              <w:right w:val="single" w:sz="8" w:color="DDDDDD"/>
            </w:tcBorders>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75"/>
              </w:rPr>
              <w:t>86</w:t>
            </w:r>
          </w:p>
        </w:tc>
        <w:tc>
          <w:tcPr>
            <w:tcW w:w="0" w:type="dxa"/>
            <w:vAlign w:val="bottom"/>
          </w:tcPr>
          <w:p>
            <w:pPr>
              <w:spacing w:after="0"/>
              <w:rPr>
                <w:sz w:val="1"/>
                <w:szCs w:val="1"/>
                <w:color w:val="auto"/>
              </w:rPr>
            </w:pPr>
          </w:p>
        </w:tc>
      </w:tr>
      <w:tr>
        <w:trPr>
          <w:trHeight w:val="196"/>
        </w:trPr>
        <w:tc>
          <w:tcPr>
            <w:tcW w:w="1620" w:type="dxa"/>
            <w:vAlign w:val="bottom"/>
          </w:tcPr>
          <w:p>
            <w:pPr>
              <w:ind w:left="660"/>
              <w:spacing w:after="0" w:line="176" w:lineRule="exact"/>
              <w:rPr>
                <w:sz w:val="20"/>
                <w:szCs w:val="20"/>
                <w:color w:val="auto"/>
              </w:rPr>
            </w:pPr>
            <w:r>
              <w:rPr>
                <w:rFonts w:ascii="Arial" w:cs="Arial" w:eastAsia="Arial" w:hAnsi="Arial"/>
                <w:sz w:val="19"/>
                <w:szCs w:val="19"/>
                <w:color w:val="auto"/>
                <w:w w:val="98"/>
              </w:rPr>
              <w:t>Section 3.8</w:t>
            </w:r>
          </w:p>
        </w:tc>
        <w:tc>
          <w:tcPr>
            <w:tcW w:w="2720" w:type="dxa"/>
            <w:vAlign w:val="bottom"/>
            <w:tcBorders>
              <w:top w:val="single" w:sz="8" w:color="auto"/>
            </w:tcBorders>
            <w:gridSpan w:val="37"/>
          </w:tcPr>
          <w:p>
            <w:pPr>
              <w:ind w:left="60"/>
              <w:spacing w:after="0" w:line="176" w:lineRule="exact"/>
              <w:rPr>
                <w:sz w:val="20"/>
                <w:szCs w:val="20"/>
                <w:color w:val="auto"/>
              </w:rPr>
            </w:pPr>
            <w:r>
              <w:rPr>
                <w:rFonts w:ascii="Arial" w:cs="Arial" w:eastAsia="Arial" w:hAnsi="Arial"/>
                <w:sz w:val="19"/>
                <w:szCs w:val="19"/>
                <w:color w:val="auto"/>
              </w:rPr>
              <w:t>Investment Company Status</w:t>
            </w:r>
          </w:p>
        </w:tc>
        <w:tc>
          <w:tcPr>
            <w:tcW w:w="20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9"/>
                <w:szCs w:val="19"/>
                <w:color w:val="FF0000"/>
                <w:strike w:val="1"/>
                <w:w w:val="84"/>
              </w:rPr>
              <w:t>88</w:t>
            </w:r>
          </w:p>
        </w:tc>
        <w:tc>
          <w:tcPr>
            <w:tcW w:w="220" w:type="dxa"/>
            <w:vAlign w:val="bottom"/>
            <w:tcBorders>
              <w:top w:val="single" w:sz="8" w:color="auto"/>
            </w:tcBorders>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94"/>
              </w:rPr>
              <w:t>86</w:t>
            </w: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ind w:left="660"/>
              <w:spacing w:after="0" w:line="176" w:lineRule="exact"/>
              <w:rPr>
                <w:sz w:val="20"/>
                <w:szCs w:val="20"/>
                <w:color w:val="auto"/>
              </w:rPr>
            </w:pPr>
            <w:r>
              <w:rPr>
                <w:rFonts w:ascii="Arial" w:cs="Arial" w:eastAsia="Arial" w:hAnsi="Arial"/>
                <w:sz w:val="19"/>
                <w:szCs w:val="19"/>
                <w:color w:val="auto"/>
                <w:w w:val="98"/>
              </w:rPr>
              <w:t>Section 3.9</w:t>
            </w:r>
          </w:p>
        </w:tc>
        <w:tc>
          <w:tcPr>
            <w:tcW w:w="560" w:type="dxa"/>
            <w:vAlign w:val="bottom"/>
            <w:tcBorders>
              <w:top w:val="single" w:sz="8" w:color="auto"/>
              <w:bottom w:val="single" w:sz="8" w:color="auto"/>
            </w:tcBorders>
            <w:gridSpan w:val="4"/>
          </w:tcPr>
          <w:p>
            <w:pPr>
              <w:ind w:left="60"/>
              <w:spacing w:after="0" w:line="176" w:lineRule="exact"/>
              <w:rPr>
                <w:sz w:val="20"/>
                <w:szCs w:val="20"/>
                <w:color w:val="auto"/>
              </w:rPr>
            </w:pPr>
            <w:r>
              <w:rPr>
                <w:rFonts w:ascii="Arial" w:cs="Arial" w:eastAsia="Arial" w:hAnsi="Arial"/>
                <w:sz w:val="19"/>
                <w:szCs w:val="19"/>
                <w:color w:val="auto"/>
                <w:w w:val="92"/>
              </w:rPr>
              <w:t>Taxes</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gridSpan w:val="4"/>
          </w:tcPr>
          <w:p>
            <w:pPr>
              <w:jc w:val="right"/>
              <w:spacing w:after="0" w:line="176" w:lineRule="exact"/>
              <w:rPr>
                <w:sz w:val="20"/>
                <w:szCs w:val="20"/>
                <w:color w:val="auto"/>
              </w:rPr>
            </w:pPr>
            <w:r>
              <w:rPr>
                <w:rFonts w:ascii="Arial" w:cs="Arial" w:eastAsia="Arial" w:hAnsi="Arial"/>
                <w:sz w:val="19"/>
                <w:szCs w:val="19"/>
                <w:color w:val="FF0000"/>
                <w:strike w:val="1"/>
                <w:w w:val="94"/>
              </w:rPr>
              <w:t>88</w:t>
            </w:r>
          </w:p>
        </w:tc>
        <w:tc>
          <w:tcPr>
            <w:tcW w:w="200" w:type="dxa"/>
            <w:vAlign w:val="bottom"/>
            <w:tcBorders>
              <w:top w:val="single" w:sz="8" w:color="auto"/>
              <w:bottom w:val="single" w:sz="8" w:color="0000FF"/>
            </w:tcBorders>
            <w:gridSpan w:val="4"/>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84"/>
              </w:rPr>
              <w:t>86</w:t>
            </w: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620" w:type="dxa"/>
            <w:vAlign w:val="bottom"/>
            <w:gridSpan w:val="10"/>
          </w:tcPr>
          <w:p>
            <w:pPr>
              <w:ind w:left="660"/>
              <w:spacing w:after="0" w:line="176" w:lineRule="exact"/>
              <w:rPr>
                <w:sz w:val="20"/>
                <w:szCs w:val="20"/>
                <w:color w:val="auto"/>
              </w:rPr>
            </w:pPr>
            <w:r>
              <w:rPr>
                <w:rFonts w:ascii="Arial" w:cs="Arial" w:eastAsia="Arial" w:hAnsi="Arial"/>
                <w:sz w:val="19"/>
                <w:szCs w:val="19"/>
                <w:color w:val="auto"/>
              </w:rPr>
              <w:t>Section 3.10 ERISA</w:t>
            </w:r>
          </w:p>
        </w:tc>
        <w:tc>
          <w:tcPr>
            <w:tcW w:w="200" w:type="dxa"/>
            <w:vAlign w:val="bottom"/>
            <w:tcBorders>
              <w:top w:val="single" w:sz="8" w:color="DDDDDD"/>
            </w:tcBorders>
            <w:gridSpan w:val="4"/>
          </w:tcPr>
          <w:p>
            <w:pPr>
              <w:jc w:val="right"/>
              <w:spacing w:after="0" w:line="176" w:lineRule="exact"/>
              <w:rPr>
                <w:sz w:val="20"/>
                <w:szCs w:val="20"/>
                <w:color w:val="auto"/>
              </w:rPr>
            </w:pPr>
            <w:r>
              <w:rPr>
                <w:rFonts w:ascii="Arial" w:cs="Arial" w:eastAsia="Arial" w:hAnsi="Arial"/>
                <w:sz w:val="19"/>
                <w:szCs w:val="19"/>
                <w:color w:val="FF0000"/>
                <w:strike w:val="1"/>
                <w:w w:val="84"/>
              </w:rPr>
              <w:t>88</w:t>
            </w:r>
          </w:p>
        </w:tc>
        <w:tc>
          <w:tcPr>
            <w:tcW w:w="40" w:type="dxa"/>
            <w:vAlign w:val="bottom"/>
            <w:tcBorders>
              <w:right w:val="single" w:sz="8" w:color="DDDDDD"/>
            </w:tcBorders>
          </w:tcPr>
          <w:p>
            <w:pPr>
              <w:spacing w:after="0"/>
              <w:rPr>
                <w:sz w:val="15"/>
                <w:szCs w:val="15"/>
                <w:color w:val="auto"/>
              </w:rPr>
            </w:pPr>
          </w:p>
        </w:tc>
        <w:tc>
          <w:tcPr>
            <w:tcW w:w="200" w:type="dxa"/>
            <w:vAlign w:val="bottom"/>
            <w:tcBorders>
              <w:top w:val="single" w:sz="8" w:color="DDDDDD"/>
              <w:right w:val="single" w:sz="8" w:color="DDDDDD"/>
            </w:tcBorders>
            <w:gridSpan w:val="5"/>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84"/>
              </w:rPr>
              <w:t>86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40" w:type="dxa"/>
            <w:vAlign w:val="bottom"/>
            <w:gridSpan w:val="4"/>
            <w:vMerge w:val="restart"/>
          </w:tcPr>
          <w:p>
            <w:pPr>
              <w:ind w:left="660"/>
              <w:spacing w:after="0" w:line="216" w:lineRule="exact"/>
              <w:rPr>
                <w:sz w:val="20"/>
                <w:szCs w:val="20"/>
                <w:color w:val="auto"/>
              </w:rPr>
            </w:pPr>
            <w:r>
              <w:rPr>
                <w:rFonts w:ascii="Arial" w:cs="Arial" w:eastAsia="Arial" w:hAnsi="Arial"/>
                <w:sz w:val="22"/>
                <w:szCs w:val="22"/>
                <w:color w:val="auto"/>
                <w:w w:val="86"/>
              </w:rPr>
              <w:t>Section 3.11</w:t>
            </w:r>
          </w:p>
        </w:tc>
        <w:tc>
          <w:tcPr>
            <w:tcW w:w="6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70" w:type="dxa"/>
            <w:vAlign w:val="bottom"/>
            <w:tcBorders>
              <w:right w:val="single" w:sz="8" w:color="DDDDDD"/>
            </w:tcBorders>
            <w:gridSpan w:val="2"/>
          </w:tcPr>
          <w:p>
            <w:pPr>
              <w:spacing w:after="0" w:line="20" w:lineRule="exact"/>
              <w:rPr>
                <w:sz w:val="1"/>
                <w:szCs w:val="1"/>
                <w:color w:val="auto"/>
              </w:rPr>
            </w:pPr>
          </w:p>
        </w:tc>
        <w:tc>
          <w:tcPr>
            <w:tcW w:w="80" w:type="dxa"/>
            <w:vAlign w:val="bottom"/>
            <w:tcBorders>
              <w:bottom w:val="single" w:sz="8" w:color="DDDDDD"/>
            </w:tcBorders>
            <w:shd w:val="clear" w:color="auto" w:fill="0000FF"/>
          </w:tcPr>
          <w:p>
            <w:pPr>
              <w:spacing w:after="0" w:line="20" w:lineRule="exact"/>
              <w:rPr>
                <w:sz w:val="1"/>
                <w:szCs w:val="1"/>
                <w:color w:val="auto"/>
              </w:rPr>
            </w:pPr>
          </w:p>
        </w:tc>
        <w:tc>
          <w:tcPr>
            <w:tcW w:w="20" w:type="dxa"/>
            <w:vAlign w:val="bottom"/>
            <w:tcBorders>
              <w:bottom w:val="single" w:sz="8" w:color="DDDDDD"/>
            </w:tcBorders>
            <w:shd w:val="clear" w:color="auto" w:fill="0000FF"/>
          </w:tcPr>
          <w:p>
            <w:pPr>
              <w:spacing w:after="0" w:line="20" w:lineRule="exact"/>
              <w:rPr>
                <w:sz w:val="1"/>
                <w:szCs w:val="1"/>
                <w:color w:val="auto"/>
              </w:rPr>
            </w:pPr>
          </w:p>
        </w:tc>
        <w:tc>
          <w:tcPr>
            <w:tcW w:w="20" w:type="dxa"/>
            <w:vAlign w:val="bottom"/>
            <w:tcBorders>
              <w:bottom w:val="single" w:sz="8" w:color="DDDDDD"/>
            </w:tcBorders>
            <w:shd w:val="clear" w:color="auto" w:fill="0000FF"/>
          </w:tcPr>
          <w:p>
            <w:pPr>
              <w:spacing w:after="0" w:line="20" w:lineRule="exact"/>
              <w:rPr>
                <w:sz w:val="1"/>
                <w:szCs w:val="1"/>
                <w:color w:val="auto"/>
              </w:rPr>
            </w:pPr>
          </w:p>
        </w:tc>
        <w:tc>
          <w:tcPr>
            <w:tcW w:w="40" w:type="dxa"/>
            <w:vAlign w:val="bottom"/>
            <w:tcBorders>
              <w:bottom w:val="single" w:sz="8" w:color="DDDDDD"/>
            </w:tcBorders>
            <w:shd w:val="clear" w:color="auto" w:fill="0000FF"/>
          </w:tcPr>
          <w:p>
            <w:pPr>
              <w:spacing w:after="0" w:line="20" w:lineRule="exact"/>
              <w:rPr>
                <w:sz w:val="1"/>
                <w:szCs w:val="1"/>
                <w:color w:val="auto"/>
              </w:rPr>
            </w:pPr>
          </w:p>
        </w:tc>
        <w:tc>
          <w:tcPr>
            <w:tcW w:w="40" w:type="dxa"/>
            <w:vAlign w:val="bottom"/>
            <w:tcBorders>
              <w:bottom w:val="single" w:sz="8" w:color="DDDDDD"/>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40" w:type="dxa"/>
            <w:vAlign w:val="bottom"/>
            <w:gridSpan w:val="4"/>
            <w:vMerge w:val="continue"/>
          </w:tcPr>
          <w:p>
            <w:pPr>
              <w:spacing w:after="0"/>
              <w:rPr>
                <w:sz w:val="15"/>
                <w:szCs w:val="15"/>
                <w:color w:val="auto"/>
              </w:rPr>
            </w:pPr>
          </w:p>
        </w:tc>
        <w:tc>
          <w:tcPr>
            <w:tcW w:w="1050" w:type="dxa"/>
            <w:vAlign w:val="bottom"/>
            <w:gridSpan w:val="9"/>
          </w:tcPr>
          <w:p>
            <w:pPr>
              <w:ind w:left="40"/>
              <w:spacing w:after="0" w:line="176" w:lineRule="exact"/>
              <w:rPr>
                <w:sz w:val="20"/>
                <w:szCs w:val="20"/>
                <w:color w:val="auto"/>
              </w:rPr>
            </w:pPr>
            <w:r>
              <w:rPr>
                <w:rFonts w:ascii="Arial" w:cs="Arial" w:eastAsia="Arial" w:hAnsi="Arial"/>
                <w:sz w:val="19"/>
                <w:szCs w:val="19"/>
                <w:color w:val="auto"/>
              </w:rPr>
              <w:t>Disclosure</w:t>
            </w:r>
          </w:p>
        </w:tc>
        <w:tc>
          <w:tcPr>
            <w:tcW w:w="3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right w:val="single" w:sz="8" w:color="DDDDDD"/>
            </w:tcBorders>
            <w:gridSpan w:val="7"/>
          </w:tcPr>
          <w:p>
            <w:pPr>
              <w:jc w:val="right"/>
              <w:spacing w:after="0" w:line="176" w:lineRule="exact"/>
              <w:rPr>
                <w:sz w:val="20"/>
                <w:szCs w:val="20"/>
                <w:color w:val="auto"/>
              </w:rPr>
            </w:pPr>
            <w:r>
              <w:rPr>
                <w:rFonts w:ascii="Arial" w:cs="Arial" w:eastAsia="Arial" w:hAnsi="Arial"/>
                <w:sz w:val="19"/>
                <w:szCs w:val="19"/>
                <w:color w:val="FF0000"/>
                <w:strike w:val="1"/>
              </w:rPr>
              <w:t>90</w:t>
            </w:r>
          </w:p>
        </w:tc>
        <w:tc>
          <w:tcPr>
            <w:tcW w:w="180" w:type="dxa"/>
            <w:vAlign w:val="bottom"/>
            <w:tcBorders>
              <w:right w:val="single" w:sz="8" w:color="DDDDDD"/>
            </w:tcBorders>
            <w:gridSpan w:val="2"/>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84"/>
              </w:rPr>
              <w:t>87</w:t>
            </w:r>
          </w:p>
        </w:tc>
        <w:tc>
          <w:tcPr>
            <w:tcW w:w="40" w:type="dxa"/>
            <w:vAlign w:val="bottom"/>
            <w:tcBorders>
              <w:left w:val="single" w:sz="8" w:color="DDDDDD"/>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20" w:type="dxa"/>
            <w:vAlign w:val="bottom"/>
            <w:gridSpan w:val="3"/>
            <w:vMerge w:val="restart"/>
          </w:tcPr>
          <w:p>
            <w:pPr>
              <w:ind w:left="660"/>
              <w:spacing w:after="0" w:line="195" w:lineRule="exact"/>
              <w:rPr>
                <w:sz w:val="20"/>
                <w:szCs w:val="20"/>
                <w:color w:val="auto"/>
              </w:rPr>
            </w:pPr>
            <w:r>
              <w:rPr>
                <w:rFonts w:ascii="Arial" w:cs="Arial" w:eastAsia="Arial" w:hAnsi="Arial"/>
                <w:sz w:val="22"/>
                <w:szCs w:val="22"/>
                <w:color w:val="auto"/>
                <w:w w:val="84"/>
              </w:rPr>
              <w:t>Section 3.12</w:t>
            </w:r>
          </w:p>
        </w:tc>
        <w:tc>
          <w:tcPr>
            <w:tcW w:w="20" w:type="dxa"/>
            <w:vAlign w:val="bottom"/>
            <w:tcBorders>
              <w:top w:val="single" w:sz="8" w:color="auto"/>
            </w:tcBorders>
            <w:vMerge w:val="restart"/>
          </w:tcPr>
          <w:p>
            <w:pPr>
              <w:spacing w:after="0" w:line="20" w:lineRule="exact"/>
              <w:rPr>
                <w:sz w:val="1"/>
                <w:szCs w:val="1"/>
                <w:color w:val="auto"/>
              </w:rPr>
            </w:pPr>
          </w:p>
        </w:tc>
        <w:tc>
          <w:tcPr>
            <w:tcW w:w="960" w:type="dxa"/>
            <w:vAlign w:val="bottom"/>
            <w:tcBorders>
              <w:top w:val="single" w:sz="8" w:color="auto"/>
            </w:tcBorders>
            <w:gridSpan w:val="7"/>
            <w:vMerge w:val="restart"/>
          </w:tcPr>
          <w:p>
            <w:pPr>
              <w:ind w:left="60"/>
              <w:spacing w:after="0" w:line="195" w:lineRule="exact"/>
              <w:rPr>
                <w:sz w:val="20"/>
                <w:szCs w:val="20"/>
                <w:color w:val="auto"/>
              </w:rPr>
            </w:pPr>
            <w:r>
              <w:rPr>
                <w:rFonts w:ascii="Arial" w:cs="Arial" w:eastAsia="Arial" w:hAnsi="Arial"/>
                <w:sz w:val="22"/>
                <w:szCs w:val="22"/>
                <w:color w:val="auto"/>
                <w:w w:val="73"/>
              </w:rPr>
              <w:t>Subsidiaries</w:t>
            </w:r>
          </w:p>
        </w:tc>
        <w:tc>
          <w:tcPr>
            <w:tcW w:w="4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7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DDDDDD"/>
            </w:tcBorders>
          </w:tcPr>
          <w:p>
            <w:pPr>
              <w:spacing w:after="0" w:line="20" w:lineRule="exact"/>
              <w:rPr>
                <w:sz w:val="1"/>
                <w:szCs w:val="1"/>
                <w:color w:val="auto"/>
              </w:rPr>
            </w:pPr>
          </w:p>
        </w:tc>
        <w:tc>
          <w:tcPr>
            <w:tcW w:w="80" w:type="dxa"/>
            <w:vAlign w:val="bottom"/>
            <w:tcBorders>
              <w:top w:val="single" w:sz="8" w:color="0000FF"/>
            </w:tcBorders>
            <w:shd w:val="clear" w:color="auto" w:fill="DDDDDD"/>
          </w:tcPr>
          <w:p>
            <w:pPr>
              <w:spacing w:after="0" w:line="20" w:lineRule="exact"/>
              <w:rPr>
                <w:sz w:val="1"/>
                <w:szCs w:val="1"/>
                <w:color w:val="auto"/>
              </w:rPr>
            </w:pPr>
          </w:p>
        </w:tc>
        <w:tc>
          <w:tcPr>
            <w:tcW w:w="100" w:type="dxa"/>
            <w:vAlign w:val="bottom"/>
            <w:tcBorders>
              <w:top w:val="single" w:sz="8" w:color="0000FF"/>
              <w:right w:val="single" w:sz="8" w:color="DDDDDD"/>
            </w:tcBorders>
            <w:shd w:val="clear" w:color="auto" w:fill="DDDDDD"/>
          </w:tcPr>
          <w:p>
            <w:pPr>
              <w:spacing w:after="0" w:line="20" w:lineRule="exact"/>
              <w:rPr>
                <w:sz w:val="1"/>
                <w:szCs w:val="1"/>
                <w:color w:val="auto"/>
              </w:rPr>
            </w:pPr>
          </w:p>
        </w:tc>
        <w:tc>
          <w:tcPr>
            <w:tcW w:w="40" w:type="dxa"/>
            <w:vAlign w:val="bottom"/>
            <w:tcBorders>
              <w:left w:val="single" w:sz="8" w:color="DDDDDD"/>
            </w:tcBorders>
            <w:shd w:val="clear" w:color="auto" w:fill="DDDDDD"/>
          </w:tcPr>
          <w:p>
            <w:pPr>
              <w:spacing w:after="0" w:line="20" w:lineRule="exact"/>
              <w:rPr>
                <w:sz w:val="1"/>
                <w:szCs w:val="1"/>
                <w:color w:val="auto"/>
              </w:rPr>
            </w:pPr>
          </w:p>
        </w:tc>
        <w:tc>
          <w:tcPr>
            <w:tcW w:w="40" w:type="dxa"/>
            <w:vAlign w:val="bottom"/>
            <w:tcBorders>
              <w:left w:val="single" w:sz="8" w:color="DDDDDD"/>
            </w:tcBorders>
            <w:shd w:val="clear" w:color="auto" w:fill="DDDDDD"/>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960" w:type="dxa"/>
            <w:vAlign w:val="bottom"/>
            <w:tcBorders>
              <w:bottom w:val="single" w:sz="8" w:color="auto"/>
            </w:tcBorders>
            <w:gridSpan w:val="7"/>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0" w:type="dxa"/>
            <w:vAlign w:val="bottom"/>
            <w:tcBorders>
              <w:bottom w:val="single" w:sz="8" w:color="auto"/>
            </w:tcBorders>
          </w:tcPr>
          <w:p>
            <w:pPr>
              <w:spacing w:after="0"/>
              <w:rPr>
                <w:sz w:val="15"/>
                <w:szCs w:val="15"/>
                <w:color w:val="auto"/>
              </w:rPr>
            </w:pPr>
          </w:p>
        </w:tc>
        <w:tc>
          <w:tcPr>
            <w:tcW w:w="3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right w:val="single" w:sz="8" w:color="DDDDDD"/>
            </w:tcBorders>
            <w:gridSpan w:val="4"/>
          </w:tcPr>
          <w:p>
            <w:pPr>
              <w:spacing w:after="0" w:line="176" w:lineRule="exact"/>
              <w:rPr>
                <w:sz w:val="20"/>
                <w:szCs w:val="20"/>
                <w:color w:val="auto"/>
              </w:rPr>
            </w:pPr>
            <w:r>
              <w:rPr>
                <w:rFonts w:ascii="Arial" w:cs="Arial" w:eastAsia="Arial" w:hAnsi="Arial"/>
                <w:sz w:val="19"/>
                <w:szCs w:val="19"/>
                <w:color w:val="FF0000"/>
                <w:strike w:val="1"/>
              </w:rPr>
              <w:t>90</w:t>
            </w:r>
          </w:p>
        </w:tc>
        <w:tc>
          <w:tcPr>
            <w:tcW w:w="160" w:type="dxa"/>
            <w:vAlign w:val="bottom"/>
            <w:tcBorders>
              <w:left w:val="single" w:sz="8" w:color="DDDDDD"/>
              <w:bottom w:val="single" w:sz="8" w:color="0000FF"/>
            </w:tcBorders>
            <w:gridSpan w:val="3"/>
            <w:shd w:val="clear" w:color="auto" w:fill="DDDDDD"/>
          </w:tcPr>
          <w:p>
            <w:pPr>
              <w:jc w:val="right"/>
              <w:spacing w:after="0" w:line="176" w:lineRule="exact"/>
              <w:rPr>
                <w:sz w:val="20"/>
                <w:szCs w:val="20"/>
                <w:color w:val="auto"/>
              </w:rPr>
            </w:pPr>
            <w:r>
              <w:rPr>
                <w:rFonts w:ascii="Arial" w:cs="Arial" w:eastAsia="Arial" w:hAnsi="Arial"/>
                <w:sz w:val="17"/>
                <w:szCs w:val="17"/>
                <w:color w:val="0000FF"/>
                <w:highlight w:val="lightGray"/>
                <w:w w:val="73"/>
              </w:rPr>
              <w:t>88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40" w:type="dxa"/>
            <w:vAlign w:val="bottom"/>
            <w:gridSpan w:val="4"/>
            <w:vMerge w:val="restart"/>
          </w:tcPr>
          <w:p>
            <w:pPr>
              <w:ind w:left="660"/>
              <w:spacing w:after="0" w:line="195" w:lineRule="exact"/>
              <w:rPr>
                <w:sz w:val="20"/>
                <w:szCs w:val="20"/>
                <w:color w:val="auto"/>
              </w:rPr>
            </w:pPr>
            <w:r>
              <w:rPr>
                <w:rFonts w:ascii="Arial" w:cs="Arial" w:eastAsia="Arial" w:hAnsi="Arial"/>
                <w:sz w:val="22"/>
                <w:szCs w:val="22"/>
                <w:color w:val="auto"/>
                <w:w w:val="86"/>
              </w:rPr>
              <w:t>Section 3.13</w:t>
            </w:r>
          </w:p>
        </w:tc>
        <w:tc>
          <w:tcPr>
            <w:tcW w:w="7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15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DDDDDD"/>
            </w:tcBorders>
          </w:tcPr>
          <w:p>
            <w:pPr>
              <w:spacing w:after="0" w:line="20" w:lineRule="exact"/>
              <w:rPr>
                <w:sz w:val="1"/>
                <w:szCs w:val="1"/>
                <w:color w:val="auto"/>
              </w:rPr>
            </w:pPr>
          </w:p>
        </w:tc>
        <w:tc>
          <w:tcPr>
            <w:tcW w:w="40" w:type="dxa"/>
            <w:vAlign w:val="bottom"/>
            <w:tcBorders>
              <w:left w:val="single" w:sz="8" w:color="DDDDDD"/>
            </w:tcBorders>
            <w:shd w:val="clear" w:color="auto" w:fill="DDDDDD"/>
          </w:tcPr>
          <w:p>
            <w:pPr>
              <w:spacing w:after="0" w:line="20" w:lineRule="exact"/>
              <w:rPr>
                <w:sz w:val="1"/>
                <w:szCs w:val="1"/>
                <w:color w:val="auto"/>
              </w:rPr>
            </w:pPr>
          </w:p>
        </w:tc>
        <w:tc>
          <w:tcPr>
            <w:tcW w:w="40" w:type="dxa"/>
            <w:vAlign w:val="bottom"/>
            <w:tcBorders>
              <w:left w:val="single" w:sz="8" w:color="DDDDDD"/>
            </w:tcBorders>
            <w:shd w:val="clear" w:color="auto" w:fill="DDDDDD"/>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3"/>
            <w:vMerge w:val="restart"/>
          </w:tcPr>
          <w:p>
            <w:pPr>
              <w:jc w:val="right"/>
              <w:spacing w:after="0" w:line="195" w:lineRule="exact"/>
              <w:rPr>
                <w:sz w:val="20"/>
                <w:szCs w:val="20"/>
                <w:color w:val="auto"/>
              </w:rPr>
            </w:pPr>
            <w:r>
              <w:rPr>
                <w:rFonts w:ascii="Arial" w:cs="Arial" w:eastAsia="Arial" w:hAnsi="Arial"/>
                <w:sz w:val="22"/>
                <w:szCs w:val="22"/>
                <w:color w:val="FF0000"/>
                <w:strike w:val="1"/>
              </w:rPr>
              <w:t>90</w:t>
            </w:r>
          </w:p>
        </w:tc>
        <w:tc>
          <w:tcPr>
            <w:tcW w:w="240" w:type="dxa"/>
            <w:vAlign w:val="bottom"/>
            <w:tcBorders>
              <w:right w:val="single" w:sz="8" w:color="DDDDDD"/>
            </w:tcBorders>
            <w:gridSpan w:val="2"/>
            <w:vMerge w:val="restart"/>
            <w:shd w:val="clear" w:color="auto" w:fill="DDDDDD"/>
          </w:tcPr>
          <w:p>
            <w:pPr>
              <w:jc w:val="right"/>
              <w:spacing w:after="0" w:line="195" w:lineRule="exact"/>
              <w:rPr>
                <w:sz w:val="20"/>
                <w:szCs w:val="20"/>
                <w:color w:val="auto"/>
              </w:rPr>
            </w:pPr>
            <w:r>
              <w:rPr>
                <w:rFonts w:ascii="Arial" w:cs="Arial" w:eastAsia="Arial" w:hAnsi="Arial"/>
                <w:sz w:val="22"/>
                <w:szCs w:val="22"/>
                <w:color w:val="0000FF"/>
                <w:highlight w:val="lightGray"/>
                <w:w w:val="81"/>
              </w:rPr>
              <w:t>88</w:t>
            </w:r>
          </w:p>
        </w:tc>
        <w:tc>
          <w:tcPr>
            <w:tcW w:w="0" w:type="dxa"/>
            <w:vAlign w:val="bottom"/>
          </w:tcPr>
          <w:p>
            <w:pPr>
              <w:spacing w:after="0" w:line="20" w:lineRule="exact"/>
              <w:rPr>
                <w:sz w:val="1"/>
                <w:szCs w:val="1"/>
                <w:color w:val="auto"/>
              </w:rPr>
            </w:pPr>
          </w:p>
        </w:tc>
      </w:tr>
      <w:tr>
        <w:trPr>
          <w:trHeight w:val="176"/>
        </w:trPr>
        <w:tc>
          <w:tcPr>
            <w:tcW w:w="1740" w:type="dxa"/>
            <w:vAlign w:val="bottom"/>
            <w:gridSpan w:val="4"/>
            <w:vMerge w:val="continue"/>
          </w:tcPr>
          <w:p>
            <w:pPr>
              <w:spacing w:after="0"/>
              <w:rPr>
                <w:sz w:val="15"/>
                <w:szCs w:val="15"/>
                <w:color w:val="auto"/>
              </w:rPr>
            </w:pPr>
          </w:p>
        </w:tc>
        <w:tc>
          <w:tcPr>
            <w:tcW w:w="3420" w:type="dxa"/>
            <w:vAlign w:val="bottom"/>
            <w:gridSpan w:val="42"/>
          </w:tcPr>
          <w:p>
            <w:pPr>
              <w:ind w:left="40"/>
              <w:spacing w:after="0" w:line="176" w:lineRule="exact"/>
              <w:rPr>
                <w:sz w:val="20"/>
                <w:szCs w:val="20"/>
                <w:color w:val="auto"/>
              </w:rPr>
            </w:pPr>
            <w:r>
              <w:rPr>
                <w:rFonts w:ascii="Arial" w:cs="Arial" w:eastAsia="Arial" w:hAnsi="Arial"/>
                <w:sz w:val="19"/>
                <w:szCs w:val="19"/>
                <w:color w:val="auto"/>
              </w:rPr>
              <w:t>Anti-Terrorism Laws; USA Patriot Act</w:t>
            </w:r>
          </w:p>
        </w:tc>
        <w:tc>
          <w:tcPr>
            <w:tcW w:w="400" w:type="dxa"/>
            <w:vAlign w:val="bottom"/>
            <w:gridSpan w:val="3"/>
            <w:vMerge w:val="continue"/>
          </w:tcPr>
          <w:p>
            <w:pPr>
              <w:spacing w:after="0"/>
              <w:rPr>
                <w:sz w:val="15"/>
                <w:szCs w:val="15"/>
                <w:color w:val="auto"/>
              </w:rPr>
            </w:pPr>
          </w:p>
        </w:tc>
        <w:tc>
          <w:tcPr>
            <w:tcW w:w="240" w:type="dxa"/>
            <w:vAlign w:val="bottom"/>
            <w:tcBorders>
              <w:right w:val="single" w:sz="8" w:color="DDDDDD"/>
            </w:tcBorders>
            <w:gridSpan w:val="2"/>
            <w:vMerge w:val="continue"/>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40" w:type="dxa"/>
            <w:vAlign w:val="bottom"/>
            <w:gridSpan w:val="4"/>
            <w:vMerge w:val="restart"/>
          </w:tcPr>
          <w:p>
            <w:pPr>
              <w:ind w:left="660"/>
              <w:spacing w:after="0" w:line="216" w:lineRule="exact"/>
              <w:rPr>
                <w:sz w:val="20"/>
                <w:szCs w:val="20"/>
                <w:color w:val="auto"/>
              </w:rPr>
            </w:pPr>
            <w:r>
              <w:rPr>
                <w:rFonts w:ascii="Arial" w:cs="Arial" w:eastAsia="Arial" w:hAnsi="Arial"/>
                <w:sz w:val="22"/>
                <w:szCs w:val="22"/>
                <w:color w:val="auto"/>
                <w:w w:val="86"/>
              </w:rPr>
              <w:t>Section 3.14</w:t>
            </w:r>
          </w:p>
        </w:tc>
        <w:tc>
          <w:tcPr>
            <w:tcW w:w="78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 w:type="dxa"/>
            <w:vAlign w:val="bottom"/>
            <w:shd w:val="clear" w:color="auto" w:fill="000000"/>
          </w:tcPr>
          <w:p>
            <w:pPr>
              <w:spacing w:after="0" w:line="20" w:lineRule="exact"/>
              <w:rPr>
                <w:sz w:val="1"/>
                <w:szCs w:val="1"/>
                <w:color w:val="auto"/>
              </w:rPr>
            </w:pPr>
          </w:p>
        </w:tc>
        <w:tc>
          <w:tcPr>
            <w:tcW w:w="15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Borders>
              <w:bottom w:val="single" w:sz="8" w:color="DDDDDD"/>
            </w:tcBorders>
          </w:tcPr>
          <w:p>
            <w:pPr>
              <w:spacing w:after="0" w:line="20" w:lineRule="exact"/>
              <w:rPr>
                <w:sz w:val="1"/>
                <w:szCs w:val="1"/>
                <w:color w:val="auto"/>
              </w:rPr>
            </w:pPr>
          </w:p>
        </w:tc>
        <w:tc>
          <w:tcPr>
            <w:tcW w:w="40" w:type="dxa"/>
            <w:vAlign w:val="bottom"/>
            <w:tcBorders>
              <w:bottom w:val="single" w:sz="8" w:color="DDDDDD"/>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bottom w:val="single" w:sz="8" w:color="DDDDDD"/>
              <w:right w:val="single" w:sz="8" w:color="DDDDDD"/>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gridSpan w:val="4"/>
            <w:vMerge w:val="continue"/>
          </w:tcPr>
          <w:p>
            <w:pPr>
              <w:spacing w:after="0"/>
              <w:rPr>
                <w:sz w:val="17"/>
                <w:szCs w:val="17"/>
                <w:color w:val="auto"/>
              </w:rPr>
            </w:pPr>
          </w:p>
        </w:tc>
        <w:tc>
          <w:tcPr>
            <w:tcW w:w="3380" w:type="dxa"/>
            <w:vAlign w:val="bottom"/>
            <w:gridSpan w:val="40"/>
          </w:tcPr>
          <w:p>
            <w:pPr>
              <w:ind w:left="40"/>
              <w:spacing w:after="0" w:line="176" w:lineRule="exact"/>
              <w:rPr>
                <w:sz w:val="20"/>
                <w:szCs w:val="20"/>
                <w:color w:val="auto"/>
              </w:rPr>
            </w:pPr>
            <w:r>
              <w:rPr>
                <w:rFonts w:ascii="Arial" w:cs="Arial" w:eastAsia="Arial" w:hAnsi="Arial"/>
                <w:sz w:val="19"/>
                <w:szCs w:val="19"/>
                <w:color w:val="auto"/>
              </w:rPr>
              <w:t>Anti-Corruption Laws and Sanctions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2"/>
          </w:tcPr>
          <w:p>
            <w:pPr>
              <w:jc w:val="right"/>
              <w:spacing w:after="0" w:line="176" w:lineRule="exact"/>
              <w:rPr>
                <w:sz w:val="20"/>
                <w:szCs w:val="20"/>
                <w:color w:val="auto"/>
              </w:rPr>
            </w:pPr>
            <w:r>
              <w:rPr>
                <w:rFonts w:ascii="Arial" w:cs="Arial" w:eastAsia="Arial" w:hAnsi="Arial"/>
                <w:sz w:val="19"/>
                <w:szCs w:val="19"/>
                <w:color w:val="FF0000"/>
                <w:strike w:val="1"/>
              </w:rPr>
              <w:t>90</w:t>
            </w:r>
          </w:p>
        </w:tc>
        <w:tc>
          <w:tcPr>
            <w:tcW w:w="200" w:type="dxa"/>
            <w:vAlign w:val="bottom"/>
            <w:tcBorders>
              <w:right w:val="single" w:sz="8" w:color="DDDDDD"/>
            </w:tcBorders>
            <w:gridSpan w:val="2"/>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94"/>
              </w:rPr>
              <w:t>88</w:t>
            </w:r>
          </w:p>
        </w:tc>
        <w:tc>
          <w:tcPr>
            <w:tcW w:w="200" w:type="dxa"/>
            <w:vAlign w:val="bottom"/>
            <w:tcBorders>
              <w:left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gridSpan w:val="4"/>
          </w:tcPr>
          <w:p>
            <w:pPr>
              <w:ind w:left="660"/>
              <w:spacing w:after="0" w:line="176" w:lineRule="exact"/>
              <w:rPr>
                <w:sz w:val="20"/>
                <w:szCs w:val="20"/>
                <w:color w:val="auto"/>
              </w:rPr>
            </w:pPr>
            <w:r>
              <w:rPr>
                <w:rFonts w:ascii="Arial" w:cs="Arial" w:eastAsia="Arial" w:hAnsi="Arial"/>
                <w:sz w:val="19"/>
                <w:szCs w:val="19"/>
                <w:color w:val="auto"/>
              </w:rPr>
              <w:t>Section 3.15</w:t>
            </w:r>
          </w:p>
        </w:tc>
        <w:tc>
          <w:tcPr>
            <w:tcW w:w="1240" w:type="dxa"/>
            <w:vAlign w:val="bottom"/>
            <w:tcBorders>
              <w:top w:val="single" w:sz="8" w:color="auto"/>
              <w:bottom w:val="single" w:sz="8" w:color="auto"/>
            </w:tcBorders>
            <w:gridSpan w:val="14"/>
          </w:tcPr>
          <w:p>
            <w:pPr>
              <w:ind w:left="60"/>
              <w:spacing w:after="0" w:line="176" w:lineRule="exact"/>
              <w:rPr>
                <w:sz w:val="20"/>
                <w:szCs w:val="20"/>
                <w:color w:val="auto"/>
              </w:rPr>
            </w:pPr>
            <w:r>
              <w:rPr>
                <w:rFonts w:ascii="Arial" w:cs="Arial" w:eastAsia="Arial" w:hAnsi="Arial"/>
                <w:sz w:val="19"/>
                <w:szCs w:val="19"/>
                <w:color w:val="auto"/>
              </w:rPr>
              <w:t>Margin Stock</w:t>
            </w:r>
          </w:p>
        </w:tc>
        <w:tc>
          <w:tcPr>
            <w:tcW w:w="80" w:type="dxa"/>
            <w:vAlign w:val="bottom"/>
            <w:tcBorders>
              <w:top w:val="single" w:sz="8" w:color="auto"/>
            </w:tcBorders>
            <w:gridSpan w:val="2"/>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gridSpan w:val="4"/>
          </w:tcPr>
          <w:p>
            <w:pPr>
              <w:jc w:val="right"/>
              <w:spacing w:after="0" w:line="176" w:lineRule="exact"/>
              <w:rPr>
                <w:sz w:val="20"/>
                <w:szCs w:val="20"/>
                <w:color w:val="auto"/>
              </w:rPr>
            </w:pPr>
            <w:r>
              <w:rPr>
                <w:rFonts w:ascii="Arial" w:cs="Arial" w:eastAsia="Arial" w:hAnsi="Arial"/>
                <w:sz w:val="19"/>
                <w:szCs w:val="19"/>
                <w:color w:val="FF0000"/>
                <w:strike w:val="1"/>
              </w:rPr>
              <w:t>91</w:t>
            </w:r>
          </w:p>
        </w:tc>
        <w:tc>
          <w:tcPr>
            <w:tcW w:w="200" w:type="dxa"/>
            <w:vAlign w:val="bottom"/>
            <w:tcBorders>
              <w:top w:val="single" w:sz="8" w:color="auto"/>
              <w:bottom w:val="single" w:sz="8" w:color="0000FF"/>
            </w:tcBorders>
            <w:gridSpan w:val="4"/>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84"/>
              </w:rPr>
              <w:t>89</w:t>
            </w:r>
          </w:p>
        </w:tc>
        <w:tc>
          <w:tcPr>
            <w:tcW w:w="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gridSpan w:val="4"/>
          </w:tcPr>
          <w:p>
            <w:pPr>
              <w:ind w:left="660"/>
              <w:spacing w:after="0" w:line="176" w:lineRule="exact"/>
              <w:rPr>
                <w:sz w:val="20"/>
                <w:szCs w:val="20"/>
                <w:color w:val="auto"/>
              </w:rPr>
            </w:pPr>
            <w:r>
              <w:rPr>
                <w:rFonts w:ascii="Arial" w:cs="Arial" w:eastAsia="Arial" w:hAnsi="Arial"/>
                <w:sz w:val="19"/>
                <w:szCs w:val="19"/>
                <w:color w:val="auto"/>
              </w:rPr>
              <w:t>Section 3.16</w:t>
            </w:r>
          </w:p>
        </w:tc>
        <w:tc>
          <w:tcPr>
            <w:tcW w:w="860" w:type="dxa"/>
            <w:vAlign w:val="bottom"/>
            <w:tcBorders>
              <w:bottom w:val="single" w:sz="8" w:color="auto"/>
            </w:tcBorders>
            <w:gridSpan w:val="5"/>
          </w:tcPr>
          <w:p>
            <w:pPr>
              <w:ind w:left="60"/>
              <w:spacing w:after="0" w:line="176" w:lineRule="exact"/>
              <w:rPr>
                <w:sz w:val="20"/>
                <w:szCs w:val="20"/>
                <w:color w:val="auto"/>
              </w:rPr>
            </w:pPr>
            <w:r>
              <w:rPr>
                <w:rFonts w:ascii="Arial" w:cs="Arial" w:eastAsia="Arial" w:hAnsi="Arial"/>
                <w:sz w:val="19"/>
                <w:szCs w:val="19"/>
                <w:color w:val="auto"/>
              </w:rPr>
              <w:t>Solvency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230" w:type="dxa"/>
            <w:vAlign w:val="bottom"/>
            <w:gridSpan w:val="6"/>
          </w:tcPr>
          <w:p>
            <w:pPr>
              <w:jc w:val="right"/>
              <w:spacing w:after="0" w:line="176" w:lineRule="exact"/>
              <w:rPr>
                <w:sz w:val="20"/>
                <w:szCs w:val="20"/>
                <w:color w:val="auto"/>
              </w:rPr>
            </w:pPr>
            <w:r>
              <w:rPr>
                <w:rFonts w:ascii="Arial" w:cs="Arial" w:eastAsia="Arial" w:hAnsi="Arial"/>
                <w:sz w:val="19"/>
                <w:szCs w:val="19"/>
                <w:color w:val="FF0000"/>
                <w:strike w:val="1"/>
                <w:w w:val="94"/>
              </w:rPr>
              <w:t>91</w:t>
            </w:r>
          </w:p>
        </w:tc>
        <w:tc>
          <w:tcPr>
            <w:tcW w:w="40" w:type="dxa"/>
            <w:vAlign w:val="bottom"/>
            <w:tcBorders>
              <w:bottom w:val="single" w:sz="8" w:color="0000FF"/>
              <w:right w:val="single" w:sz="8" w:color="DDDDDD"/>
            </w:tcBorders>
          </w:tcPr>
          <w:p>
            <w:pPr>
              <w:spacing w:after="0"/>
              <w:rPr>
                <w:sz w:val="17"/>
                <w:szCs w:val="17"/>
                <w:color w:val="auto"/>
              </w:rPr>
            </w:pPr>
          </w:p>
        </w:tc>
        <w:tc>
          <w:tcPr>
            <w:tcW w:w="180" w:type="dxa"/>
            <w:vAlign w:val="bottom"/>
            <w:tcBorders>
              <w:top w:val="single" w:sz="8" w:color="DDDDDD"/>
              <w:bottom w:val="single" w:sz="8" w:color="0000FF"/>
            </w:tcBorders>
            <w:gridSpan w:val="3"/>
            <w:shd w:val="clear" w:color="auto" w:fill="DDDDDD"/>
          </w:tcPr>
          <w:p>
            <w:pPr>
              <w:spacing w:after="0" w:line="176" w:lineRule="exact"/>
              <w:rPr>
                <w:sz w:val="20"/>
                <w:szCs w:val="20"/>
                <w:color w:val="auto"/>
              </w:rPr>
            </w:pPr>
            <w:r>
              <w:rPr>
                <w:rFonts w:ascii="Arial" w:cs="Arial" w:eastAsia="Arial" w:hAnsi="Arial"/>
                <w:sz w:val="19"/>
                <w:szCs w:val="19"/>
                <w:color w:val="0000FF"/>
                <w:highlight w:val="lightGray"/>
                <w:w w:val="75"/>
              </w:rPr>
              <w:t>89</w:t>
            </w:r>
          </w:p>
        </w:tc>
        <w:tc>
          <w:tcPr>
            <w:tcW w:w="100" w:type="dxa"/>
            <w:vAlign w:val="bottom"/>
            <w:tcBorders>
              <w:bottom w:val="single" w:sz="8" w:color="DDDDDD"/>
            </w:tcBorders>
          </w:tcPr>
          <w:p>
            <w:pPr>
              <w:spacing w:after="0"/>
              <w:rPr>
                <w:sz w:val="17"/>
                <w:szCs w:val="17"/>
                <w:color w:val="auto"/>
              </w:rPr>
            </w:pPr>
          </w:p>
        </w:tc>
        <w:tc>
          <w:tcPr>
            <w:tcW w:w="40" w:type="dxa"/>
            <w:vAlign w:val="bottom"/>
            <w:tcBorders>
              <w:bottom w:val="single" w:sz="8" w:color="DDDDDD"/>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DDDDDD"/>
            </w:tcBorders>
          </w:tcPr>
          <w:p>
            <w:pPr>
              <w:spacing w:after="0"/>
              <w:rPr>
                <w:sz w:val="17"/>
                <w:szCs w:val="17"/>
                <w:color w:val="auto"/>
              </w:rPr>
            </w:pPr>
          </w:p>
        </w:tc>
        <w:tc>
          <w:tcPr>
            <w:tcW w:w="40" w:type="dxa"/>
            <w:vAlign w:val="bottom"/>
            <w:tcBorders>
              <w:top w:val="single" w:sz="8" w:color="DDDDDD"/>
            </w:tcBorders>
          </w:tcPr>
          <w:p>
            <w:pPr>
              <w:spacing w:after="0"/>
              <w:rPr>
                <w:sz w:val="17"/>
                <w:szCs w:val="17"/>
                <w:color w:val="auto"/>
              </w:rPr>
            </w:pPr>
          </w:p>
        </w:tc>
        <w:tc>
          <w:tcPr>
            <w:tcW w:w="40" w:type="dxa"/>
            <w:vAlign w:val="bottom"/>
            <w:tcBorders>
              <w:top w:val="single" w:sz="8" w:color="DDDDDD"/>
            </w:tcBorders>
          </w:tcPr>
          <w:p>
            <w:pPr>
              <w:spacing w:after="0"/>
              <w:rPr>
                <w:sz w:val="17"/>
                <w:szCs w:val="17"/>
                <w:color w:val="auto"/>
              </w:rPr>
            </w:pPr>
          </w:p>
        </w:tc>
        <w:tc>
          <w:tcPr>
            <w:tcW w:w="40" w:type="dxa"/>
            <w:vAlign w:val="bottom"/>
            <w:tcBorders>
              <w:top w:val="single" w:sz="8" w:color="DDDDDD"/>
            </w:tcBorders>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40" w:type="dxa"/>
            <w:vAlign w:val="bottom"/>
            <w:gridSpan w:val="4"/>
          </w:tcPr>
          <w:p>
            <w:pPr>
              <w:ind w:left="660"/>
              <w:spacing w:after="0" w:line="176" w:lineRule="exact"/>
              <w:rPr>
                <w:sz w:val="20"/>
                <w:szCs w:val="20"/>
                <w:color w:val="auto"/>
              </w:rPr>
            </w:pPr>
            <w:r>
              <w:rPr>
                <w:rFonts w:ascii="Arial" w:cs="Arial" w:eastAsia="Arial" w:hAnsi="Arial"/>
                <w:sz w:val="19"/>
                <w:szCs w:val="19"/>
                <w:color w:val="auto"/>
              </w:rPr>
              <w:t>Section 3.17</w:t>
            </w:r>
          </w:p>
        </w:tc>
        <w:tc>
          <w:tcPr>
            <w:tcW w:w="860" w:type="dxa"/>
            <w:vAlign w:val="bottom"/>
            <w:tcBorders>
              <w:bottom w:val="single" w:sz="8" w:color="auto"/>
            </w:tcBorders>
            <w:gridSpan w:val="5"/>
          </w:tcPr>
          <w:p>
            <w:pPr>
              <w:ind w:left="60"/>
              <w:spacing w:after="0" w:line="176" w:lineRule="exact"/>
              <w:rPr>
                <w:sz w:val="20"/>
                <w:szCs w:val="20"/>
                <w:color w:val="auto"/>
              </w:rPr>
            </w:pPr>
            <w:r>
              <w:rPr>
                <w:rFonts w:ascii="Arial" w:cs="Arial" w:eastAsia="Arial" w:hAnsi="Arial"/>
                <w:sz w:val="19"/>
                <w:szCs w:val="19"/>
                <w:color w:val="auto"/>
                <w:w w:val="84"/>
              </w:rPr>
              <w:t>[Reserved]</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0" w:type="dxa"/>
            <w:vAlign w:val="bottom"/>
          </w:tcPr>
          <w:p>
            <w:pPr>
              <w:spacing w:after="0"/>
              <w:rPr>
                <w:sz w:val="15"/>
                <w:szCs w:val="15"/>
                <w:color w:val="auto"/>
              </w:rPr>
            </w:pPr>
          </w:p>
        </w:tc>
        <w:tc>
          <w:tcPr>
            <w:tcW w:w="15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5"/>
          </w:tcPr>
          <w:p>
            <w:pPr>
              <w:jc w:val="right"/>
              <w:spacing w:after="0" w:line="176" w:lineRule="exact"/>
              <w:rPr>
                <w:sz w:val="20"/>
                <w:szCs w:val="20"/>
                <w:color w:val="auto"/>
              </w:rPr>
            </w:pPr>
            <w:r>
              <w:rPr>
                <w:rFonts w:ascii="Arial" w:cs="Arial" w:eastAsia="Arial" w:hAnsi="Arial"/>
                <w:sz w:val="19"/>
                <w:szCs w:val="19"/>
                <w:color w:val="FF0000"/>
                <w:strike w:val="1"/>
                <w:w w:val="84"/>
              </w:rPr>
              <w:t>91</w:t>
            </w:r>
          </w:p>
        </w:tc>
        <w:tc>
          <w:tcPr>
            <w:tcW w:w="220" w:type="dxa"/>
            <w:vAlign w:val="bottom"/>
            <w:tcBorders>
              <w:bottom w:val="single" w:sz="8" w:color="0000FF"/>
            </w:tcBorders>
            <w:gridSpan w:val="3"/>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94"/>
              </w:rPr>
              <w:t>89</w:t>
            </w:r>
          </w:p>
        </w:tc>
        <w:tc>
          <w:tcPr>
            <w:tcW w:w="40" w:type="dxa"/>
            <w:vAlign w:val="bottom"/>
            <w:tcBorders>
              <w:left w:val="single" w:sz="8" w:color="DDDDDD"/>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40" w:type="dxa"/>
            <w:vAlign w:val="bottom"/>
            <w:gridSpan w:val="4"/>
            <w:vMerge w:val="restart"/>
          </w:tcPr>
          <w:p>
            <w:pPr>
              <w:ind w:left="660"/>
              <w:spacing w:after="0" w:line="195" w:lineRule="exact"/>
              <w:rPr>
                <w:sz w:val="20"/>
                <w:szCs w:val="20"/>
                <w:color w:val="auto"/>
              </w:rPr>
            </w:pPr>
            <w:r>
              <w:rPr>
                <w:rFonts w:ascii="Arial" w:cs="Arial" w:eastAsia="Arial" w:hAnsi="Arial"/>
                <w:sz w:val="22"/>
                <w:szCs w:val="22"/>
                <w:color w:val="auto"/>
                <w:w w:val="86"/>
              </w:rPr>
              <w:t>Section 3.18</w:t>
            </w:r>
          </w:p>
        </w:tc>
        <w:tc>
          <w:tcPr>
            <w:tcW w:w="1000" w:type="dxa"/>
            <w:vAlign w:val="bottom"/>
            <w:gridSpan w:val="8"/>
            <w:vMerge w:val="restart"/>
          </w:tcPr>
          <w:p>
            <w:pPr>
              <w:ind w:left="60"/>
              <w:spacing w:after="0" w:line="195" w:lineRule="exact"/>
              <w:rPr>
                <w:sz w:val="20"/>
                <w:szCs w:val="20"/>
                <w:color w:val="auto"/>
              </w:rPr>
            </w:pPr>
            <w:r>
              <w:rPr>
                <w:rFonts w:ascii="Arial" w:cs="Arial" w:eastAsia="Arial" w:hAnsi="Arial"/>
                <w:sz w:val="22"/>
                <w:szCs w:val="22"/>
                <w:color w:val="auto"/>
                <w:w w:val="98"/>
              </w:rPr>
              <w:t>Collateral</w:t>
            </w: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DDDDDD"/>
            </w:tcBorders>
            <w:gridSpan w:val="2"/>
            <w:shd w:val="clear" w:color="auto" w:fill="DDDDDD"/>
          </w:tcPr>
          <w:p>
            <w:pPr>
              <w:spacing w:after="0" w:line="20" w:lineRule="exact"/>
              <w:rPr>
                <w:sz w:val="1"/>
                <w:szCs w:val="1"/>
                <w:color w:val="auto"/>
              </w:rPr>
            </w:pPr>
          </w:p>
        </w:tc>
        <w:tc>
          <w:tcPr>
            <w:tcW w:w="40" w:type="dxa"/>
            <w:vAlign w:val="bottom"/>
            <w:tcBorders>
              <w:left w:val="single" w:sz="8" w:color="DDDDDD"/>
            </w:tcBorders>
            <w:shd w:val="clear" w:color="auto" w:fill="DDDDDD"/>
          </w:tcPr>
          <w:p>
            <w:pPr>
              <w:spacing w:after="0" w:line="20" w:lineRule="exact"/>
              <w:rPr>
                <w:sz w:val="1"/>
                <w:szCs w:val="1"/>
                <w:color w:val="auto"/>
              </w:rPr>
            </w:pPr>
          </w:p>
        </w:tc>
        <w:tc>
          <w:tcPr>
            <w:tcW w:w="160" w:type="dxa"/>
            <w:vAlign w:val="bottom"/>
            <w:tcBorders>
              <w:left w:val="single" w:sz="8" w:color="DDDDDD"/>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vMerge w:val="restart"/>
          </w:tcPr>
          <w:p>
            <w:pPr>
              <w:jc w:val="right"/>
              <w:spacing w:after="0" w:line="195" w:lineRule="exact"/>
              <w:rPr>
                <w:sz w:val="20"/>
                <w:szCs w:val="20"/>
                <w:color w:val="auto"/>
              </w:rPr>
            </w:pPr>
            <w:r>
              <w:rPr>
                <w:rFonts w:ascii="Arial" w:cs="Arial" w:eastAsia="Arial" w:hAnsi="Arial"/>
                <w:sz w:val="22"/>
                <w:szCs w:val="22"/>
                <w:color w:val="FF0000"/>
                <w:strike w:val="1"/>
              </w:rPr>
              <w:t>91</w:t>
            </w:r>
          </w:p>
        </w:tc>
        <w:tc>
          <w:tcPr>
            <w:tcW w:w="20" w:type="dxa"/>
            <w:vAlign w:val="bottom"/>
            <w:vMerge w:val="restart"/>
          </w:tcPr>
          <w:p>
            <w:pPr>
              <w:spacing w:after="0" w:line="20" w:lineRule="exact"/>
              <w:rPr>
                <w:sz w:val="1"/>
                <w:szCs w:val="1"/>
                <w:color w:val="auto"/>
              </w:rPr>
            </w:pPr>
          </w:p>
        </w:tc>
        <w:tc>
          <w:tcPr>
            <w:tcW w:w="180" w:type="dxa"/>
            <w:vAlign w:val="bottom"/>
            <w:gridSpan w:val="3"/>
            <w:vMerge w:val="restart"/>
            <w:shd w:val="clear" w:color="auto" w:fill="DDDDDD"/>
          </w:tcPr>
          <w:p>
            <w:pPr>
              <w:jc w:val="right"/>
              <w:spacing w:after="0" w:line="196" w:lineRule="exact"/>
              <w:rPr>
                <w:sz w:val="20"/>
                <w:szCs w:val="20"/>
                <w:color w:val="auto"/>
              </w:rPr>
            </w:pPr>
            <w:r>
              <w:rPr>
                <w:rFonts w:ascii="Arial" w:cs="Arial" w:eastAsia="Arial" w:hAnsi="Arial"/>
                <w:sz w:val="19"/>
                <w:szCs w:val="19"/>
                <w:color w:val="0000FF"/>
                <w:highlight w:val="lightGray"/>
                <w:w w:val="75"/>
              </w:rPr>
              <w:t>89</w:t>
            </w:r>
          </w:p>
        </w:tc>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gridSpan w:val="4"/>
            <w:vMerge w:val="continue"/>
          </w:tcPr>
          <w:p>
            <w:pPr>
              <w:spacing w:after="0"/>
              <w:rPr>
                <w:sz w:val="17"/>
                <w:szCs w:val="17"/>
                <w:color w:val="auto"/>
              </w:rPr>
            </w:pPr>
          </w:p>
        </w:tc>
        <w:tc>
          <w:tcPr>
            <w:tcW w:w="1000" w:type="dxa"/>
            <w:vAlign w:val="bottom"/>
            <w:tcBorders>
              <w:bottom w:val="single" w:sz="8" w:color="auto"/>
            </w:tcBorders>
            <w:gridSpan w:val="8"/>
            <w:vMerge w:val="continue"/>
          </w:tcPr>
          <w:p>
            <w:pPr>
              <w:spacing w:after="0"/>
              <w:rPr>
                <w:sz w:val="17"/>
                <w:szCs w:val="17"/>
                <w:color w:val="auto"/>
              </w:rPr>
            </w:pPr>
          </w:p>
        </w:tc>
        <w:tc>
          <w:tcPr>
            <w:tcW w:w="940" w:type="dxa"/>
            <w:vAlign w:val="bottom"/>
            <w:tcBorders>
              <w:bottom w:val="single" w:sz="8" w:color="auto"/>
            </w:tcBorders>
            <w:gridSpan w:val="19"/>
          </w:tcPr>
          <w:p>
            <w:pPr>
              <w:spacing w:after="0" w:line="176" w:lineRule="exact"/>
              <w:rPr>
                <w:sz w:val="20"/>
                <w:szCs w:val="20"/>
                <w:color w:val="auto"/>
              </w:rPr>
            </w:pPr>
            <w:r>
              <w:rPr>
                <w:rFonts w:ascii="Arial" w:cs="Arial" w:eastAsia="Arial" w:hAnsi="Arial"/>
                <w:sz w:val="19"/>
                <w:szCs w:val="19"/>
                <w:color w:val="auto"/>
                <w:w w:val="95"/>
              </w:rPr>
              <w:t>Documents</w:t>
            </w:r>
          </w:p>
        </w:tc>
        <w:tc>
          <w:tcPr>
            <w:tcW w:w="440" w:type="dxa"/>
            <w:vAlign w:val="bottom"/>
            <w:gridSpan w:val="2"/>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180" w:type="dxa"/>
            <w:vAlign w:val="bottom"/>
            <w:tcBorders>
              <w:bottom w:val="single" w:sz="8" w:color="0000FF"/>
            </w:tcBorders>
            <w:gridSpan w:val="3"/>
            <w:vMerge w:val="continue"/>
            <w:shd w:val="clear" w:color="auto" w:fill="DDDDDD"/>
          </w:tcPr>
          <w:p>
            <w:pPr>
              <w:spacing w:after="0"/>
              <w:rPr>
                <w:sz w:val="17"/>
                <w:szCs w:val="17"/>
                <w:color w:val="auto"/>
              </w:rPr>
            </w:pPr>
          </w:p>
        </w:tc>
        <w:tc>
          <w:tcPr>
            <w:tcW w:w="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gridSpan w:val="4"/>
          </w:tcPr>
          <w:p>
            <w:pPr>
              <w:ind w:left="660"/>
              <w:spacing w:after="0" w:line="176" w:lineRule="exact"/>
              <w:rPr>
                <w:sz w:val="20"/>
                <w:szCs w:val="20"/>
                <w:color w:val="auto"/>
              </w:rPr>
            </w:pPr>
            <w:r>
              <w:rPr>
                <w:rFonts w:ascii="Arial" w:cs="Arial" w:eastAsia="Arial" w:hAnsi="Arial"/>
                <w:sz w:val="19"/>
                <w:szCs w:val="19"/>
                <w:color w:val="auto"/>
              </w:rPr>
              <w:t>Section 3.19</w:t>
            </w:r>
          </w:p>
        </w:tc>
        <w:tc>
          <w:tcPr>
            <w:tcW w:w="2400" w:type="dxa"/>
            <w:vAlign w:val="bottom"/>
            <w:tcBorders>
              <w:bottom w:val="single" w:sz="8" w:color="auto"/>
            </w:tcBorders>
            <w:gridSpan w:val="30"/>
          </w:tcPr>
          <w:p>
            <w:pPr>
              <w:ind w:left="40"/>
              <w:spacing w:after="0" w:line="176" w:lineRule="exact"/>
              <w:rPr>
                <w:sz w:val="20"/>
                <w:szCs w:val="20"/>
                <w:color w:val="auto"/>
              </w:rPr>
            </w:pPr>
            <w:r>
              <w:rPr>
                <w:rFonts w:ascii="Arial" w:cs="Arial" w:eastAsia="Arial" w:hAnsi="Arial"/>
                <w:sz w:val="19"/>
                <w:szCs w:val="19"/>
                <w:color w:val="auto"/>
                <w:w w:val="98"/>
              </w:rPr>
              <w:t>Affected Financial Institution</w:t>
            </w:r>
          </w:p>
        </w:tc>
        <w:tc>
          <w:tcPr>
            <w:tcW w:w="20" w:type="dxa"/>
            <w:vAlign w:val="bottom"/>
            <w:tcBorders>
              <w:top w:val="single" w:sz="8" w:color="DDDDDD"/>
              <w:bottom w:val="single" w:sz="8" w:color="auto"/>
            </w:tcBorders>
          </w:tcPr>
          <w:p>
            <w:pPr>
              <w:spacing w:after="0"/>
              <w:rPr>
                <w:sz w:val="17"/>
                <w:szCs w:val="17"/>
                <w:color w:val="auto"/>
              </w:rPr>
            </w:pPr>
          </w:p>
        </w:tc>
        <w:tc>
          <w:tcPr>
            <w:tcW w:w="120" w:type="dxa"/>
            <w:vAlign w:val="bottom"/>
            <w:tcBorders>
              <w:top w:val="single" w:sz="8" w:color="DDDDDD"/>
              <w:bottom w:val="single" w:sz="8" w:color="auto"/>
            </w:tcBorders>
          </w:tcPr>
          <w:p>
            <w:pPr>
              <w:spacing w:after="0"/>
              <w:rPr>
                <w:sz w:val="17"/>
                <w:szCs w:val="17"/>
                <w:color w:val="auto"/>
              </w:rPr>
            </w:pPr>
          </w:p>
        </w:tc>
        <w:tc>
          <w:tcPr>
            <w:tcW w:w="40" w:type="dxa"/>
            <w:vAlign w:val="bottom"/>
            <w:tcBorders>
              <w:top w:val="single" w:sz="8" w:color="DDDDDD"/>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jc w:val="right"/>
              <w:spacing w:after="0" w:line="176" w:lineRule="exact"/>
              <w:rPr>
                <w:sz w:val="20"/>
                <w:szCs w:val="20"/>
                <w:color w:val="auto"/>
              </w:rPr>
            </w:pPr>
            <w:r>
              <w:rPr>
                <w:rFonts w:ascii="Arial" w:cs="Arial" w:eastAsia="Arial" w:hAnsi="Arial"/>
                <w:sz w:val="19"/>
                <w:szCs w:val="19"/>
                <w:color w:val="FF0000"/>
                <w:strike w:val="1"/>
                <w:w w:val="94"/>
              </w:rPr>
              <w:t>92</w:t>
            </w:r>
          </w:p>
        </w:tc>
        <w:tc>
          <w:tcPr>
            <w:tcW w:w="220" w:type="dxa"/>
            <w:vAlign w:val="bottom"/>
            <w:tcBorders>
              <w:top w:val="single" w:sz="8" w:color="DDDDDD"/>
              <w:bottom w:val="single" w:sz="8" w:color="0000FF"/>
            </w:tcBorders>
            <w:gridSpan w:val="3"/>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94"/>
              </w:rPr>
              <w:t>89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gridSpan w:val="4"/>
          </w:tcPr>
          <w:p>
            <w:pPr>
              <w:ind w:left="660"/>
              <w:spacing w:after="0" w:line="176" w:lineRule="exact"/>
              <w:rPr>
                <w:sz w:val="20"/>
                <w:szCs w:val="20"/>
                <w:color w:val="auto"/>
              </w:rPr>
            </w:pPr>
            <w:r>
              <w:rPr>
                <w:rFonts w:ascii="Arial" w:cs="Arial" w:eastAsia="Arial" w:hAnsi="Arial"/>
                <w:sz w:val="19"/>
                <w:szCs w:val="19"/>
                <w:color w:val="auto"/>
              </w:rPr>
              <w:t>Section 3.20</w:t>
            </w:r>
          </w:p>
        </w:tc>
        <w:tc>
          <w:tcPr>
            <w:tcW w:w="780" w:type="dxa"/>
            <w:vAlign w:val="bottom"/>
            <w:tcBorders>
              <w:bottom w:val="single" w:sz="8" w:color="auto"/>
            </w:tcBorders>
            <w:gridSpan w:val="4"/>
          </w:tcPr>
          <w:p>
            <w:pPr>
              <w:ind w:left="60"/>
              <w:spacing w:after="0" w:line="176" w:lineRule="exact"/>
              <w:rPr>
                <w:sz w:val="20"/>
                <w:szCs w:val="20"/>
                <w:color w:val="auto"/>
              </w:rPr>
            </w:pPr>
            <w:r>
              <w:rPr>
                <w:rFonts w:ascii="Arial" w:cs="Arial" w:eastAsia="Arial" w:hAnsi="Arial"/>
                <w:sz w:val="19"/>
                <w:szCs w:val="19"/>
                <w:color w:val="auto"/>
              </w:rPr>
              <w:t>FinCEN</w:t>
            </w:r>
          </w:p>
        </w:tc>
        <w:tc>
          <w:tcPr>
            <w:tcW w:w="1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6"/>
          </w:tcPr>
          <w:p>
            <w:pPr>
              <w:ind w:left="20"/>
              <w:spacing w:after="0" w:line="176" w:lineRule="exact"/>
              <w:rPr>
                <w:sz w:val="20"/>
                <w:szCs w:val="20"/>
                <w:color w:val="auto"/>
              </w:rPr>
            </w:pPr>
            <w:r>
              <w:rPr>
                <w:rFonts w:ascii="Arial" w:cs="Arial" w:eastAsia="Arial" w:hAnsi="Arial"/>
                <w:sz w:val="19"/>
                <w:szCs w:val="19"/>
                <w:color w:val="FF0000"/>
                <w:strike w:val="1"/>
              </w:rPr>
              <w:t>92</w:t>
            </w:r>
          </w:p>
        </w:tc>
        <w:tc>
          <w:tcPr>
            <w:tcW w:w="200" w:type="dxa"/>
            <w:vAlign w:val="bottom"/>
            <w:tcBorders>
              <w:top w:val="single" w:sz="8" w:color="DDDDDD"/>
              <w:bottom w:val="single" w:sz="8" w:color="0000FF"/>
              <w:right w:val="single" w:sz="8" w:color="DDDDDD"/>
            </w:tcBorders>
            <w:gridSpan w:val="5"/>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84"/>
              </w:rPr>
              <w:t>89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DDDDDD"/>
            </w:tcBorders>
          </w:tcPr>
          <w:p>
            <w:pPr>
              <w:spacing w:after="0"/>
              <w:rPr>
                <w:sz w:val="17"/>
                <w:szCs w:val="17"/>
                <w:color w:val="auto"/>
              </w:rPr>
            </w:pPr>
          </w:p>
        </w:tc>
        <w:tc>
          <w:tcPr>
            <w:tcW w:w="180" w:type="dxa"/>
            <w:vAlign w:val="bottom"/>
            <w:tcBorders>
              <w:top w:val="single" w:sz="8" w:color="DDDDDD"/>
            </w:tcBorders>
          </w:tcPr>
          <w:p>
            <w:pPr>
              <w:spacing w:after="0"/>
              <w:rPr>
                <w:sz w:val="17"/>
                <w:szCs w:val="17"/>
                <w:color w:val="auto"/>
              </w:rPr>
            </w:pPr>
          </w:p>
        </w:tc>
        <w:tc>
          <w:tcPr>
            <w:tcW w:w="20" w:type="dxa"/>
            <w:vAlign w:val="bottom"/>
            <w:tcBorders>
              <w:top w:val="single" w:sz="8" w:color="DDDDDD"/>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3"/>
        </w:trPr>
        <w:tc>
          <w:tcPr>
            <w:tcW w:w="2620" w:type="dxa"/>
            <w:vAlign w:val="bottom"/>
            <w:gridSpan w:val="10"/>
          </w:tcPr>
          <w:p>
            <w:pPr>
              <w:spacing w:after="0"/>
              <w:rPr>
                <w:sz w:val="20"/>
                <w:szCs w:val="20"/>
                <w:color w:val="auto"/>
              </w:rPr>
            </w:pPr>
            <w:r>
              <w:rPr>
                <w:rFonts w:ascii="Arial" w:cs="Arial" w:eastAsia="Arial" w:hAnsi="Arial"/>
                <w:sz w:val="22"/>
                <w:szCs w:val="22"/>
                <w:color w:val="auto"/>
              </w:rPr>
              <w:t>ARTICLE IV</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DDDDDD"/>
            </w:tcBorders>
          </w:tcPr>
          <w:p>
            <w:pPr>
              <w:spacing w:after="0"/>
              <w:rPr>
                <w:sz w:val="24"/>
                <w:szCs w:val="24"/>
                <w:color w:val="auto"/>
              </w:rPr>
            </w:pPr>
          </w:p>
        </w:tc>
        <w:tc>
          <w:tcPr>
            <w:tcW w:w="40" w:type="dxa"/>
            <w:vAlign w:val="bottom"/>
            <w:tcBorders>
              <w:top w:val="single" w:sz="8" w:color="DDDDDD"/>
            </w:tcBorders>
          </w:tcPr>
          <w:p>
            <w:pPr>
              <w:spacing w:after="0"/>
              <w:rPr>
                <w:sz w:val="24"/>
                <w:szCs w:val="24"/>
                <w:color w:val="auto"/>
              </w:rPr>
            </w:pPr>
          </w:p>
        </w:tc>
        <w:tc>
          <w:tcPr>
            <w:tcW w:w="40" w:type="dxa"/>
            <w:vAlign w:val="bottom"/>
            <w:tcBorders>
              <w:top w:val="single" w:sz="8" w:color="DDDDDD"/>
            </w:tcBorders>
          </w:tcPr>
          <w:p>
            <w:pPr>
              <w:spacing w:after="0"/>
              <w:rPr>
                <w:sz w:val="24"/>
                <w:szCs w:val="24"/>
                <w:color w:val="auto"/>
              </w:rPr>
            </w:pPr>
          </w:p>
        </w:tc>
        <w:tc>
          <w:tcPr>
            <w:tcW w:w="40" w:type="dxa"/>
            <w:vAlign w:val="bottom"/>
            <w:tcBorders>
              <w:top w:val="single" w:sz="8" w:color="DDDDDD"/>
            </w:tcBorders>
          </w:tcPr>
          <w:p>
            <w:pPr>
              <w:spacing w:after="0"/>
              <w:rPr>
                <w:sz w:val="24"/>
                <w:szCs w:val="24"/>
                <w:color w:val="auto"/>
              </w:rPr>
            </w:pPr>
          </w:p>
        </w:tc>
        <w:tc>
          <w:tcPr>
            <w:tcW w:w="60" w:type="dxa"/>
            <w:vAlign w:val="bottom"/>
            <w:tcBorders>
              <w:top w:val="single" w:sz="8" w:color="DDDDDD"/>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060" w:type="dxa"/>
            <w:vAlign w:val="bottom"/>
            <w:gridSpan w:val="20"/>
            <w:vMerge w:val="restart"/>
          </w:tcPr>
          <w:p>
            <w:pPr>
              <w:ind w:left="1560"/>
              <w:spacing w:after="0"/>
              <w:rPr>
                <w:sz w:val="20"/>
                <w:szCs w:val="20"/>
                <w:color w:val="auto"/>
              </w:rPr>
            </w:pPr>
            <w:r>
              <w:rPr>
                <w:rFonts w:ascii="Arial" w:cs="Arial" w:eastAsia="Arial" w:hAnsi="Arial"/>
                <w:sz w:val="22"/>
                <w:szCs w:val="22"/>
                <w:color w:val="auto"/>
              </w:rPr>
              <w:t>CONDITIONS</w:t>
            </w:r>
          </w:p>
        </w:tc>
        <w:tc>
          <w:tcPr>
            <w:tcW w:w="40" w:type="dxa"/>
            <w:vAlign w:val="bottom"/>
          </w:tcPr>
          <w:p>
            <w:pPr>
              <w:spacing w:after="0"/>
              <w:rPr>
                <w:sz w:val="15"/>
                <w:szCs w:val="15"/>
                <w:color w:val="auto"/>
              </w:rPr>
            </w:pPr>
          </w:p>
        </w:tc>
        <w:tc>
          <w:tcPr>
            <w:tcW w:w="240" w:type="dxa"/>
            <w:vAlign w:val="bottom"/>
            <w:gridSpan w:val="3"/>
            <w:vMerge w:val="restart"/>
          </w:tcPr>
          <w:p>
            <w:pPr>
              <w:jc w:val="right"/>
              <w:ind w:right="20"/>
              <w:spacing w:after="0"/>
              <w:rPr>
                <w:sz w:val="20"/>
                <w:szCs w:val="20"/>
                <w:color w:val="auto"/>
              </w:rPr>
            </w:pPr>
            <w:r>
              <w:rPr>
                <w:rFonts w:ascii="Arial" w:cs="Arial" w:eastAsia="Arial" w:hAnsi="Arial"/>
                <w:sz w:val="22"/>
                <w:szCs w:val="22"/>
                <w:color w:val="FF0000"/>
                <w:strike w:val="1"/>
                <w:w w:val="81"/>
              </w:rPr>
              <w:t>92</w:t>
            </w:r>
          </w:p>
        </w:tc>
        <w:tc>
          <w:tcPr>
            <w:tcW w:w="4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60" w:type="dxa"/>
            <w:vAlign w:val="bottom"/>
            <w:gridSpan w:val="20"/>
            <w:vMerge w:val="continue"/>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3"/>
            <w:vMerge w:val="continue"/>
          </w:tcPr>
          <w:p>
            <w:pPr>
              <w:spacing w:after="0"/>
              <w:rPr>
                <w:sz w:val="18"/>
                <w:szCs w:val="18"/>
                <w:color w:val="auto"/>
              </w:rPr>
            </w:pPr>
          </w:p>
        </w:tc>
        <w:tc>
          <w:tcPr>
            <w:tcW w:w="200" w:type="dxa"/>
            <w:vAlign w:val="bottom"/>
            <w:tcBorders>
              <w:left w:val="single" w:sz="8" w:color="DDDDDD"/>
              <w:bottom w:val="single" w:sz="8" w:color="0000FF"/>
            </w:tcBorders>
            <w:gridSpan w:val="4"/>
            <w:shd w:val="clear" w:color="auto" w:fill="DDDDDD"/>
          </w:tcPr>
          <w:p>
            <w:pPr>
              <w:jc w:val="right"/>
              <w:spacing w:after="0" w:line="203" w:lineRule="exact"/>
              <w:rPr>
                <w:sz w:val="20"/>
                <w:szCs w:val="20"/>
                <w:color w:val="auto"/>
              </w:rPr>
            </w:pPr>
            <w:r>
              <w:rPr>
                <w:rFonts w:ascii="Arial" w:cs="Arial" w:eastAsia="Arial" w:hAnsi="Arial"/>
                <w:sz w:val="22"/>
                <w:szCs w:val="22"/>
                <w:color w:val="0000FF"/>
                <w:highlight w:val="lightGray"/>
                <w:w w:val="73"/>
              </w:rPr>
              <w:t>89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60" w:type="dxa"/>
            <w:vAlign w:val="bottom"/>
            <w:gridSpan w:val="20"/>
            <w:vMerge w:val="restart"/>
          </w:tcPr>
          <w:p>
            <w:pPr>
              <w:ind w:left="660"/>
              <w:spacing w:after="0"/>
              <w:rPr>
                <w:sz w:val="20"/>
                <w:szCs w:val="20"/>
                <w:color w:val="auto"/>
              </w:rPr>
            </w:pPr>
            <w:r>
              <w:rPr>
                <w:rFonts w:ascii="Arial" w:cs="Arial" w:eastAsia="Arial" w:hAnsi="Arial"/>
                <w:sz w:val="22"/>
                <w:szCs w:val="22"/>
                <w:color w:val="auto"/>
                <w:w w:val="93"/>
              </w:rPr>
              <w:t>Section 4.1 Effective Date</w:t>
            </w:r>
          </w:p>
        </w:tc>
        <w:tc>
          <w:tcPr>
            <w:tcW w:w="100" w:type="dxa"/>
            <w:vAlign w:val="bottom"/>
            <w:gridSpan w:val="2"/>
          </w:tcPr>
          <w:p>
            <w:pPr>
              <w:spacing w:after="0"/>
              <w:rPr>
                <w:sz w:val="17"/>
                <w:szCs w:val="17"/>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22"/>
                <w:szCs w:val="22"/>
                <w:color w:val="FF0000"/>
                <w:strike w:val="1"/>
                <w:w w:val="73"/>
              </w:rPr>
              <w:t>92</w:t>
            </w:r>
          </w:p>
        </w:tc>
        <w:tc>
          <w:tcPr>
            <w:tcW w:w="40" w:type="dxa"/>
            <w:vAlign w:val="bottom"/>
            <w:vMerge w:val="restart"/>
          </w:tcPr>
          <w:p>
            <w:pPr>
              <w:spacing w:after="0"/>
              <w:rPr>
                <w:sz w:val="17"/>
                <w:szCs w:val="17"/>
                <w:color w:val="auto"/>
              </w:rPr>
            </w:pPr>
          </w:p>
        </w:tc>
        <w:tc>
          <w:tcPr>
            <w:tcW w:w="20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gridSpan w:val="20"/>
            <w:vMerge w:val="continue"/>
          </w:tcPr>
          <w:p>
            <w:pPr>
              <w:spacing w:after="0"/>
              <w:rPr>
                <w:sz w:val="17"/>
                <w:szCs w:val="17"/>
                <w:color w:val="auto"/>
              </w:rPr>
            </w:pPr>
          </w:p>
        </w:tc>
        <w:tc>
          <w:tcPr>
            <w:tcW w:w="100" w:type="dxa"/>
            <w:vAlign w:val="bottom"/>
            <w:gridSpan w:val="2"/>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200" w:type="dxa"/>
            <w:vAlign w:val="bottom"/>
            <w:tcBorders>
              <w:left w:val="single" w:sz="8" w:color="DDDDDD"/>
            </w:tcBorders>
            <w:gridSpan w:val="4"/>
            <w:shd w:val="clear" w:color="auto" w:fill="DDDDDD"/>
          </w:tcPr>
          <w:p>
            <w:pPr>
              <w:jc w:val="right"/>
              <w:spacing w:after="0" w:line="203" w:lineRule="exact"/>
              <w:rPr>
                <w:sz w:val="20"/>
                <w:szCs w:val="20"/>
                <w:color w:val="auto"/>
              </w:rPr>
            </w:pPr>
            <w:r>
              <w:rPr>
                <w:rFonts w:ascii="Arial" w:cs="Arial" w:eastAsia="Arial" w:hAnsi="Arial"/>
                <w:sz w:val="22"/>
                <w:szCs w:val="22"/>
                <w:color w:val="0000FF"/>
                <w:highlight w:val="lightGray"/>
                <w:w w:val="73"/>
              </w:rPr>
              <w:t>89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vMerge w:val="restart"/>
          </w:tcPr>
          <w:p>
            <w:pPr>
              <w:ind w:left="660"/>
              <w:spacing w:after="0" w:line="195" w:lineRule="exact"/>
              <w:rPr>
                <w:sz w:val="20"/>
                <w:szCs w:val="20"/>
                <w:color w:val="auto"/>
              </w:rPr>
            </w:pPr>
            <w:r>
              <w:rPr>
                <w:rFonts w:ascii="Arial" w:cs="Arial" w:eastAsia="Arial" w:hAnsi="Arial"/>
                <w:sz w:val="22"/>
                <w:szCs w:val="22"/>
                <w:color w:val="auto"/>
                <w:w w:val="85"/>
              </w:rPr>
              <w:t>Section 4.2</w:t>
            </w:r>
          </w:p>
        </w:tc>
        <w:tc>
          <w:tcPr>
            <w:tcW w:w="20" w:type="dxa"/>
            <w:vAlign w:val="bottom"/>
            <w:vMerge w:val="restart"/>
          </w:tcPr>
          <w:p>
            <w:pPr>
              <w:spacing w:after="0" w:line="20" w:lineRule="exact"/>
              <w:rPr>
                <w:sz w:val="1"/>
                <w:szCs w:val="1"/>
                <w:color w:val="auto"/>
              </w:rPr>
            </w:pPr>
          </w:p>
        </w:tc>
        <w:tc>
          <w:tcPr>
            <w:tcW w:w="1300" w:type="dxa"/>
            <w:vAlign w:val="bottom"/>
            <w:tcBorders>
              <w:top w:val="single" w:sz="8" w:color="auto"/>
            </w:tcBorders>
            <w:gridSpan w:val="14"/>
            <w:vMerge w:val="restart"/>
          </w:tcPr>
          <w:p>
            <w:pPr>
              <w:ind w:left="40"/>
              <w:spacing w:after="0" w:line="195" w:lineRule="exact"/>
              <w:rPr>
                <w:sz w:val="20"/>
                <w:szCs w:val="20"/>
                <w:color w:val="auto"/>
              </w:rPr>
            </w:pPr>
            <w:r>
              <w:rPr>
                <w:rFonts w:ascii="Arial" w:cs="Arial" w:eastAsia="Arial" w:hAnsi="Arial"/>
                <w:sz w:val="22"/>
                <w:szCs w:val="22"/>
                <w:color w:val="auto"/>
              </w:rPr>
              <w:t>Each Credit</w:t>
            </w:r>
          </w:p>
        </w:tc>
        <w:tc>
          <w:tcPr>
            <w:tcW w:w="400" w:type="dxa"/>
            <w:vAlign w:val="bottom"/>
            <w:gridSpan w:val="8"/>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left w:val="single" w:sz="8" w:color="DDDDDD"/>
            </w:tcBorders>
            <w:gridSpan w:val="4"/>
            <w:shd w:val="clear" w:color="auto" w:fill="DDDDDD"/>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vMerge w:val="restart"/>
          </w:tcPr>
          <w:p>
            <w:pPr>
              <w:jc w:val="right"/>
              <w:spacing w:after="0" w:line="195" w:lineRule="exact"/>
              <w:rPr>
                <w:sz w:val="20"/>
                <w:szCs w:val="20"/>
                <w:color w:val="auto"/>
              </w:rPr>
            </w:pPr>
            <w:r>
              <w:rPr>
                <w:rFonts w:ascii="Arial" w:cs="Arial" w:eastAsia="Arial" w:hAnsi="Arial"/>
                <w:sz w:val="22"/>
                <w:szCs w:val="22"/>
                <w:color w:val="FF0000"/>
                <w:strike w:val="1"/>
              </w:rPr>
              <w:t>95</w:t>
            </w:r>
          </w:p>
        </w:tc>
        <w:tc>
          <w:tcPr>
            <w:tcW w:w="220" w:type="dxa"/>
            <w:vAlign w:val="bottom"/>
            <w:gridSpan w:val="4"/>
            <w:vMerge w:val="restart"/>
            <w:shd w:val="clear" w:color="auto" w:fill="DDDDDD"/>
          </w:tcPr>
          <w:p>
            <w:pPr>
              <w:jc w:val="right"/>
              <w:spacing w:after="0" w:line="195" w:lineRule="exact"/>
              <w:rPr>
                <w:sz w:val="20"/>
                <w:szCs w:val="20"/>
                <w:color w:val="auto"/>
              </w:rPr>
            </w:pPr>
            <w:r>
              <w:rPr>
                <w:rFonts w:ascii="Arial" w:cs="Arial" w:eastAsia="Arial" w:hAnsi="Arial"/>
                <w:sz w:val="22"/>
                <w:szCs w:val="22"/>
                <w:color w:val="0000FF"/>
                <w:highlight w:val="lightGray"/>
                <w:w w:val="81"/>
              </w:rPr>
              <w:t>92</w:t>
            </w:r>
          </w:p>
        </w:tc>
        <w:tc>
          <w:tcPr>
            <w:tcW w:w="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20" w:type="dxa"/>
            <w:vAlign w:val="bottom"/>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300" w:type="dxa"/>
            <w:vAlign w:val="bottom"/>
            <w:tcBorders>
              <w:bottom w:val="single" w:sz="8" w:color="auto"/>
            </w:tcBorders>
            <w:gridSpan w:val="14"/>
            <w:vMerge w:val="continue"/>
          </w:tcPr>
          <w:p>
            <w:pPr>
              <w:spacing w:after="0"/>
              <w:rPr>
                <w:sz w:val="15"/>
                <w:szCs w:val="15"/>
                <w:color w:val="auto"/>
              </w:rPr>
            </w:pPr>
          </w:p>
        </w:tc>
        <w:tc>
          <w:tcPr>
            <w:tcW w:w="640" w:type="dxa"/>
            <w:vAlign w:val="bottom"/>
            <w:tcBorders>
              <w:bottom w:val="single" w:sz="8" w:color="auto"/>
            </w:tcBorders>
            <w:gridSpan w:val="13"/>
          </w:tcPr>
          <w:p>
            <w:pPr>
              <w:jc w:val="right"/>
              <w:spacing w:after="0" w:line="176" w:lineRule="exact"/>
              <w:rPr>
                <w:sz w:val="20"/>
                <w:szCs w:val="20"/>
                <w:color w:val="auto"/>
              </w:rPr>
            </w:pPr>
            <w:r>
              <w:rPr>
                <w:rFonts w:ascii="Arial" w:cs="Arial" w:eastAsia="Arial" w:hAnsi="Arial"/>
                <w:sz w:val="19"/>
                <w:szCs w:val="19"/>
                <w:color w:val="auto"/>
                <w:w w:val="74"/>
              </w:rPr>
              <w:t>Extension</w:t>
            </w: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220" w:type="dxa"/>
            <w:vAlign w:val="bottom"/>
            <w:tcBorders>
              <w:bottom w:val="single" w:sz="8" w:color="0000FF"/>
            </w:tcBorders>
            <w:gridSpan w:val="4"/>
            <w:vMerge w:val="continue"/>
            <w:shd w:val="clear" w:color="auto" w:fill="DDDDDD"/>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ARTICLE V</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50"/>
        </w:trPr>
        <w:tc>
          <w:tcPr>
            <w:tcW w:w="3900" w:type="dxa"/>
            <w:vAlign w:val="bottom"/>
            <w:gridSpan w:val="17"/>
            <w:vMerge w:val="restart"/>
          </w:tcPr>
          <w:p>
            <w:pPr>
              <w:ind w:left="900"/>
              <w:spacing w:after="0"/>
              <w:rPr>
                <w:sz w:val="20"/>
                <w:szCs w:val="20"/>
                <w:color w:val="auto"/>
              </w:rPr>
            </w:pPr>
            <w:r>
              <w:rPr>
                <w:rFonts w:ascii="Arial" w:cs="Arial" w:eastAsia="Arial" w:hAnsi="Arial"/>
                <w:sz w:val="22"/>
                <w:szCs w:val="22"/>
                <w:color w:val="auto"/>
              </w:rPr>
              <w:t>AFFIRMATIVE COVENANTS</w:t>
            </w:r>
          </w:p>
        </w:tc>
        <w:tc>
          <w:tcPr>
            <w:tcW w:w="220" w:type="dxa"/>
            <w:vAlign w:val="bottom"/>
            <w:gridSpan w:val="2"/>
            <w:vMerge w:val="restart"/>
          </w:tcPr>
          <w:p>
            <w:pPr>
              <w:jc w:val="right"/>
              <w:spacing w:after="0"/>
              <w:rPr>
                <w:sz w:val="20"/>
                <w:szCs w:val="20"/>
                <w:color w:val="auto"/>
              </w:rPr>
            </w:pPr>
            <w:r>
              <w:rPr>
                <w:rFonts w:ascii="Arial" w:cs="Arial" w:eastAsia="Arial" w:hAnsi="Arial"/>
                <w:sz w:val="22"/>
                <w:szCs w:val="22"/>
                <w:color w:val="FF0000"/>
                <w:strike w:val="1"/>
                <w:w w:val="81"/>
              </w:rPr>
              <w:t>95</w:t>
            </w:r>
          </w:p>
        </w:tc>
        <w:tc>
          <w:tcPr>
            <w:tcW w:w="20" w:type="dxa"/>
            <w:vAlign w:val="bottom"/>
            <w:vMerge w:val="restart"/>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900" w:type="dxa"/>
            <w:vAlign w:val="bottom"/>
            <w:gridSpan w:val="17"/>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20" w:type="dxa"/>
            <w:vAlign w:val="bottom"/>
            <w:tcBorders>
              <w:bottom w:val="single" w:sz="8" w:color="0000FF"/>
            </w:tcBorders>
            <w:vMerge w:val="continue"/>
          </w:tcPr>
          <w:p>
            <w:pPr>
              <w:spacing w:after="0"/>
              <w:rPr>
                <w:sz w:val="18"/>
                <w:szCs w:val="18"/>
                <w:color w:val="auto"/>
              </w:rPr>
            </w:pPr>
          </w:p>
        </w:tc>
        <w:tc>
          <w:tcPr>
            <w:tcW w:w="200" w:type="dxa"/>
            <w:vAlign w:val="bottom"/>
            <w:tcBorders>
              <w:bottom w:val="single" w:sz="8" w:color="0000FF"/>
            </w:tcBorders>
            <w:gridSpan w:val="3"/>
            <w:shd w:val="clear" w:color="auto" w:fill="DDDDDD"/>
          </w:tcPr>
          <w:p>
            <w:pPr>
              <w:jc w:val="right"/>
              <w:spacing w:after="0" w:line="203" w:lineRule="exact"/>
              <w:rPr>
                <w:sz w:val="20"/>
                <w:szCs w:val="20"/>
                <w:color w:val="auto"/>
              </w:rPr>
            </w:pPr>
            <w:r>
              <w:rPr>
                <w:rFonts w:ascii="Arial" w:cs="Arial" w:eastAsia="Arial" w:hAnsi="Arial"/>
                <w:sz w:val="22"/>
                <w:szCs w:val="22"/>
                <w:color w:val="0000FF"/>
                <w:highlight w:val="lightGray"/>
                <w:w w:val="73"/>
              </w:rPr>
              <w:t>93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20" w:type="dxa"/>
            <w:vAlign w:val="bottom"/>
            <w:gridSpan w:val="44"/>
            <w:vMerge w:val="restart"/>
          </w:tcPr>
          <w:p>
            <w:pPr>
              <w:spacing w:after="0"/>
              <w:rPr>
                <w:sz w:val="20"/>
                <w:szCs w:val="20"/>
                <w:color w:val="auto"/>
              </w:rPr>
            </w:pPr>
            <w:r>
              <w:rPr>
                <w:rFonts w:ascii="Arial" w:cs="Arial" w:eastAsia="Arial" w:hAnsi="Arial"/>
                <w:sz w:val="22"/>
                <w:szCs w:val="22"/>
                <w:color w:val="auto"/>
                <w:w w:val="92"/>
              </w:rPr>
              <w:t>Section 5.1 Financial Statements; Other Information; Quarterly Conference Calls</w:t>
            </w:r>
          </w:p>
        </w:tc>
        <w:tc>
          <w:tcPr>
            <w:tcW w:w="220" w:type="dxa"/>
            <w:vAlign w:val="bottom"/>
            <w:vMerge w:val="restart"/>
          </w:tcPr>
          <w:p>
            <w:pPr>
              <w:jc w:val="right"/>
              <w:spacing w:after="0"/>
              <w:rPr>
                <w:sz w:val="20"/>
                <w:szCs w:val="20"/>
                <w:color w:val="auto"/>
              </w:rPr>
            </w:pPr>
            <w:r>
              <w:rPr>
                <w:rFonts w:ascii="Arial" w:cs="Arial" w:eastAsia="Arial" w:hAnsi="Arial"/>
                <w:sz w:val="22"/>
                <w:szCs w:val="22"/>
                <w:color w:val="FF0000"/>
                <w:strike w:val="1"/>
                <w:w w:val="81"/>
              </w:rPr>
              <w:t>95</w:t>
            </w:r>
          </w:p>
        </w:tc>
        <w:tc>
          <w:tcPr>
            <w:tcW w:w="2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220" w:type="dxa"/>
            <w:vAlign w:val="bottom"/>
            <w:gridSpan w:val="44"/>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220" w:type="dxa"/>
            <w:vAlign w:val="bottom"/>
            <w:shd w:val="clear" w:color="auto" w:fill="DDDDDD"/>
          </w:tcPr>
          <w:p>
            <w:pPr>
              <w:jc w:val="right"/>
              <w:spacing w:after="0" w:line="203" w:lineRule="exact"/>
              <w:rPr>
                <w:sz w:val="20"/>
                <w:szCs w:val="20"/>
                <w:color w:val="auto"/>
              </w:rPr>
            </w:pPr>
            <w:r>
              <w:rPr>
                <w:rFonts w:ascii="Arial" w:cs="Arial" w:eastAsia="Arial" w:hAnsi="Arial"/>
                <w:sz w:val="22"/>
                <w:szCs w:val="22"/>
                <w:color w:val="0000FF"/>
                <w:highlight w:val="lightGray"/>
                <w:w w:val="81"/>
              </w:rPr>
              <w:t>93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line="176" w:lineRule="exact"/>
              <w:rPr>
                <w:sz w:val="20"/>
                <w:szCs w:val="20"/>
                <w:color w:val="auto"/>
              </w:rPr>
            </w:pPr>
            <w:r>
              <w:rPr>
                <w:rFonts w:ascii="Arial" w:cs="Arial" w:eastAsia="Arial" w:hAnsi="Arial"/>
                <w:sz w:val="19"/>
                <w:szCs w:val="19"/>
                <w:color w:val="auto"/>
                <w:w w:val="98"/>
              </w:rPr>
              <w:t>Section 5.2</w:t>
            </w:r>
          </w:p>
        </w:tc>
        <w:tc>
          <w:tcPr>
            <w:tcW w:w="20" w:type="dxa"/>
            <w:vAlign w:val="bottom"/>
          </w:tcPr>
          <w:p>
            <w:pPr>
              <w:spacing w:after="0"/>
              <w:rPr>
                <w:sz w:val="15"/>
                <w:szCs w:val="15"/>
                <w:color w:val="auto"/>
              </w:rPr>
            </w:pPr>
          </w:p>
        </w:tc>
        <w:tc>
          <w:tcPr>
            <w:tcW w:w="2380" w:type="dxa"/>
            <w:vAlign w:val="bottom"/>
            <w:tcBorders>
              <w:top w:val="single" w:sz="8" w:color="auto"/>
            </w:tcBorders>
            <w:gridSpan w:val="11"/>
          </w:tcPr>
          <w:p>
            <w:pPr>
              <w:ind w:left="40"/>
              <w:spacing w:after="0" w:line="176" w:lineRule="exact"/>
              <w:rPr>
                <w:sz w:val="20"/>
                <w:szCs w:val="20"/>
                <w:color w:val="auto"/>
              </w:rPr>
            </w:pPr>
            <w:r>
              <w:rPr>
                <w:rFonts w:ascii="Arial" w:cs="Arial" w:eastAsia="Arial" w:hAnsi="Arial"/>
                <w:sz w:val="19"/>
                <w:szCs w:val="19"/>
                <w:color w:val="auto"/>
              </w:rPr>
              <w:t>Notices of Material Events</w:t>
            </w:r>
          </w:p>
        </w:tc>
        <w:tc>
          <w:tcPr>
            <w:tcW w:w="180" w:type="dxa"/>
            <w:vAlign w:val="bottom"/>
            <w:tcBorders>
              <w:top w:val="single" w:sz="8" w:color="auto"/>
            </w:tcBorders>
            <w:gridSpan w:val="2"/>
          </w:tcPr>
          <w:p>
            <w:pPr>
              <w:spacing w:after="0"/>
              <w:rPr>
                <w:sz w:val="15"/>
                <w:szCs w:val="15"/>
                <w:color w:val="auto"/>
              </w:rPr>
            </w:pPr>
          </w:p>
        </w:tc>
        <w:tc>
          <w:tcPr>
            <w:tcW w:w="280" w:type="dxa"/>
            <w:vAlign w:val="bottom"/>
            <w:tcBorders>
              <w:top w:val="single" w:sz="8" w:color="auto"/>
              <w:right w:val="single" w:sz="8" w:color="DDDDDD"/>
            </w:tcBorders>
          </w:tcPr>
          <w:p>
            <w:pPr>
              <w:jc w:val="right"/>
              <w:spacing w:after="0" w:line="176" w:lineRule="exact"/>
              <w:rPr>
                <w:sz w:val="20"/>
                <w:szCs w:val="20"/>
                <w:color w:val="auto"/>
              </w:rPr>
            </w:pPr>
            <w:r>
              <w:rPr>
                <w:rFonts w:ascii="Arial" w:cs="Arial" w:eastAsia="Arial" w:hAnsi="Arial"/>
                <w:sz w:val="19"/>
                <w:szCs w:val="19"/>
                <w:color w:val="FF0000"/>
                <w:strike w:val="1"/>
              </w:rPr>
              <w:t>98</w:t>
            </w:r>
          </w:p>
        </w:tc>
        <w:tc>
          <w:tcPr>
            <w:tcW w:w="180" w:type="dxa"/>
            <w:vAlign w:val="bottom"/>
            <w:tcBorders>
              <w:top w:val="single" w:sz="8" w:color="auto"/>
            </w:tcBorders>
            <w:gridSpan w:val="2"/>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75"/>
              </w:rPr>
              <w:t>95</w:t>
            </w: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line="216" w:lineRule="exact"/>
              <w:rPr>
                <w:sz w:val="20"/>
                <w:szCs w:val="20"/>
                <w:color w:val="auto"/>
              </w:rPr>
            </w:pPr>
            <w:r>
              <w:rPr>
                <w:rFonts w:ascii="Arial" w:cs="Arial" w:eastAsia="Arial" w:hAnsi="Arial"/>
                <w:sz w:val="22"/>
                <w:szCs w:val="22"/>
                <w:color w:val="auto"/>
                <w:w w:val="85"/>
              </w:rPr>
              <w:t>Section 5.3</w:t>
            </w: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tcBorders>
              <w:bottom w:val="single" w:sz="8" w:color="DDDDDD"/>
            </w:tcBorders>
            <w:shd w:val="clear" w:color="auto" w:fill="0000FF"/>
          </w:tcPr>
          <w:p>
            <w:pPr>
              <w:spacing w:after="0" w:line="20" w:lineRule="exact"/>
              <w:rPr>
                <w:sz w:val="1"/>
                <w:szCs w:val="1"/>
                <w:color w:val="auto"/>
              </w:rPr>
            </w:pPr>
          </w:p>
        </w:tc>
        <w:tc>
          <w:tcPr>
            <w:tcW w:w="100" w:type="dxa"/>
            <w:vAlign w:val="bottom"/>
            <w:tcBorders>
              <w:bottom w:val="single" w:sz="8" w:color="DDDDDD"/>
            </w:tcBorders>
            <w:shd w:val="clear" w:color="auto" w:fill="0000FF"/>
          </w:tcPr>
          <w:p>
            <w:pPr>
              <w:spacing w:after="0" w:line="20" w:lineRule="exact"/>
              <w:rPr>
                <w:sz w:val="1"/>
                <w:szCs w:val="1"/>
                <w:color w:val="auto"/>
              </w:rPr>
            </w:pPr>
          </w:p>
        </w:tc>
        <w:tc>
          <w:tcPr>
            <w:tcW w:w="200" w:type="dxa"/>
            <w:vAlign w:val="bottom"/>
            <w:gridSpan w:val="3"/>
            <w:vMerge w:val="restart"/>
          </w:tcPr>
          <w:p>
            <w:pPr>
              <w:jc w:val="right"/>
              <w:spacing w:after="0" w:line="216" w:lineRule="exact"/>
              <w:rPr>
                <w:sz w:val="20"/>
                <w:szCs w:val="20"/>
                <w:color w:val="auto"/>
              </w:rPr>
            </w:pPr>
            <w:r>
              <w:rPr>
                <w:rFonts w:ascii="Arial" w:cs="Arial" w:eastAsia="Arial" w:hAnsi="Arial"/>
                <w:sz w:val="22"/>
                <w:szCs w:val="22"/>
                <w:color w:val="FF0000"/>
                <w:strike w:val="1"/>
                <w:w w:val="73"/>
              </w:rPr>
              <w:t>98</w:t>
            </w:r>
          </w:p>
        </w:tc>
        <w:tc>
          <w:tcPr>
            <w:tcW w:w="60" w:type="dxa"/>
            <w:vAlign w:val="bottom"/>
            <w:tcBorders>
              <w:bottom w:val="single" w:sz="8" w:color="DDDDDD"/>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vMerge w:val="continue"/>
          </w:tcPr>
          <w:p>
            <w:pPr>
              <w:spacing w:after="0"/>
              <w:rPr>
                <w:sz w:val="17"/>
                <w:szCs w:val="17"/>
                <w:color w:val="auto"/>
              </w:rPr>
            </w:pPr>
          </w:p>
        </w:tc>
        <w:tc>
          <w:tcPr>
            <w:tcW w:w="2860" w:type="dxa"/>
            <w:vAlign w:val="bottom"/>
            <w:gridSpan w:val="15"/>
          </w:tcPr>
          <w:p>
            <w:pPr>
              <w:ind w:left="60"/>
              <w:spacing w:after="0" w:line="176" w:lineRule="exact"/>
              <w:rPr>
                <w:sz w:val="20"/>
                <w:szCs w:val="20"/>
                <w:color w:val="auto"/>
              </w:rPr>
            </w:pPr>
            <w:r>
              <w:rPr>
                <w:rFonts w:ascii="Arial" w:cs="Arial" w:eastAsia="Arial" w:hAnsi="Arial"/>
                <w:sz w:val="19"/>
                <w:szCs w:val="19"/>
                <w:color w:val="auto"/>
              </w:rPr>
              <w:t>Existence; Conduct of Business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gridSpan w:val="3"/>
            <w:vMerge w:val="continue"/>
          </w:tcPr>
          <w:p>
            <w:pPr>
              <w:spacing w:after="0"/>
              <w:rPr>
                <w:sz w:val="17"/>
                <w:szCs w:val="17"/>
                <w:color w:val="auto"/>
              </w:rPr>
            </w:pPr>
          </w:p>
        </w:tc>
        <w:tc>
          <w:tcPr>
            <w:tcW w:w="220" w:type="dxa"/>
            <w:vAlign w:val="bottom"/>
            <w:gridSpan w:val="3"/>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94"/>
              </w:rPr>
              <w:t>96</w:t>
            </w:r>
          </w:p>
        </w:tc>
        <w:tc>
          <w:tcPr>
            <w:tcW w:w="6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line="176" w:lineRule="exact"/>
              <w:rPr>
                <w:sz w:val="20"/>
                <w:szCs w:val="20"/>
                <w:color w:val="auto"/>
              </w:rPr>
            </w:pPr>
            <w:r>
              <w:rPr>
                <w:rFonts w:ascii="Arial" w:cs="Arial" w:eastAsia="Arial" w:hAnsi="Arial"/>
                <w:sz w:val="19"/>
                <w:szCs w:val="19"/>
                <w:color w:val="auto"/>
                <w:w w:val="98"/>
              </w:rPr>
              <w:t>Section 5.4</w:t>
            </w:r>
          </w:p>
        </w:tc>
        <w:tc>
          <w:tcPr>
            <w:tcW w:w="1600" w:type="dxa"/>
            <w:vAlign w:val="bottom"/>
            <w:tcBorders>
              <w:top w:val="single" w:sz="8" w:color="auto"/>
              <w:bottom w:val="single" w:sz="8" w:color="auto"/>
            </w:tcBorders>
            <w:gridSpan w:val="5"/>
          </w:tcPr>
          <w:p>
            <w:pPr>
              <w:ind w:left="60"/>
              <w:spacing w:after="0" w:line="176" w:lineRule="exact"/>
              <w:rPr>
                <w:sz w:val="20"/>
                <w:szCs w:val="20"/>
                <w:color w:val="auto"/>
              </w:rPr>
            </w:pPr>
            <w:r>
              <w:rPr>
                <w:rFonts w:ascii="Arial" w:cs="Arial" w:eastAsia="Arial" w:hAnsi="Arial"/>
                <w:sz w:val="19"/>
                <w:szCs w:val="19"/>
                <w:color w:val="auto"/>
                <w:w w:val="99"/>
              </w:rPr>
              <w:t>Payment of Taxes</w:t>
            </w:r>
          </w:p>
        </w:tc>
        <w:tc>
          <w:tcPr>
            <w:tcW w:w="440" w:type="dxa"/>
            <w:vAlign w:val="bottom"/>
            <w:tcBorders>
              <w:top w:val="single" w:sz="8" w:color="auto"/>
            </w:tcBorders>
            <w:gridSpan w:val="4"/>
          </w:tcPr>
          <w:p>
            <w:pPr>
              <w:jc w:val="right"/>
              <w:spacing w:after="0" w:line="176" w:lineRule="exact"/>
              <w:rPr>
                <w:sz w:val="20"/>
                <w:szCs w:val="20"/>
                <w:color w:val="auto"/>
              </w:rPr>
            </w:pPr>
            <w:r>
              <w:rPr>
                <w:rFonts w:ascii="Arial" w:cs="Arial" w:eastAsia="Arial" w:hAnsi="Arial"/>
                <w:sz w:val="19"/>
                <w:szCs w:val="19"/>
                <w:color w:val="FF0000"/>
                <w:strike w:val="1"/>
              </w:rPr>
              <w:t>98</w:t>
            </w:r>
          </w:p>
        </w:tc>
        <w:tc>
          <w:tcPr>
            <w:tcW w:w="180" w:type="dxa"/>
            <w:vAlign w:val="bottom"/>
            <w:tcBorders>
              <w:top w:val="single" w:sz="8" w:color="auto"/>
              <w:bottom w:val="single" w:sz="8" w:color="0000FF"/>
            </w:tcBorders>
            <w:shd w:val="clear" w:color="auto" w:fill="DDDDDD"/>
          </w:tcPr>
          <w:p>
            <w:pPr>
              <w:spacing w:after="0" w:line="176" w:lineRule="exact"/>
              <w:rPr>
                <w:sz w:val="20"/>
                <w:szCs w:val="20"/>
                <w:color w:val="auto"/>
              </w:rPr>
            </w:pPr>
            <w:r>
              <w:rPr>
                <w:rFonts w:ascii="Arial" w:cs="Arial" w:eastAsia="Arial" w:hAnsi="Arial"/>
                <w:sz w:val="17"/>
                <w:szCs w:val="17"/>
                <w:color w:val="0000FF"/>
                <w:highlight w:val="lightGray"/>
                <w:w w:val="73"/>
              </w:rPr>
              <w:t>96</w:t>
            </w:r>
          </w:p>
        </w:tc>
        <w:tc>
          <w:tcPr>
            <w:tcW w:w="40" w:type="dxa"/>
            <w:vAlign w:val="bottom"/>
            <w:tcBorders>
              <w:top w:val="single" w:sz="8" w:color="auto"/>
              <w:left w:val="single" w:sz="8" w:color="DDDDDD"/>
              <w:bottom w:val="single" w:sz="8" w:color="0000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line="195" w:lineRule="exact"/>
              <w:rPr>
                <w:sz w:val="20"/>
                <w:szCs w:val="20"/>
                <w:color w:val="auto"/>
              </w:rPr>
            </w:pPr>
            <w:r>
              <w:rPr>
                <w:rFonts w:ascii="Arial" w:cs="Arial" w:eastAsia="Arial" w:hAnsi="Arial"/>
                <w:sz w:val="22"/>
                <w:szCs w:val="22"/>
                <w:color w:val="auto"/>
                <w:w w:val="85"/>
              </w:rPr>
              <w:t>Section 5.5</w:t>
            </w:r>
          </w:p>
        </w:tc>
        <w:tc>
          <w:tcPr>
            <w:tcW w:w="1600" w:type="dxa"/>
            <w:vAlign w:val="bottom"/>
            <w:gridSpan w:val="5"/>
            <w:vMerge w:val="restart"/>
          </w:tcPr>
          <w:p>
            <w:pPr>
              <w:ind w:left="60"/>
              <w:spacing w:after="0" w:line="195" w:lineRule="exact"/>
              <w:rPr>
                <w:sz w:val="20"/>
                <w:szCs w:val="20"/>
                <w:color w:val="auto"/>
              </w:rPr>
            </w:pPr>
            <w:r>
              <w:rPr>
                <w:rFonts w:ascii="Arial" w:cs="Arial" w:eastAsia="Arial" w:hAnsi="Arial"/>
                <w:sz w:val="22"/>
                <w:szCs w:val="22"/>
                <w:color w:val="auto"/>
              </w:rPr>
              <w:t>Maintenance of</w:t>
            </w: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DDDDDD"/>
          </w:tcPr>
          <w:p>
            <w:pPr>
              <w:spacing w:after="0" w:line="20" w:lineRule="exact"/>
              <w:rPr>
                <w:sz w:val="1"/>
                <w:szCs w:val="1"/>
                <w:color w:val="auto"/>
              </w:rPr>
            </w:pPr>
          </w:p>
        </w:tc>
        <w:tc>
          <w:tcPr>
            <w:tcW w:w="40" w:type="dxa"/>
            <w:vAlign w:val="bottom"/>
            <w:tcBorders>
              <w:left w:val="single" w:sz="8" w:color="DDDDDD"/>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140" w:type="dxa"/>
            <w:vAlign w:val="bottom"/>
            <w:tcBorders>
              <w:right w:val="single" w:sz="8" w:color="DDDDDD"/>
            </w:tcBorders>
            <w:shd w:val="clear" w:color="auto" w:fill="DDDDD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vMerge w:val="continue"/>
          </w:tcPr>
          <w:p>
            <w:pPr>
              <w:spacing w:after="0"/>
              <w:rPr>
                <w:sz w:val="17"/>
                <w:szCs w:val="17"/>
                <w:color w:val="auto"/>
              </w:rPr>
            </w:pPr>
          </w:p>
        </w:tc>
        <w:tc>
          <w:tcPr>
            <w:tcW w:w="1600" w:type="dxa"/>
            <w:vAlign w:val="bottom"/>
            <w:tcBorders>
              <w:bottom w:val="single" w:sz="8" w:color="auto"/>
            </w:tcBorders>
            <w:gridSpan w:val="5"/>
            <w:vMerge w:val="continue"/>
          </w:tcPr>
          <w:p>
            <w:pPr>
              <w:spacing w:after="0"/>
              <w:rPr>
                <w:sz w:val="17"/>
                <w:szCs w:val="17"/>
                <w:color w:val="auto"/>
              </w:rPr>
            </w:pPr>
          </w:p>
        </w:tc>
        <w:tc>
          <w:tcPr>
            <w:tcW w:w="620" w:type="dxa"/>
            <w:vAlign w:val="bottom"/>
            <w:tcBorders>
              <w:bottom w:val="single" w:sz="8" w:color="auto"/>
            </w:tcBorders>
            <w:gridSpan w:val="5"/>
          </w:tcPr>
          <w:p>
            <w:pPr>
              <w:jc w:val="center"/>
              <w:spacing w:after="0" w:line="176" w:lineRule="exact"/>
              <w:rPr>
                <w:sz w:val="20"/>
                <w:szCs w:val="20"/>
                <w:color w:val="auto"/>
              </w:rPr>
            </w:pPr>
            <w:r>
              <w:rPr>
                <w:rFonts w:ascii="Arial" w:cs="Arial" w:eastAsia="Arial" w:hAnsi="Arial"/>
                <w:sz w:val="18"/>
                <w:szCs w:val="18"/>
                <w:color w:val="auto"/>
                <w:w w:val="73"/>
              </w:rPr>
              <w:t>Properties;</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9"/>
          </w:tcPr>
          <w:p>
            <w:pPr>
              <w:ind w:left="60"/>
              <w:spacing w:after="0" w:line="176" w:lineRule="exact"/>
              <w:rPr>
                <w:sz w:val="20"/>
                <w:szCs w:val="20"/>
                <w:color w:val="auto"/>
              </w:rPr>
            </w:pPr>
            <w:r>
              <w:rPr>
                <w:rFonts w:ascii="Arial" w:cs="Arial" w:eastAsia="Arial" w:hAnsi="Arial"/>
                <w:sz w:val="19"/>
                <w:szCs w:val="19"/>
                <w:color w:val="auto"/>
                <w:w w:val="98"/>
              </w:rPr>
              <w:t>Insurance</w:t>
            </w:r>
          </w:p>
        </w:tc>
        <w:tc>
          <w:tcPr>
            <w:tcW w:w="220" w:type="dxa"/>
            <w:vAlign w:val="bottom"/>
            <w:gridSpan w:val="3"/>
          </w:tcPr>
          <w:p>
            <w:pPr>
              <w:spacing w:after="0"/>
              <w:rPr>
                <w:sz w:val="17"/>
                <w:szCs w:val="17"/>
                <w:color w:val="auto"/>
              </w:rPr>
            </w:pPr>
          </w:p>
        </w:tc>
        <w:tc>
          <w:tcPr>
            <w:tcW w:w="200" w:type="dxa"/>
            <w:vAlign w:val="bottom"/>
            <w:gridSpan w:val="2"/>
          </w:tcPr>
          <w:p>
            <w:pPr>
              <w:jc w:val="right"/>
              <w:spacing w:after="0" w:line="176" w:lineRule="exact"/>
              <w:rPr>
                <w:sz w:val="20"/>
                <w:szCs w:val="20"/>
                <w:color w:val="auto"/>
              </w:rPr>
            </w:pPr>
            <w:r>
              <w:rPr>
                <w:rFonts w:ascii="Arial" w:cs="Arial" w:eastAsia="Arial" w:hAnsi="Arial"/>
                <w:sz w:val="19"/>
                <w:szCs w:val="19"/>
                <w:color w:val="FF0000"/>
                <w:strike w:val="1"/>
                <w:w w:val="84"/>
              </w:rPr>
              <w:t>99</w:t>
            </w:r>
          </w:p>
        </w:tc>
        <w:tc>
          <w:tcPr>
            <w:tcW w:w="220" w:type="dxa"/>
            <w:vAlign w:val="bottom"/>
            <w:tcBorders>
              <w:bottom w:val="single" w:sz="8" w:color="0000FF"/>
              <w:right w:val="single" w:sz="8" w:color="DDDDDD"/>
            </w:tcBorders>
            <w:gridSpan w:val="2"/>
            <w:shd w:val="clear" w:color="auto" w:fill="DDDDDD"/>
          </w:tcPr>
          <w:p>
            <w:pPr>
              <w:spacing w:after="0" w:line="176" w:lineRule="exact"/>
              <w:rPr>
                <w:sz w:val="20"/>
                <w:szCs w:val="20"/>
                <w:color w:val="auto"/>
              </w:rPr>
            </w:pPr>
            <w:r>
              <w:rPr>
                <w:rFonts w:ascii="Arial" w:cs="Arial" w:eastAsia="Arial" w:hAnsi="Arial"/>
                <w:sz w:val="19"/>
                <w:szCs w:val="19"/>
                <w:color w:val="0000FF"/>
                <w:highlight w:val="lightGray"/>
                <w:w w:val="84"/>
              </w:rPr>
              <w:t>96</w:t>
            </w:r>
          </w:p>
        </w:tc>
        <w:tc>
          <w:tcPr>
            <w:tcW w:w="80" w:type="dxa"/>
            <w:vAlign w:val="bottom"/>
            <w:tcBorders>
              <w:bottom w:val="single" w:sz="8" w:color="DDDDDD"/>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line="176" w:lineRule="exact"/>
              <w:rPr>
                <w:sz w:val="20"/>
                <w:szCs w:val="20"/>
                <w:color w:val="auto"/>
              </w:rPr>
            </w:pPr>
            <w:r>
              <w:rPr>
                <w:rFonts w:ascii="Arial" w:cs="Arial" w:eastAsia="Arial" w:hAnsi="Arial"/>
                <w:sz w:val="19"/>
                <w:szCs w:val="19"/>
                <w:color w:val="auto"/>
                <w:w w:val="98"/>
              </w:rPr>
              <w:t>Section 5.6</w:t>
            </w:r>
          </w:p>
        </w:tc>
        <w:tc>
          <w:tcPr>
            <w:tcW w:w="2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20"/>
          </w:tcPr>
          <w:p>
            <w:pPr>
              <w:ind w:left="40"/>
              <w:spacing w:after="0" w:line="176" w:lineRule="exact"/>
              <w:rPr>
                <w:sz w:val="20"/>
                <w:szCs w:val="20"/>
                <w:color w:val="auto"/>
              </w:rPr>
            </w:pPr>
            <w:r>
              <w:rPr>
                <w:rFonts w:ascii="Arial" w:cs="Arial" w:eastAsia="Arial" w:hAnsi="Arial"/>
                <w:sz w:val="19"/>
                <w:szCs w:val="19"/>
                <w:color w:val="auto"/>
                <w:w w:val="99"/>
              </w:rPr>
              <w:t>Books and Records; Inspection Rights</w:t>
            </w:r>
          </w:p>
        </w:tc>
        <w:tc>
          <w:tcPr>
            <w:tcW w:w="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gridSpan w:val="2"/>
          </w:tcPr>
          <w:p>
            <w:pPr>
              <w:jc w:val="right"/>
              <w:spacing w:after="0" w:line="176" w:lineRule="exact"/>
              <w:rPr>
                <w:sz w:val="20"/>
                <w:szCs w:val="20"/>
                <w:color w:val="auto"/>
              </w:rPr>
            </w:pPr>
            <w:r>
              <w:rPr>
                <w:rFonts w:ascii="Arial" w:cs="Arial" w:eastAsia="Arial" w:hAnsi="Arial"/>
                <w:sz w:val="19"/>
                <w:szCs w:val="19"/>
                <w:color w:val="FF0000"/>
                <w:strike w:val="1"/>
                <w:w w:val="94"/>
              </w:rPr>
              <w:t>99</w:t>
            </w:r>
          </w:p>
        </w:tc>
        <w:tc>
          <w:tcPr>
            <w:tcW w:w="220" w:type="dxa"/>
            <w:vAlign w:val="bottom"/>
            <w:tcBorders>
              <w:bottom w:val="single" w:sz="8" w:color="0000FF"/>
            </w:tcBorders>
            <w:gridSpan w:val="2"/>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94"/>
              </w:rPr>
              <w:t>97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line="176" w:lineRule="exact"/>
              <w:rPr>
                <w:sz w:val="20"/>
                <w:szCs w:val="20"/>
                <w:color w:val="auto"/>
              </w:rPr>
            </w:pPr>
            <w:r>
              <w:rPr>
                <w:rFonts w:ascii="Arial" w:cs="Arial" w:eastAsia="Arial" w:hAnsi="Arial"/>
                <w:sz w:val="19"/>
                <w:szCs w:val="19"/>
                <w:color w:val="auto"/>
                <w:w w:val="98"/>
              </w:rPr>
              <w:t>Section 5.7</w:t>
            </w:r>
          </w:p>
        </w:tc>
        <w:tc>
          <w:tcPr>
            <w:tcW w:w="20" w:type="dxa"/>
            <w:vAlign w:val="bottom"/>
          </w:tcPr>
          <w:p>
            <w:pPr>
              <w:spacing w:after="0"/>
              <w:rPr>
                <w:sz w:val="15"/>
                <w:szCs w:val="15"/>
                <w:color w:val="auto"/>
              </w:rPr>
            </w:pPr>
          </w:p>
        </w:tc>
        <w:tc>
          <w:tcPr>
            <w:tcW w:w="2560" w:type="dxa"/>
            <w:vAlign w:val="bottom"/>
            <w:gridSpan w:val="13"/>
          </w:tcPr>
          <w:p>
            <w:pPr>
              <w:ind w:left="40"/>
              <w:spacing w:after="0" w:line="176" w:lineRule="exact"/>
              <w:rPr>
                <w:sz w:val="20"/>
                <w:szCs w:val="20"/>
                <w:color w:val="auto"/>
              </w:rPr>
            </w:pPr>
            <w:r>
              <w:rPr>
                <w:rFonts w:ascii="Arial" w:cs="Arial" w:eastAsia="Arial" w:hAnsi="Arial"/>
                <w:sz w:val="19"/>
                <w:szCs w:val="19"/>
                <w:color w:val="auto"/>
              </w:rPr>
              <w:t>ERISA-Related Information</w:t>
            </w:r>
          </w:p>
        </w:tc>
        <w:tc>
          <w:tcPr>
            <w:tcW w:w="360" w:type="dxa"/>
            <w:vAlign w:val="bottom"/>
            <w:gridSpan w:val="2"/>
          </w:tcPr>
          <w:p>
            <w:pPr>
              <w:jc w:val="right"/>
              <w:spacing w:after="0" w:line="176" w:lineRule="exact"/>
              <w:rPr>
                <w:sz w:val="20"/>
                <w:szCs w:val="20"/>
                <w:color w:val="auto"/>
              </w:rPr>
            </w:pPr>
            <w:r>
              <w:rPr>
                <w:rFonts w:ascii="Arial" w:cs="Arial" w:eastAsia="Arial" w:hAnsi="Arial"/>
                <w:sz w:val="19"/>
                <w:szCs w:val="19"/>
                <w:color w:val="FF0000"/>
                <w:strike w:val="1"/>
              </w:rPr>
              <w:t>99</w:t>
            </w:r>
          </w:p>
        </w:tc>
        <w:tc>
          <w:tcPr>
            <w:tcW w:w="220" w:type="dxa"/>
            <w:vAlign w:val="bottom"/>
            <w:tcBorders>
              <w:top w:val="single" w:sz="8" w:color="DDDDDD"/>
            </w:tcBorders>
            <w:gridSpan w:val="2"/>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94"/>
              </w:rPr>
              <w:t>97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DDDDDD"/>
            </w:tcBorders>
          </w:tcPr>
          <w:p>
            <w:pPr>
              <w:spacing w:after="0"/>
              <w:rPr>
                <w:sz w:val="15"/>
                <w:szCs w:val="15"/>
                <w:color w:val="auto"/>
              </w:rPr>
            </w:pPr>
          </w:p>
        </w:tc>
        <w:tc>
          <w:tcPr>
            <w:tcW w:w="80" w:type="dxa"/>
            <w:vAlign w:val="bottom"/>
            <w:tcBorders>
              <w:top w:val="single" w:sz="8" w:color="DDDDDD"/>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line="195" w:lineRule="exact"/>
              <w:rPr>
                <w:sz w:val="20"/>
                <w:szCs w:val="20"/>
                <w:color w:val="auto"/>
              </w:rPr>
            </w:pPr>
            <w:r>
              <w:rPr>
                <w:rFonts w:ascii="Arial" w:cs="Arial" w:eastAsia="Arial" w:hAnsi="Arial"/>
                <w:sz w:val="22"/>
                <w:szCs w:val="22"/>
                <w:color w:val="auto"/>
                <w:w w:val="85"/>
              </w:rPr>
              <w:t>Section 5.8</w:t>
            </w:r>
          </w:p>
        </w:tc>
        <w:tc>
          <w:tcPr>
            <w:tcW w:w="20" w:type="dxa"/>
            <w:vAlign w:val="bottom"/>
            <w:tcBorders>
              <w:top w:val="single" w:sz="8" w:color="auto"/>
            </w:tcBorders>
          </w:tcPr>
          <w:p>
            <w:pPr>
              <w:spacing w:after="0" w:line="20" w:lineRule="exact"/>
              <w:rPr>
                <w:sz w:val="1"/>
                <w:szCs w:val="1"/>
                <w:color w:val="auto"/>
              </w:rPr>
            </w:pPr>
          </w:p>
        </w:tc>
        <w:tc>
          <w:tcPr>
            <w:tcW w:w="2480" w:type="dxa"/>
            <w:vAlign w:val="bottom"/>
            <w:tcBorders>
              <w:top w:val="single" w:sz="8" w:color="auto"/>
            </w:tcBorders>
            <w:gridSpan w:val="12"/>
            <w:vMerge w:val="restart"/>
          </w:tcPr>
          <w:p>
            <w:pPr>
              <w:ind w:left="40"/>
              <w:spacing w:after="0" w:line="195" w:lineRule="exact"/>
              <w:rPr>
                <w:sz w:val="20"/>
                <w:szCs w:val="20"/>
                <w:color w:val="auto"/>
              </w:rPr>
            </w:pPr>
            <w:r>
              <w:rPr>
                <w:rFonts w:ascii="Arial" w:cs="Arial" w:eastAsia="Arial" w:hAnsi="Arial"/>
                <w:sz w:val="22"/>
                <w:szCs w:val="22"/>
                <w:color w:val="auto"/>
                <w:w w:val="92"/>
              </w:rPr>
              <w:t>Compliance with Laws and</w:t>
            </w: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FF"/>
            </w:tcBorders>
            <w:gridSpan w:val="2"/>
            <w:shd w:val="clear" w:color="auto" w:fill="DDDDDD"/>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40" w:type="dxa"/>
            <w:vAlign w:val="bottom"/>
            <w:gridSpan w:val="4"/>
            <w:vMerge w:val="restart"/>
          </w:tcPr>
          <w:p>
            <w:pPr>
              <w:ind w:left="20"/>
              <w:spacing w:after="0" w:line="195" w:lineRule="exact"/>
              <w:rPr>
                <w:sz w:val="20"/>
                <w:szCs w:val="20"/>
                <w:color w:val="auto"/>
              </w:rPr>
            </w:pPr>
            <w:r>
              <w:rPr>
                <w:rFonts w:ascii="Arial" w:cs="Arial" w:eastAsia="Arial" w:hAnsi="Arial"/>
                <w:sz w:val="22"/>
                <w:szCs w:val="22"/>
                <w:color w:val="FF0000"/>
                <w:strike w:val="1"/>
                <w:w w:val="81"/>
              </w:rPr>
              <w:t>100</w:t>
            </w:r>
          </w:p>
        </w:tc>
        <w:tc>
          <w:tcPr>
            <w:tcW w:w="220" w:type="dxa"/>
            <w:vAlign w:val="bottom"/>
            <w:gridSpan w:val="2"/>
            <w:vMerge w:val="restart"/>
            <w:shd w:val="clear" w:color="auto" w:fill="DDDDDD"/>
          </w:tcPr>
          <w:p>
            <w:pPr>
              <w:jc w:val="right"/>
              <w:spacing w:after="0" w:line="195" w:lineRule="exact"/>
              <w:rPr>
                <w:sz w:val="20"/>
                <w:szCs w:val="20"/>
                <w:color w:val="auto"/>
              </w:rPr>
            </w:pPr>
            <w:r>
              <w:rPr>
                <w:rFonts w:ascii="Arial" w:cs="Arial" w:eastAsia="Arial" w:hAnsi="Arial"/>
                <w:sz w:val="22"/>
                <w:szCs w:val="22"/>
                <w:color w:val="0000FF"/>
                <w:highlight w:val="lightGray"/>
                <w:w w:val="81"/>
              </w:rPr>
              <w:t>98</w:t>
            </w: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gridSpan w:val="12"/>
            <w:vMerge w:val="continue"/>
          </w:tcPr>
          <w:p>
            <w:pPr>
              <w:spacing w:after="0"/>
              <w:rPr>
                <w:sz w:val="17"/>
                <w:szCs w:val="17"/>
                <w:color w:val="auto"/>
              </w:rPr>
            </w:pPr>
          </w:p>
        </w:tc>
        <w:tc>
          <w:tcPr>
            <w:tcW w:w="1080" w:type="dxa"/>
            <w:vAlign w:val="bottom"/>
            <w:gridSpan w:val="12"/>
          </w:tcPr>
          <w:p>
            <w:pPr>
              <w:spacing w:after="0" w:line="176" w:lineRule="exact"/>
              <w:rPr>
                <w:sz w:val="20"/>
                <w:szCs w:val="20"/>
                <w:color w:val="auto"/>
              </w:rPr>
            </w:pPr>
            <w:r>
              <w:rPr>
                <w:rFonts w:ascii="Arial" w:cs="Arial" w:eastAsia="Arial" w:hAnsi="Arial"/>
                <w:sz w:val="19"/>
                <w:szCs w:val="19"/>
                <w:color w:val="auto"/>
              </w:rPr>
              <w:t>Agreements</w:t>
            </w:r>
          </w:p>
        </w:tc>
        <w:tc>
          <w:tcPr>
            <w:tcW w:w="140" w:type="dxa"/>
            <w:vAlign w:val="bottom"/>
            <w:vMerge w:val="continue"/>
          </w:tcPr>
          <w:p>
            <w:pPr>
              <w:spacing w:after="0"/>
              <w:rPr>
                <w:sz w:val="17"/>
                <w:szCs w:val="17"/>
                <w:color w:val="auto"/>
              </w:rPr>
            </w:pPr>
          </w:p>
        </w:tc>
        <w:tc>
          <w:tcPr>
            <w:tcW w:w="340" w:type="dxa"/>
            <w:vAlign w:val="bottom"/>
            <w:gridSpan w:val="4"/>
            <w:vMerge w:val="continue"/>
          </w:tcPr>
          <w:p>
            <w:pPr>
              <w:spacing w:after="0"/>
              <w:rPr>
                <w:sz w:val="17"/>
                <w:szCs w:val="17"/>
                <w:color w:val="auto"/>
              </w:rPr>
            </w:pPr>
          </w:p>
        </w:tc>
        <w:tc>
          <w:tcPr>
            <w:tcW w:w="220" w:type="dxa"/>
            <w:vAlign w:val="bottom"/>
            <w:gridSpan w:val="2"/>
            <w:vMerge w:val="continue"/>
            <w:shd w:val="clear" w:color="auto" w:fill="DDDDDD"/>
          </w:tcPr>
          <w:p>
            <w:pPr>
              <w:spacing w:after="0"/>
              <w:rPr>
                <w:sz w:val="17"/>
                <w:szCs w:val="17"/>
                <w:color w:val="auto"/>
              </w:rPr>
            </w:pP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line="176" w:lineRule="exact"/>
              <w:rPr>
                <w:sz w:val="20"/>
                <w:szCs w:val="20"/>
                <w:color w:val="auto"/>
              </w:rPr>
            </w:pPr>
            <w:r>
              <w:rPr>
                <w:rFonts w:ascii="Arial" w:cs="Arial" w:eastAsia="Arial" w:hAnsi="Arial"/>
                <w:sz w:val="19"/>
                <w:szCs w:val="19"/>
                <w:color w:val="auto"/>
                <w:w w:val="98"/>
              </w:rPr>
              <w:t>Section 5.9</w:t>
            </w:r>
          </w:p>
        </w:tc>
        <w:tc>
          <w:tcPr>
            <w:tcW w:w="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4"/>
          </w:tcPr>
          <w:p>
            <w:pPr>
              <w:ind w:left="40"/>
              <w:spacing w:after="0" w:line="176" w:lineRule="exact"/>
              <w:rPr>
                <w:sz w:val="20"/>
                <w:szCs w:val="20"/>
                <w:color w:val="auto"/>
              </w:rPr>
            </w:pPr>
            <w:r>
              <w:rPr>
                <w:rFonts w:ascii="Arial" w:cs="Arial" w:eastAsia="Arial" w:hAnsi="Arial"/>
                <w:sz w:val="19"/>
                <w:szCs w:val="19"/>
                <w:color w:val="auto"/>
              </w:rPr>
              <w:t>Use of Proceeds</w:t>
            </w:r>
          </w:p>
        </w:tc>
        <w:tc>
          <w:tcPr>
            <w:tcW w:w="400" w:type="dxa"/>
            <w:vAlign w:val="bottom"/>
            <w:tcBorders>
              <w:top w:val="single" w:sz="8" w:color="auto"/>
            </w:tcBorders>
            <w:gridSpan w:val="2"/>
          </w:tcPr>
          <w:p>
            <w:pPr>
              <w:jc w:val="right"/>
              <w:spacing w:after="0" w:line="176" w:lineRule="exact"/>
              <w:rPr>
                <w:sz w:val="20"/>
                <w:szCs w:val="20"/>
                <w:color w:val="auto"/>
              </w:rPr>
            </w:pPr>
            <w:r>
              <w:rPr>
                <w:rFonts w:ascii="Arial" w:cs="Arial" w:eastAsia="Arial" w:hAnsi="Arial"/>
                <w:sz w:val="19"/>
                <w:szCs w:val="19"/>
                <w:color w:val="FF0000"/>
                <w:strike w:val="1"/>
              </w:rPr>
              <w:t>100</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gridSpan w:val="2"/>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84"/>
              </w:rPr>
              <w:t>98</w:t>
            </w: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Borders>
              <w:bottom w:val="single" w:sz="8" w:color="DDDDDD"/>
            </w:tcBorders>
            <w:shd w:val="clear" w:color="auto" w:fill="0000FF"/>
          </w:tcPr>
          <w:p>
            <w:pPr>
              <w:spacing w:after="0" w:line="20" w:lineRule="exact"/>
              <w:rPr>
                <w:sz w:val="1"/>
                <w:szCs w:val="1"/>
                <w:color w:val="auto"/>
              </w:rPr>
            </w:pPr>
          </w:p>
        </w:tc>
        <w:tc>
          <w:tcPr>
            <w:tcW w:w="180" w:type="dxa"/>
            <w:vAlign w:val="bottom"/>
            <w:tcBorders>
              <w:bottom w:val="single" w:sz="8" w:color="DDDDDD"/>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1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DDDDDD"/>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gridSpan w:val="9"/>
          </w:tcPr>
          <w:p>
            <w:pPr>
              <w:spacing w:after="0" w:line="176" w:lineRule="exact"/>
              <w:rPr>
                <w:sz w:val="20"/>
                <w:szCs w:val="20"/>
                <w:color w:val="auto"/>
              </w:rPr>
            </w:pPr>
            <w:r>
              <w:rPr>
                <w:rFonts w:ascii="Arial" w:cs="Arial" w:eastAsia="Arial" w:hAnsi="Arial"/>
                <w:sz w:val="19"/>
                <w:szCs w:val="19"/>
                <w:color w:val="auto"/>
                <w:w w:val="98"/>
              </w:rPr>
              <w:t>Section 5.10 Additional Guarantors;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gridSpan w:val="24"/>
          </w:tcPr>
          <w:p>
            <w:pPr>
              <w:spacing w:after="0" w:line="176" w:lineRule="exact"/>
              <w:rPr>
                <w:sz w:val="20"/>
                <w:szCs w:val="20"/>
                <w:color w:val="auto"/>
              </w:rPr>
            </w:pPr>
            <w:r>
              <w:rPr>
                <w:rFonts w:ascii="Arial" w:cs="Arial" w:eastAsia="Arial" w:hAnsi="Arial"/>
                <w:sz w:val="19"/>
                <w:szCs w:val="19"/>
                <w:color w:val="auto"/>
              </w:rPr>
              <w:t>Material IP Subsidiaries</w:t>
            </w:r>
          </w:p>
        </w:tc>
        <w:tc>
          <w:tcPr>
            <w:tcW w:w="320" w:type="dxa"/>
            <w:vAlign w:val="bottom"/>
            <w:gridSpan w:val="2"/>
          </w:tcPr>
          <w:p>
            <w:pPr>
              <w:jc w:val="right"/>
              <w:spacing w:after="0" w:line="176" w:lineRule="exact"/>
              <w:rPr>
                <w:sz w:val="20"/>
                <w:szCs w:val="20"/>
                <w:color w:val="auto"/>
              </w:rPr>
            </w:pPr>
            <w:r>
              <w:rPr>
                <w:rFonts w:ascii="Arial" w:cs="Arial" w:eastAsia="Arial" w:hAnsi="Arial"/>
                <w:sz w:val="19"/>
                <w:szCs w:val="19"/>
                <w:color w:val="FF0000"/>
                <w:strike w:val="1"/>
                <w:w w:val="94"/>
              </w:rPr>
              <w:t>101</w:t>
            </w:r>
          </w:p>
        </w:tc>
        <w:tc>
          <w:tcPr>
            <w:tcW w:w="220" w:type="dxa"/>
            <w:vAlign w:val="bottom"/>
            <w:gridSpan w:val="2"/>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94"/>
              </w:rPr>
              <w:t>98</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80" w:type="dxa"/>
            <w:vAlign w:val="bottom"/>
            <w:gridSpan w:val="4"/>
          </w:tcPr>
          <w:p>
            <w:pPr>
              <w:spacing w:after="0" w:line="176" w:lineRule="exact"/>
              <w:rPr>
                <w:sz w:val="20"/>
                <w:szCs w:val="20"/>
                <w:color w:val="auto"/>
              </w:rPr>
            </w:pPr>
            <w:r>
              <w:rPr>
                <w:rFonts w:ascii="Arial" w:cs="Arial" w:eastAsia="Arial" w:hAnsi="Arial"/>
                <w:sz w:val="19"/>
                <w:szCs w:val="19"/>
                <w:color w:val="auto"/>
              </w:rPr>
              <w:t>Section 5.11</w:t>
            </w:r>
          </w:p>
        </w:tc>
        <w:tc>
          <w:tcPr>
            <w:tcW w:w="1920" w:type="dxa"/>
            <w:vAlign w:val="bottom"/>
            <w:tcBorders>
              <w:top w:val="single" w:sz="8" w:color="auto"/>
            </w:tcBorders>
            <w:gridSpan w:val="6"/>
          </w:tcPr>
          <w:p>
            <w:pPr>
              <w:ind w:left="40"/>
              <w:spacing w:after="0" w:line="176" w:lineRule="exact"/>
              <w:rPr>
                <w:sz w:val="20"/>
                <w:szCs w:val="20"/>
                <w:color w:val="auto"/>
              </w:rPr>
            </w:pPr>
            <w:r>
              <w:rPr>
                <w:rFonts w:ascii="Arial" w:cs="Arial" w:eastAsia="Arial" w:hAnsi="Arial"/>
                <w:sz w:val="19"/>
                <w:szCs w:val="19"/>
                <w:color w:val="auto"/>
              </w:rPr>
              <w:t>Further Assurances</w:t>
            </w:r>
          </w:p>
        </w:tc>
        <w:tc>
          <w:tcPr>
            <w:tcW w:w="360" w:type="dxa"/>
            <w:vAlign w:val="bottom"/>
            <w:tcBorders>
              <w:top w:val="single" w:sz="8" w:color="auto"/>
              <w:right w:val="single" w:sz="8" w:color="DDDDDD"/>
            </w:tcBorders>
            <w:gridSpan w:val="3"/>
          </w:tcPr>
          <w:p>
            <w:pPr>
              <w:spacing w:after="0" w:line="176" w:lineRule="exact"/>
              <w:rPr>
                <w:sz w:val="20"/>
                <w:szCs w:val="20"/>
                <w:color w:val="auto"/>
              </w:rPr>
            </w:pPr>
            <w:r>
              <w:rPr>
                <w:rFonts w:ascii="Arial" w:cs="Arial" w:eastAsia="Arial" w:hAnsi="Arial"/>
                <w:sz w:val="19"/>
                <w:szCs w:val="19"/>
                <w:color w:val="FF0000"/>
                <w:strike w:val="1"/>
              </w:rPr>
              <w:t>101</w:t>
            </w:r>
          </w:p>
        </w:tc>
        <w:tc>
          <w:tcPr>
            <w:tcW w:w="180" w:type="dxa"/>
            <w:vAlign w:val="bottom"/>
            <w:tcBorders>
              <w:top w:val="single" w:sz="8" w:color="auto"/>
              <w:right w:val="single" w:sz="8" w:color="DDDDDD"/>
            </w:tcBorders>
            <w:gridSpan w:val="2"/>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75"/>
              </w:rPr>
              <w:t>99</w:t>
            </w:r>
          </w:p>
        </w:tc>
        <w:tc>
          <w:tcPr>
            <w:tcW w:w="2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gridSpan w:val="3"/>
            <w:vMerge w:val="restart"/>
          </w:tcPr>
          <w:p>
            <w:pPr>
              <w:spacing w:after="0" w:line="216" w:lineRule="exact"/>
              <w:rPr>
                <w:sz w:val="20"/>
                <w:szCs w:val="20"/>
                <w:color w:val="auto"/>
              </w:rPr>
            </w:pPr>
            <w:r>
              <w:rPr>
                <w:rFonts w:ascii="Arial" w:cs="Arial" w:eastAsia="Arial" w:hAnsi="Arial"/>
                <w:sz w:val="22"/>
                <w:szCs w:val="22"/>
                <w:color w:val="auto"/>
                <w:w w:val="84"/>
              </w:rPr>
              <w:t>Section 5.12</w:t>
            </w:r>
          </w:p>
        </w:tc>
        <w:tc>
          <w:tcPr>
            <w:tcW w:w="1720" w:type="dxa"/>
            <w:vAlign w:val="bottom"/>
            <w:gridSpan w:val="4"/>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Borders>
              <w:right w:val="single" w:sz="8" w:color="0000FF"/>
            </w:tcBorders>
            <w:gridSpan w:val="3"/>
          </w:tcPr>
          <w:p>
            <w:pPr>
              <w:spacing w:after="0" w:line="20" w:lineRule="exact"/>
              <w:rPr>
                <w:sz w:val="1"/>
                <w:szCs w:val="1"/>
                <w:color w:val="auto"/>
              </w:rPr>
            </w:pPr>
          </w:p>
        </w:tc>
        <w:tc>
          <w:tcPr>
            <w:tcW w:w="180" w:type="dxa"/>
            <w:vAlign w:val="bottom"/>
            <w:tcBorders>
              <w:bottom w:val="single" w:sz="8" w:color="DDDDDD"/>
              <w:righ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1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DDDDDD"/>
            </w:tcBorders>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3"/>
            <w:vMerge w:val="continue"/>
          </w:tcPr>
          <w:p>
            <w:pPr>
              <w:spacing w:after="0"/>
              <w:rPr>
                <w:sz w:val="17"/>
                <w:szCs w:val="17"/>
                <w:color w:val="auto"/>
              </w:rPr>
            </w:pPr>
          </w:p>
        </w:tc>
        <w:tc>
          <w:tcPr>
            <w:tcW w:w="2300" w:type="dxa"/>
            <w:vAlign w:val="bottom"/>
            <w:gridSpan w:val="10"/>
          </w:tcPr>
          <w:p>
            <w:pPr>
              <w:ind w:left="80"/>
              <w:spacing w:after="0" w:line="176" w:lineRule="exact"/>
              <w:rPr>
                <w:sz w:val="20"/>
                <w:szCs w:val="20"/>
                <w:color w:val="auto"/>
              </w:rPr>
            </w:pPr>
            <w:r>
              <w:rPr>
                <w:rFonts w:ascii="Arial" w:cs="Arial" w:eastAsia="Arial" w:hAnsi="Arial"/>
                <w:sz w:val="19"/>
                <w:szCs w:val="19"/>
                <w:color w:val="auto"/>
              </w:rPr>
              <w:t>Designation of Restricted</w:t>
            </w:r>
          </w:p>
        </w:tc>
        <w:tc>
          <w:tcPr>
            <w:tcW w:w="2800" w:type="dxa"/>
            <w:vAlign w:val="bottom"/>
            <w:gridSpan w:val="27"/>
          </w:tcPr>
          <w:p>
            <w:pPr>
              <w:ind w:left="40"/>
              <w:spacing w:after="0" w:line="176" w:lineRule="exact"/>
              <w:rPr>
                <w:sz w:val="20"/>
                <w:szCs w:val="20"/>
                <w:color w:val="auto"/>
              </w:rPr>
            </w:pPr>
            <w:r>
              <w:rPr>
                <w:rFonts w:ascii="Arial" w:cs="Arial" w:eastAsia="Arial" w:hAnsi="Arial"/>
                <w:sz w:val="19"/>
                <w:szCs w:val="19"/>
                <w:color w:val="auto"/>
              </w:rPr>
              <w:t>and Unrestricted Subsidiaries</w:t>
            </w:r>
          </w:p>
        </w:tc>
        <w:tc>
          <w:tcPr>
            <w:tcW w:w="320" w:type="dxa"/>
            <w:vAlign w:val="bottom"/>
          </w:tcPr>
          <w:p>
            <w:pPr>
              <w:jc w:val="right"/>
              <w:spacing w:after="0" w:line="176" w:lineRule="exact"/>
              <w:rPr>
                <w:sz w:val="20"/>
                <w:szCs w:val="20"/>
                <w:color w:val="auto"/>
              </w:rPr>
            </w:pPr>
            <w:r>
              <w:rPr>
                <w:rFonts w:ascii="Arial" w:cs="Arial" w:eastAsia="Arial" w:hAnsi="Arial"/>
                <w:sz w:val="19"/>
                <w:szCs w:val="19"/>
                <w:color w:val="FF0000"/>
                <w:strike w:val="1"/>
                <w:w w:val="94"/>
              </w:rPr>
              <w:t>101</w:t>
            </w:r>
          </w:p>
        </w:tc>
        <w:tc>
          <w:tcPr>
            <w:tcW w:w="220" w:type="dxa"/>
            <w:vAlign w:val="bottom"/>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94"/>
              </w:rPr>
              <w:t>99</w:t>
            </w:r>
          </w:p>
        </w:tc>
        <w:tc>
          <w:tcPr>
            <w:tcW w:w="9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gridSpan w:val="4"/>
          </w:tcPr>
          <w:p>
            <w:pPr>
              <w:spacing w:after="0" w:line="176" w:lineRule="exact"/>
              <w:rPr>
                <w:sz w:val="20"/>
                <w:szCs w:val="20"/>
                <w:color w:val="auto"/>
              </w:rPr>
            </w:pPr>
            <w:r>
              <w:rPr>
                <w:rFonts w:ascii="Arial" w:cs="Arial" w:eastAsia="Arial" w:hAnsi="Arial"/>
                <w:sz w:val="19"/>
                <w:szCs w:val="19"/>
                <w:color w:val="auto"/>
              </w:rPr>
              <w:t>Section 5.13</w:t>
            </w:r>
          </w:p>
        </w:tc>
        <w:tc>
          <w:tcPr>
            <w:tcW w:w="3980" w:type="dxa"/>
            <w:vAlign w:val="bottom"/>
            <w:tcBorders>
              <w:top w:val="single" w:sz="8" w:color="auto"/>
            </w:tcBorders>
            <w:gridSpan w:val="28"/>
          </w:tcPr>
          <w:p>
            <w:pPr>
              <w:ind w:left="40"/>
              <w:spacing w:after="0" w:line="176" w:lineRule="exact"/>
              <w:rPr>
                <w:sz w:val="20"/>
                <w:szCs w:val="20"/>
                <w:color w:val="auto"/>
              </w:rPr>
            </w:pPr>
            <w:r>
              <w:rPr>
                <w:rFonts w:ascii="Arial" w:cs="Arial" w:eastAsia="Arial" w:hAnsi="Arial"/>
                <w:sz w:val="19"/>
                <w:szCs w:val="19"/>
                <w:color w:val="auto"/>
              </w:rPr>
              <w:t>After Acquired Material Real Estate Assets</w:t>
            </w:r>
          </w:p>
        </w:tc>
        <w:tc>
          <w:tcPr>
            <w:tcW w:w="320" w:type="dxa"/>
            <w:vAlign w:val="bottom"/>
            <w:tcBorders>
              <w:top w:val="single" w:sz="8" w:color="auto"/>
            </w:tcBorders>
            <w:gridSpan w:val="2"/>
          </w:tcPr>
          <w:p>
            <w:pPr>
              <w:jc w:val="right"/>
              <w:spacing w:after="0" w:line="176" w:lineRule="exact"/>
              <w:rPr>
                <w:sz w:val="20"/>
                <w:szCs w:val="20"/>
                <w:color w:val="auto"/>
              </w:rPr>
            </w:pPr>
            <w:r>
              <w:rPr>
                <w:rFonts w:ascii="Arial" w:cs="Arial" w:eastAsia="Arial" w:hAnsi="Arial"/>
                <w:sz w:val="19"/>
                <w:szCs w:val="19"/>
                <w:color w:val="FF0000"/>
                <w:strike w:val="1"/>
                <w:w w:val="94"/>
              </w:rPr>
              <w:t>103</w:t>
            </w:r>
          </w:p>
        </w:tc>
        <w:tc>
          <w:tcPr>
            <w:tcW w:w="320" w:type="dxa"/>
            <w:vAlign w:val="bottom"/>
            <w:tcBorders>
              <w:top w:val="single" w:sz="8" w:color="auto"/>
            </w:tcBorders>
            <w:gridSpan w:val="2"/>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94"/>
              </w:rPr>
              <w:t>101</w:t>
            </w:r>
          </w:p>
        </w:tc>
        <w:tc>
          <w:tcPr>
            <w:tcW w:w="240" w:type="dxa"/>
            <w:vAlign w:val="bottom"/>
            <w:tcBorders>
              <w:top w:val="single" w:sz="8" w:color="auto"/>
            </w:tcBorders>
            <w:gridSpan w:val="2"/>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80" w:type="dxa"/>
            <w:vAlign w:val="bottom"/>
            <w:gridSpan w:val="4"/>
          </w:tcPr>
          <w:p>
            <w:pPr>
              <w:spacing w:after="0" w:line="176" w:lineRule="exact"/>
              <w:rPr>
                <w:sz w:val="20"/>
                <w:szCs w:val="20"/>
                <w:color w:val="auto"/>
              </w:rPr>
            </w:pPr>
            <w:r>
              <w:rPr>
                <w:rFonts w:ascii="Arial" w:cs="Arial" w:eastAsia="Arial" w:hAnsi="Arial"/>
                <w:sz w:val="19"/>
                <w:szCs w:val="19"/>
                <w:color w:val="auto"/>
              </w:rPr>
              <w:t>Section 5.14</w:t>
            </w:r>
          </w:p>
        </w:tc>
        <w:tc>
          <w:tcPr>
            <w:tcW w:w="1920" w:type="dxa"/>
            <w:vAlign w:val="bottom"/>
            <w:tcBorders>
              <w:top w:val="single" w:sz="8" w:color="auto"/>
            </w:tcBorders>
            <w:gridSpan w:val="6"/>
          </w:tcPr>
          <w:p>
            <w:pPr>
              <w:ind w:left="60"/>
              <w:spacing w:after="0" w:line="176" w:lineRule="exact"/>
              <w:rPr>
                <w:sz w:val="20"/>
                <w:szCs w:val="20"/>
                <w:color w:val="auto"/>
              </w:rPr>
            </w:pPr>
            <w:r>
              <w:rPr>
                <w:rFonts w:ascii="Arial" w:cs="Arial" w:eastAsia="Arial" w:hAnsi="Arial"/>
                <w:sz w:val="19"/>
                <w:szCs w:val="19"/>
                <w:color w:val="auto"/>
              </w:rPr>
              <w:t>Post-Closing Matters</w:t>
            </w:r>
          </w:p>
        </w:tc>
        <w:tc>
          <w:tcPr>
            <w:tcW w:w="540" w:type="dxa"/>
            <w:vAlign w:val="bottom"/>
            <w:tcBorders>
              <w:top w:val="single" w:sz="8" w:color="auto"/>
              <w:right w:val="single" w:sz="8" w:color="DDDDDD"/>
            </w:tcBorders>
            <w:gridSpan w:val="5"/>
          </w:tcPr>
          <w:p>
            <w:pPr>
              <w:ind w:left="180"/>
              <w:spacing w:after="0" w:line="176" w:lineRule="exact"/>
              <w:rPr>
                <w:sz w:val="20"/>
                <w:szCs w:val="20"/>
                <w:color w:val="auto"/>
              </w:rPr>
            </w:pPr>
            <w:r>
              <w:rPr>
                <w:rFonts w:ascii="Arial" w:cs="Arial" w:eastAsia="Arial" w:hAnsi="Arial"/>
                <w:sz w:val="19"/>
                <w:szCs w:val="19"/>
                <w:color w:val="FF0000"/>
                <w:strike w:val="1"/>
              </w:rPr>
              <w:t>105</w:t>
            </w:r>
          </w:p>
        </w:tc>
        <w:tc>
          <w:tcPr>
            <w:tcW w:w="280" w:type="dxa"/>
            <w:vAlign w:val="bottom"/>
            <w:tcBorders>
              <w:top w:val="single" w:sz="8" w:color="auto"/>
              <w:left w:val="single" w:sz="8" w:color="DDDDDD"/>
              <w:right w:val="single" w:sz="8" w:color="DDDDDD"/>
            </w:tcBorders>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81"/>
              </w:rPr>
              <w:t>103</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right w:val="single" w:sz="8" w:color="0000FF"/>
            </w:tcBorders>
          </w:tcPr>
          <w:p>
            <w:pPr>
              <w:spacing w:after="0"/>
              <w:rPr>
                <w:sz w:val="2"/>
                <w:szCs w:val="2"/>
                <w:color w:val="auto"/>
              </w:rPr>
            </w:pPr>
          </w:p>
        </w:tc>
        <w:tc>
          <w:tcPr>
            <w:tcW w:w="28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ARTICLE VI</w:t>
      </w:r>
    </w:p>
    <w:p>
      <w:pPr>
        <w:spacing w:after="0" w:line="179" w:lineRule="exact"/>
        <w:rPr>
          <w:sz w:val="20"/>
          <w:szCs w:val="20"/>
          <w:color w:val="auto"/>
        </w:rPr>
      </w:pPr>
    </w:p>
    <w:p>
      <w:pPr>
        <w:ind w:left="1560"/>
        <w:spacing w:after="0"/>
        <w:tabs>
          <w:tab w:leader="none" w:pos="4180" w:val="left"/>
        </w:tabs>
        <w:rPr>
          <w:sz w:val="20"/>
          <w:szCs w:val="20"/>
          <w:color w:val="auto"/>
        </w:rPr>
      </w:pPr>
      <w:r>
        <w:rPr>
          <w:rFonts w:ascii="Arial" w:cs="Arial" w:eastAsia="Arial" w:hAnsi="Arial"/>
          <w:sz w:val="22"/>
          <w:szCs w:val="22"/>
          <w:color w:val="auto"/>
        </w:rPr>
        <w:t>NEGATIVE COVENANTS</w:t>
      </w:r>
      <w:r>
        <w:rPr>
          <w:sz w:val="20"/>
          <w:szCs w:val="20"/>
          <w:color w:val="auto"/>
        </w:rPr>
        <w:tab/>
      </w:r>
      <w:r>
        <w:rPr>
          <w:rFonts w:ascii="Arial" w:cs="Arial" w:eastAsia="Arial" w:hAnsi="Arial"/>
          <w:sz w:val="19"/>
          <w:szCs w:val="19"/>
          <w:color w:val="FF0000"/>
          <w:strike w:val="1"/>
        </w:rPr>
        <w:t>105</w:t>
      </w:r>
      <w:r>
        <w:rPr>
          <w:rFonts w:ascii="Arial" w:cs="Arial" w:eastAsia="Arial" w:hAnsi="Arial"/>
          <w:sz w:val="19"/>
          <w:szCs w:val="19"/>
          <w:u w:val="single" w:color="auto"/>
          <w:color w:val="0000FF"/>
          <w:highlight w:val="lightGray"/>
          <w:strike w:val="1"/>
        </w:rPr>
        <w:t>103</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50"/>
        </w:trPr>
        <w:tc>
          <w:tcPr>
            <w:tcW w:w="2140" w:type="dxa"/>
            <w:vAlign w:val="bottom"/>
            <w:gridSpan w:val="5"/>
            <w:vMerge w:val="restart"/>
          </w:tcPr>
          <w:p>
            <w:pPr>
              <w:spacing w:after="0"/>
              <w:rPr>
                <w:sz w:val="20"/>
                <w:szCs w:val="20"/>
                <w:color w:val="auto"/>
              </w:rPr>
            </w:pPr>
            <w:r>
              <w:rPr>
                <w:rFonts w:ascii="Arial" w:cs="Arial" w:eastAsia="Arial" w:hAnsi="Arial"/>
                <w:sz w:val="22"/>
                <w:szCs w:val="22"/>
                <w:color w:val="auto"/>
                <w:w w:val="84"/>
              </w:rPr>
              <w:t>Section 6.1 Indebtedness</w:t>
            </w:r>
          </w:p>
        </w:tc>
        <w:tc>
          <w:tcPr>
            <w:tcW w:w="240" w:type="dxa"/>
            <w:vAlign w:val="bottom"/>
          </w:tcPr>
          <w:p>
            <w:pPr>
              <w:spacing w:after="0"/>
              <w:rPr>
                <w:sz w:val="4"/>
                <w:szCs w:val="4"/>
                <w:color w:val="auto"/>
              </w:rPr>
            </w:pPr>
          </w:p>
        </w:tc>
        <w:tc>
          <w:tcPr>
            <w:tcW w:w="320" w:type="dxa"/>
            <w:vAlign w:val="bottom"/>
            <w:gridSpan w:val="2"/>
            <w:vMerge w:val="restart"/>
          </w:tcPr>
          <w:p>
            <w:pPr>
              <w:spacing w:after="0"/>
              <w:rPr>
                <w:sz w:val="20"/>
                <w:szCs w:val="20"/>
                <w:color w:val="auto"/>
              </w:rPr>
            </w:pPr>
            <w:r>
              <w:rPr>
                <w:rFonts w:ascii="Arial" w:cs="Arial" w:eastAsia="Arial" w:hAnsi="Arial"/>
                <w:sz w:val="22"/>
                <w:szCs w:val="22"/>
                <w:color w:val="FF0000"/>
                <w:strike w:val="1"/>
                <w:w w:val="76"/>
              </w:rPr>
              <w:t>105</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140" w:type="dxa"/>
            <w:vAlign w:val="bottom"/>
            <w:gridSpan w:val="5"/>
            <w:vMerge w:val="continue"/>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320" w:type="dxa"/>
            <w:vAlign w:val="bottom"/>
            <w:tcBorders>
              <w:right w:val="single" w:sz="8" w:color="DDDDDD"/>
            </w:tcBorders>
            <w:gridSpan w:val="3"/>
            <w:shd w:val="clear" w:color="auto" w:fill="DDDDDD"/>
          </w:tcPr>
          <w:p>
            <w:pPr>
              <w:jc w:val="right"/>
              <w:spacing w:after="0" w:line="203" w:lineRule="exact"/>
              <w:rPr>
                <w:sz w:val="20"/>
                <w:szCs w:val="20"/>
                <w:color w:val="auto"/>
              </w:rPr>
            </w:pPr>
            <w:r>
              <w:rPr>
                <w:rFonts w:ascii="Arial" w:cs="Arial" w:eastAsia="Arial" w:hAnsi="Arial"/>
                <w:sz w:val="22"/>
                <w:szCs w:val="22"/>
                <w:color w:val="0000FF"/>
                <w:highlight w:val="lightGray"/>
                <w:w w:val="81"/>
              </w:rPr>
              <w:t>103</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line="216" w:lineRule="exact"/>
              <w:rPr>
                <w:sz w:val="20"/>
                <w:szCs w:val="20"/>
                <w:color w:val="auto"/>
              </w:rPr>
            </w:pPr>
            <w:r>
              <w:rPr>
                <w:rFonts w:ascii="Arial" w:cs="Arial" w:eastAsia="Arial" w:hAnsi="Arial"/>
                <w:sz w:val="22"/>
                <w:szCs w:val="22"/>
                <w:color w:val="auto"/>
                <w:w w:val="85"/>
              </w:rPr>
              <w:t>Section 6.2</w:t>
            </w:r>
          </w:p>
        </w:tc>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bottom w:val="single" w:sz="8" w:color="DDDDDD"/>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tcBorders>
              <w:bottom w:val="single" w:sz="8" w:color="DDDDDD"/>
            </w:tcBorders>
            <w:shd w:val="clear" w:color="auto" w:fill="0000FF"/>
          </w:tcPr>
          <w:p>
            <w:pPr>
              <w:spacing w:after="0" w:line="20" w:lineRule="exact"/>
              <w:rPr>
                <w:sz w:val="1"/>
                <w:szCs w:val="1"/>
                <w:color w:val="auto"/>
              </w:rPr>
            </w:pPr>
          </w:p>
        </w:tc>
        <w:tc>
          <w:tcPr>
            <w:tcW w:w="120" w:type="dxa"/>
            <w:vAlign w:val="bottom"/>
            <w:tcBorders>
              <w:bottom w:val="single" w:sz="8" w:color="DDDDDD"/>
            </w:tcBorders>
            <w:shd w:val="clear" w:color="auto" w:fill="0000FF"/>
          </w:tcPr>
          <w:p>
            <w:pPr>
              <w:spacing w:after="0" w:line="20" w:lineRule="exact"/>
              <w:rPr>
                <w:sz w:val="1"/>
                <w:szCs w:val="1"/>
                <w:color w:val="auto"/>
              </w:rPr>
            </w:pPr>
          </w:p>
        </w:tc>
        <w:tc>
          <w:tcPr>
            <w:tcW w:w="100" w:type="dxa"/>
            <w:vAlign w:val="bottom"/>
            <w:tcBorders>
              <w:bottom w:val="single" w:sz="8" w:color="DDDDDD"/>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740" w:type="dxa"/>
            <w:vAlign w:val="bottom"/>
            <w:gridSpan w:val="2"/>
          </w:tcPr>
          <w:p>
            <w:pPr>
              <w:ind w:left="40"/>
              <w:spacing w:after="0" w:line="176" w:lineRule="exact"/>
              <w:rPr>
                <w:sz w:val="20"/>
                <w:szCs w:val="20"/>
                <w:color w:val="auto"/>
              </w:rPr>
            </w:pPr>
            <w:r>
              <w:rPr>
                <w:rFonts w:ascii="Arial" w:cs="Arial" w:eastAsia="Arial" w:hAnsi="Arial"/>
                <w:sz w:val="19"/>
                <w:szCs w:val="19"/>
                <w:color w:val="auto"/>
              </w:rPr>
              <w:t>Liens</w:t>
            </w:r>
          </w:p>
        </w:tc>
        <w:tc>
          <w:tcPr>
            <w:tcW w:w="420" w:type="dxa"/>
            <w:vAlign w:val="bottom"/>
            <w:tcBorders>
              <w:right w:val="single" w:sz="8" w:color="DDDDDD"/>
            </w:tcBorders>
          </w:tcPr>
          <w:p>
            <w:pPr>
              <w:jc w:val="right"/>
              <w:ind w:right="3"/>
              <w:spacing w:after="0" w:line="176" w:lineRule="exact"/>
              <w:rPr>
                <w:sz w:val="20"/>
                <w:szCs w:val="20"/>
                <w:color w:val="auto"/>
              </w:rPr>
            </w:pPr>
            <w:r>
              <w:rPr>
                <w:rFonts w:ascii="Arial" w:cs="Arial" w:eastAsia="Arial" w:hAnsi="Arial"/>
                <w:sz w:val="19"/>
                <w:szCs w:val="19"/>
                <w:color w:val="FF0000"/>
                <w:strike w:val="1"/>
                <w:w w:val="94"/>
              </w:rPr>
              <w:t>109</w:t>
            </w:r>
          </w:p>
        </w:tc>
        <w:tc>
          <w:tcPr>
            <w:tcW w:w="240" w:type="dxa"/>
            <w:vAlign w:val="bottom"/>
            <w:tcBorders>
              <w:right w:val="single" w:sz="8" w:color="DDDDDD"/>
            </w:tcBorders>
            <w:shd w:val="clear" w:color="auto" w:fill="DDDDDD"/>
          </w:tcPr>
          <w:p>
            <w:pPr>
              <w:jc w:val="right"/>
              <w:spacing w:after="0" w:line="176" w:lineRule="exact"/>
              <w:rPr>
                <w:sz w:val="20"/>
                <w:szCs w:val="20"/>
                <w:color w:val="auto"/>
              </w:rPr>
            </w:pPr>
            <w:r>
              <w:rPr>
                <w:rFonts w:ascii="Arial" w:cs="Arial" w:eastAsia="Arial" w:hAnsi="Arial"/>
                <w:sz w:val="17"/>
                <w:szCs w:val="17"/>
                <w:color w:val="0000FF"/>
                <w:highlight w:val="lightGray"/>
                <w:w w:val="70"/>
              </w:rPr>
              <w:t>106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line="216" w:lineRule="exact"/>
              <w:rPr>
                <w:sz w:val="20"/>
                <w:szCs w:val="20"/>
                <w:color w:val="auto"/>
              </w:rPr>
            </w:pPr>
            <w:r>
              <w:rPr>
                <w:rFonts w:ascii="Arial" w:cs="Arial" w:eastAsia="Arial" w:hAnsi="Arial"/>
                <w:sz w:val="22"/>
                <w:szCs w:val="22"/>
                <w:color w:val="auto"/>
                <w:w w:val="85"/>
              </w:rPr>
              <w:t>Section 6.3</w:t>
            </w:r>
          </w:p>
        </w:tc>
        <w:tc>
          <w:tcPr>
            <w:tcW w:w="5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40" w:type="dxa"/>
            <w:vAlign w:val="bottom"/>
            <w:tcBorders>
              <w:bottom w:val="single" w:sz="8" w:color="DDDDDD"/>
              <w:right w:val="single" w:sz="8" w:color="DDDDDD"/>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DDDDD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vMerge w:val="continue"/>
          </w:tcPr>
          <w:p>
            <w:pPr>
              <w:spacing w:after="0"/>
              <w:rPr>
                <w:sz w:val="17"/>
                <w:szCs w:val="17"/>
                <w:color w:val="auto"/>
              </w:rPr>
            </w:pPr>
          </w:p>
        </w:tc>
        <w:tc>
          <w:tcPr>
            <w:tcW w:w="1180" w:type="dxa"/>
            <w:vAlign w:val="bottom"/>
            <w:gridSpan w:val="4"/>
          </w:tcPr>
          <w:p>
            <w:pPr>
              <w:ind w:left="60"/>
              <w:spacing w:after="0" w:line="176" w:lineRule="exact"/>
              <w:rPr>
                <w:sz w:val="20"/>
                <w:szCs w:val="20"/>
                <w:color w:val="auto"/>
              </w:rPr>
            </w:pPr>
            <w:r>
              <w:rPr>
                <w:rFonts w:ascii="Arial" w:cs="Arial" w:eastAsia="Arial" w:hAnsi="Arial"/>
                <w:sz w:val="19"/>
                <w:szCs w:val="19"/>
                <w:color w:val="auto"/>
                <w:w w:val="97"/>
              </w:rPr>
              <w:t>Fundamental</w:t>
            </w:r>
          </w:p>
        </w:tc>
        <w:tc>
          <w:tcPr>
            <w:tcW w:w="240" w:type="dxa"/>
            <w:vAlign w:val="bottom"/>
          </w:tcPr>
          <w:p>
            <w:pPr>
              <w:spacing w:after="0"/>
              <w:rPr>
                <w:sz w:val="17"/>
                <w:szCs w:val="17"/>
                <w:color w:val="auto"/>
              </w:rPr>
            </w:pPr>
          </w:p>
        </w:tc>
        <w:tc>
          <w:tcPr>
            <w:tcW w:w="3860" w:type="dxa"/>
            <w:vAlign w:val="bottom"/>
            <w:gridSpan w:val="16"/>
          </w:tcPr>
          <w:p>
            <w:pPr>
              <w:spacing w:after="0" w:line="176" w:lineRule="exact"/>
              <w:rPr>
                <w:sz w:val="20"/>
                <w:szCs w:val="20"/>
                <w:color w:val="auto"/>
              </w:rPr>
            </w:pPr>
            <w:r>
              <w:rPr>
                <w:rFonts w:ascii="Arial" w:cs="Arial" w:eastAsia="Arial" w:hAnsi="Arial"/>
                <w:sz w:val="19"/>
                <w:szCs w:val="19"/>
                <w:color w:val="auto"/>
                <w:w w:val="99"/>
              </w:rPr>
              <w:t>Changes; Assets Sales; Changes in Business</w:t>
            </w:r>
          </w:p>
        </w:tc>
        <w:tc>
          <w:tcPr>
            <w:tcW w:w="320" w:type="dxa"/>
            <w:vAlign w:val="bottom"/>
          </w:tcPr>
          <w:p>
            <w:pPr>
              <w:jc w:val="right"/>
              <w:spacing w:after="0" w:line="176" w:lineRule="exact"/>
              <w:rPr>
                <w:sz w:val="20"/>
                <w:szCs w:val="20"/>
                <w:color w:val="auto"/>
              </w:rPr>
            </w:pPr>
            <w:r>
              <w:rPr>
                <w:rFonts w:ascii="Arial" w:cs="Arial" w:eastAsia="Arial" w:hAnsi="Arial"/>
                <w:sz w:val="19"/>
                <w:szCs w:val="19"/>
                <w:color w:val="FF0000"/>
                <w:strike w:val="1"/>
                <w:w w:val="94"/>
              </w:rPr>
              <w:t>112</w:t>
            </w:r>
          </w:p>
        </w:tc>
        <w:tc>
          <w:tcPr>
            <w:tcW w:w="300" w:type="dxa"/>
            <w:vAlign w:val="bottom"/>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88"/>
              </w:rPr>
              <w:t>110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line="176" w:lineRule="exact"/>
              <w:rPr>
                <w:sz w:val="20"/>
                <w:szCs w:val="20"/>
                <w:color w:val="auto"/>
              </w:rPr>
            </w:pPr>
            <w:r>
              <w:rPr>
                <w:rFonts w:ascii="Arial" w:cs="Arial" w:eastAsia="Arial" w:hAnsi="Arial"/>
                <w:sz w:val="19"/>
                <w:szCs w:val="19"/>
                <w:color w:val="auto"/>
                <w:w w:val="98"/>
              </w:rPr>
              <w:t>Section 6.4</w:t>
            </w:r>
          </w:p>
        </w:tc>
        <w:tc>
          <w:tcPr>
            <w:tcW w:w="2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gridSpan w:val="9"/>
          </w:tcPr>
          <w:p>
            <w:pPr>
              <w:ind w:left="40"/>
              <w:spacing w:after="0" w:line="176" w:lineRule="exact"/>
              <w:rPr>
                <w:sz w:val="20"/>
                <w:szCs w:val="20"/>
                <w:color w:val="auto"/>
              </w:rPr>
            </w:pPr>
            <w:r>
              <w:rPr>
                <w:rFonts w:ascii="Arial" w:cs="Arial" w:eastAsia="Arial" w:hAnsi="Arial"/>
                <w:sz w:val="19"/>
                <w:szCs w:val="19"/>
                <w:color w:val="auto"/>
              </w:rPr>
              <w:t>Restricted Payments</w:t>
            </w:r>
          </w:p>
        </w:tc>
        <w:tc>
          <w:tcPr>
            <w:tcW w:w="300" w:type="dxa"/>
            <w:vAlign w:val="bottom"/>
            <w:tcBorders>
              <w:top w:val="single" w:sz="8" w:color="auto"/>
            </w:tcBorders>
            <w:gridSpan w:val="2"/>
          </w:tcPr>
          <w:p>
            <w:pPr>
              <w:jc w:val="right"/>
              <w:spacing w:after="0" w:line="176" w:lineRule="exact"/>
              <w:rPr>
                <w:sz w:val="20"/>
                <w:szCs w:val="20"/>
                <w:color w:val="auto"/>
              </w:rPr>
            </w:pPr>
            <w:r>
              <w:rPr>
                <w:rFonts w:ascii="Arial" w:cs="Arial" w:eastAsia="Arial" w:hAnsi="Arial"/>
                <w:sz w:val="19"/>
                <w:szCs w:val="19"/>
                <w:color w:val="FF0000"/>
                <w:strike w:val="1"/>
                <w:w w:val="88"/>
              </w:rPr>
              <w:t>113</w:t>
            </w: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right w:val="single" w:sz="8" w:color="DDDDDD"/>
            </w:tcBorders>
            <w:gridSpan w:val="2"/>
            <w:shd w:val="clear" w:color="auto" w:fill="DDDDDD"/>
          </w:tcPr>
          <w:p>
            <w:pPr>
              <w:spacing w:after="0" w:line="176" w:lineRule="exact"/>
              <w:rPr>
                <w:sz w:val="20"/>
                <w:szCs w:val="20"/>
                <w:color w:val="auto"/>
              </w:rPr>
            </w:pPr>
            <w:r>
              <w:rPr>
                <w:rFonts w:ascii="Arial" w:cs="Arial" w:eastAsia="Arial" w:hAnsi="Arial"/>
                <w:sz w:val="19"/>
                <w:szCs w:val="19"/>
                <w:color w:val="0000FF"/>
                <w:highlight w:val="lightGray"/>
                <w:w w:val="75"/>
              </w:rPr>
              <w:t>111</w:t>
            </w:r>
          </w:p>
        </w:tc>
        <w:tc>
          <w:tcPr>
            <w:tcW w:w="2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line="176" w:lineRule="exact"/>
              <w:rPr>
                <w:sz w:val="20"/>
                <w:szCs w:val="20"/>
                <w:color w:val="auto"/>
              </w:rPr>
            </w:pPr>
            <w:r>
              <w:rPr>
                <w:rFonts w:ascii="Arial" w:cs="Arial" w:eastAsia="Arial" w:hAnsi="Arial"/>
                <w:sz w:val="19"/>
                <w:szCs w:val="19"/>
                <w:color w:val="auto"/>
                <w:w w:val="98"/>
              </w:rPr>
              <w:t>Section 6.5</w:t>
            </w:r>
          </w:p>
        </w:tc>
        <w:tc>
          <w:tcPr>
            <w:tcW w:w="20" w:type="dxa"/>
            <w:vAlign w:val="bottom"/>
            <w:tcBorders>
              <w:top w:val="single" w:sz="8" w:color="auto"/>
              <w:bottom w:val="single" w:sz="8" w:color="auto"/>
            </w:tcBorders>
          </w:tcPr>
          <w:p>
            <w:pPr>
              <w:spacing w:after="0"/>
              <w:rPr>
                <w:sz w:val="17"/>
                <w:szCs w:val="17"/>
                <w:color w:val="auto"/>
              </w:rPr>
            </w:pPr>
          </w:p>
        </w:tc>
        <w:tc>
          <w:tcPr>
            <w:tcW w:w="1820" w:type="dxa"/>
            <w:vAlign w:val="bottom"/>
            <w:tcBorders>
              <w:top w:val="single" w:sz="8" w:color="auto"/>
              <w:bottom w:val="single" w:sz="8" w:color="auto"/>
            </w:tcBorders>
            <w:gridSpan w:val="7"/>
          </w:tcPr>
          <w:p>
            <w:pPr>
              <w:ind w:left="40"/>
              <w:spacing w:after="0" w:line="176" w:lineRule="exact"/>
              <w:rPr>
                <w:sz w:val="20"/>
                <w:szCs w:val="20"/>
                <w:color w:val="auto"/>
              </w:rPr>
            </w:pPr>
            <w:r>
              <w:rPr>
                <w:rFonts w:ascii="Arial" w:cs="Arial" w:eastAsia="Arial" w:hAnsi="Arial"/>
                <w:sz w:val="19"/>
                <w:szCs w:val="19"/>
                <w:color w:val="auto"/>
                <w:w w:val="89"/>
              </w:rPr>
              <w:t>Restrictive Agreements</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Borders>
              <w:top w:val="single" w:sz="8" w:color="0000FF"/>
              <w:right w:val="single" w:sz="8" w:color="DDDDDD"/>
            </w:tcBorders>
            <w:gridSpan w:val="2"/>
          </w:tcPr>
          <w:p>
            <w:pPr>
              <w:spacing w:after="0" w:line="176" w:lineRule="exact"/>
              <w:rPr>
                <w:sz w:val="20"/>
                <w:szCs w:val="20"/>
                <w:color w:val="auto"/>
              </w:rPr>
            </w:pPr>
            <w:r>
              <w:rPr>
                <w:rFonts w:ascii="Arial" w:cs="Arial" w:eastAsia="Arial" w:hAnsi="Arial"/>
                <w:sz w:val="19"/>
                <w:szCs w:val="19"/>
                <w:color w:val="FF0000"/>
                <w:strike w:val="1"/>
                <w:w w:val="75"/>
              </w:rPr>
              <w:t>114</w:t>
            </w:r>
          </w:p>
        </w:tc>
        <w:tc>
          <w:tcPr>
            <w:tcW w:w="280" w:type="dxa"/>
            <w:vAlign w:val="bottom"/>
            <w:tcBorders>
              <w:top w:val="single" w:sz="8" w:color="DDDDDD"/>
              <w:left w:val="single" w:sz="8" w:color="DDDDDD"/>
              <w:bottom w:val="single" w:sz="8" w:color="0000FF"/>
            </w:tcBorders>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81"/>
              </w:rPr>
              <w:t>112</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line="176" w:lineRule="exact"/>
              <w:rPr>
                <w:sz w:val="20"/>
                <w:szCs w:val="20"/>
                <w:color w:val="auto"/>
              </w:rPr>
            </w:pPr>
            <w:r>
              <w:rPr>
                <w:rFonts w:ascii="Arial" w:cs="Arial" w:eastAsia="Arial" w:hAnsi="Arial"/>
                <w:sz w:val="19"/>
                <w:szCs w:val="19"/>
                <w:color w:val="auto"/>
                <w:w w:val="98"/>
              </w:rPr>
              <w:t>Section 6.6</w:t>
            </w:r>
          </w:p>
        </w:tc>
        <w:tc>
          <w:tcPr>
            <w:tcW w:w="2660" w:type="dxa"/>
            <w:vAlign w:val="bottom"/>
            <w:gridSpan w:val="15"/>
          </w:tcPr>
          <w:p>
            <w:pPr>
              <w:ind w:left="60"/>
              <w:spacing w:after="0" w:line="176" w:lineRule="exact"/>
              <w:rPr>
                <w:sz w:val="20"/>
                <w:szCs w:val="20"/>
                <w:color w:val="auto"/>
              </w:rPr>
            </w:pPr>
            <w:r>
              <w:rPr>
                <w:rFonts w:ascii="Arial" w:cs="Arial" w:eastAsia="Arial" w:hAnsi="Arial"/>
                <w:sz w:val="19"/>
                <w:szCs w:val="19"/>
                <w:color w:val="auto"/>
              </w:rPr>
              <w:t>Transactions with Affiliates</w:t>
            </w:r>
          </w:p>
        </w:tc>
        <w:tc>
          <w:tcPr>
            <w:tcW w:w="280" w:type="dxa"/>
            <w:vAlign w:val="bottom"/>
            <w:tcBorders>
              <w:top w:val="single" w:sz="8" w:color="DDDDDD"/>
            </w:tcBorders>
          </w:tcPr>
          <w:p>
            <w:pPr>
              <w:jc w:val="right"/>
              <w:spacing w:after="0" w:line="176" w:lineRule="exact"/>
              <w:rPr>
                <w:sz w:val="20"/>
                <w:szCs w:val="20"/>
                <w:color w:val="auto"/>
              </w:rPr>
            </w:pPr>
            <w:r>
              <w:rPr>
                <w:rFonts w:ascii="Arial" w:cs="Arial" w:eastAsia="Arial" w:hAnsi="Arial"/>
                <w:sz w:val="19"/>
                <w:szCs w:val="19"/>
                <w:color w:val="FF0000"/>
                <w:strike w:val="1"/>
                <w:w w:val="81"/>
              </w:rPr>
              <w:t>115</w:t>
            </w:r>
          </w:p>
        </w:tc>
        <w:tc>
          <w:tcPr>
            <w:tcW w:w="40" w:type="dxa"/>
            <w:vAlign w:val="bottom"/>
          </w:tcPr>
          <w:p>
            <w:pPr>
              <w:spacing w:after="0"/>
              <w:rPr>
                <w:sz w:val="17"/>
                <w:szCs w:val="17"/>
                <w:color w:val="auto"/>
              </w:rPr>
            </w:pPr>
          </w:p>
        </w:tc>
        <w:tc>
          <w:tcPr>
            <w:tcW w:w="300" w:type="dxa"/>
            <w:vAlign w:val="bottom"/>
            <w:tcBorders>
              <w:top w:val="single" w:sz="8" w:color="DDDDDD"/>
            </w:tcBorders>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88"/>
              </w:rPr>
              <w:t>113</w:t>
            </w:r>
          </w:p>
        </w:tc>
        <w:tc>
          <w:tcPr>
            <w:tcW w:w="20" w:type="dxa"/>
            <w:vAlign w:val="bottom"/>
          </w:tcPr>
          <w:p>
            <w:pPr>
              <w:spacing w:after="0"/>
              <w:rPr>
                <w:sz w:val="17"/>
                <w:szCs w:val="17"/>
                <w:color w:val="auto"/>
              </w:rPr>
            </w:pPr>
          </w:p>
        </w:tc>
        <w:tc>
          <w:tcPr>
            <w:tcW w:w="26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line="176" w:lineRule="exact"/>
              <w:rPr>
                <w:sz w:val="20"/>
                <w:szCs w:val="20"/>
                <w:color w:val="auto"/>
              </w:rPr>
            </w:pPr>
            <w:r>
              <w:rPr>
                <w:rFonts w:ascii="Arial" w:cs="Arial" w:eastAsia="Arial" w:hAnsi="Arial"/>
                <w:sz w:val="19"/>
                <w:szCs w:val="19"/>
                <w:color w:val="auto"/>
                <w:w w:val="98"/>
              </w:rPr>
              <w:t>Section 6.7</w:t>
            </w:r>
          </w:p>
        </w:tc>
        <w:tc>
          <w:tcPr>
            <w:tcW w:w="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3"/>
          </w:tcPr>
          <w:p>
            <w:pPr>
              <w:ind w:left="40"/>
              <w:spacing w:after="0" w:line="176" w:lineRule="exact"/>
              <w:rPr>
                <w:sz w:val="20"/>
                <w:szCs w:val="20"/>
                <w:color w:val="auto"/>
              </w:rPr>
            </w:pPr>
            <w:r>
              <w:rPr>
                <w:rFonts w:ascii="Arial" w:cs="Arial" w:eastAsia="Arial" w:hAnsi="Arial"/>
                <w:sz w:val="19"/>
                <w:szCs w:val="19"/>
                <w:color w:val="auto"/>
              </w:rPr>
              <w:t>Investments</w:t>
            </w:r>
          </w:p>
        </w:tc>
        <w:tc>
          <w:tcPr>
            <w:tcW w:w="460" w:type="dxa"/>
            <w:vAlign w:val="bottom"/>
            <w:tcBorders>
              <w:top w:val="single" w:sz="8" w:color="auto"/>
            </w:tcBorders>
            <w:gridSpan w:val="2"/>
          </w:tcPr>
          <w:p>
            <w:pPr>
              <w:jc w:val="right"/>
              <w:spacing w:after="0" w:line="176" w:lineRule="exact"/>
              <w:rPr>
                <w:sz w:val="20"/>
                <w:szCs w:val="20"/>
                <w:color w:val="auto"/>
              </w:rPr>
            </w:pPr>
            <w:r>
              <w:rPr>
                <w:rFonts w:ascii="Arial" w:cs="Arial" w:eastAsia="Arial" w:hAnsi="Arial"/>
                <w:sz w:val="19"/>
                <w:szCs w:val="19"/>
                <w:color w:val="FF0000"/>
                <w:strike w:val="1"/>
              </w:rPr>
              <w:t>116</w:t>
            </w:r>
          </w:p>
        </w:tc>
        <w:tc>
          <w:tcPr>
            <w:tcW w:w="320" w:type="dxa"/>
            <w:vAlign w:val="bottom"/>
            <w:tcBorders>
              <w:top w:val="single" w:sz="8" w:color="auto"/>
              <w:bottom w:val="single" w:sz="8" w:color="0000FF"/>
            </w:tcBorders>
            <w:gridSpan w:val="3"/>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94"/>
              </w:rPr>
              <w:t>114</w:t>
            </w: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139"/>
          </w:cols>
          <w:pgMar w:left="320" w:top="1372" w:right="1440" w:bottom="1440" w:gutter="0" w:footer="0" w:header="0"/>
        </w:sectPr>
      </w:pPr>
    </w:p>
    <w:bookmarkStart w:id="50" w:name="page51"/>
    <w:bookmarkEnd w:id="50"/>
    <w:tbl>
      <w:tblPr>
        <w:tblLayout w:type="fixed"/>
        <w:tblInd w:w="660" w:type="dxa"/>
        <w:tblCellMar>
          <w:top w:w="0" w:type="dxa"/>
          <w:left w:w="0" w:type="dxa"/>
          <w:bottom w:w="0" w:type="dxa"/>
          <w:right w:w="0" w:type="dxa"/>
        </w:tblCellMar>
      </w:tblPr>
      <w:tr>
        <w:trPr>
          <w:trHeight w:val="50"/>
        </w:trPr>
        <w:tc>
          <w:tcPr>
            <w:tcW w:w="980" w:type="dxa"/>
            <w:vAlign w:val="bottom"/>
            <w:gridSpan w:val="2"/>
            <w:vMerge w:val="restart"/>
          </w:tcPr>
          <w:p>
            <w:pPr>
              <w:spacing w:after="0"/>
              <w:rPr>
                <w:sz w:val="20"/>
                <w:szCs w:val="20"/>
                <w:color w:val="auto"/>
              </w:rPr>
            </w:pPr>
            <w:r>
              <w:rPr>
                <w:rFonts w:ascii="Arial" w:cs="Arial" w:eastAsia="Arial" w:hAnsi="Arial"/>
                <w:sz w:val="22"/>
                <w:szCs w:val="22"/>
                <w:color w:val="auto"/>
                <w:w w:val="87"/>
              </w:rPr>
              <w:t>Section 6.8</w:t>
            </w:r>
          </w:p>
        </w:tc>
        <w:tc>
          <w:tcPr>
            <w:tcW w:w="1900" w:type="dxa"/>
            <w:vAlign w:val="bottom"/>
            <w:gridSpan w:val="3"/>
            <w:vMerge w:val="restart"/>
          </w:tcPr>
          <w:p>
            <w:pPr>
              <w:ind w:left="40"/>
              <w:spacing w:after="0"/>
              <w:rPr>
                <w:sz w:val="20"/>
                <w:szCs w:val="20"/>
                <w:color w:val="auto"/>
              </w:rPr>
            </w:pPr>
            <w:r>
              <w:rPr>
                <w:rFonts w:ascii="Arial" w:cs="Arial" w:eastAsia="Arial" w:hAnsi="Arial"/>
                <w:sz w:val="22"/>
                <w:szCs w:val="22"/>
                <w:color w:val="auto"/>
                <w:w w:val="95"/>
              </w:rPr>
              <w:t>Certain Restrictions</w:t>
            </w:r>
          </w:p>
        </w:tc>
        <w:tc>
          <w:tcPr>
            <w:tcW w:w="80" w:type="dxa"/>
            <w:vAlign w:val="bottom"/>
          </w:tcPr>
          <w:p>
            <w:pPr>
              <w:spacing w:after="0"/>
              <w:rPr>
                <w:sz w:val="4"/>
                <w:szCs w:val="4"/>
                <w:color w:val="auto"/>
              </w:rPr>
            </w:pPr>
          </w:p>
        </w:tc>
        <w:tc>
          <w:tcPr>
            <w:tcW w:w="320" w:type="dxa"/>
            <w:vAlign w:val="bottom"/>
            <w:vMerge w:val="restart"/>
          </w:tcPr>
          <w:p>
            <w:pPr>
              <w:jc w:val="right"/>
              <w:spacing w:after="0"/>
              <w:rPr>
                <w:sz w:val="20"/>
                <w:szCs w:val="20"/>
                <w:color w:val="auto"/>
              </w:rPr>
            </w:pPr>
            <w:r>
              <w:rPr>
                <w:rFonts w:ascii="Arial" w:cs="Arial" w:eastAsia="Arial" w:hAnsi="Arial"/>
                <w:sz w:val="22"/>
                <w:szCs w:val="22"/>
                <w:color w:val="FF0000"/>
                <w:strike w:val="1"/>
                <w:w w:val="81"/>
              </w:rPr>
              <w:t>120</w:t>
            </w:r>
          </w:p>
        </w:tc>
        <w:tc>
          <w:tcPr>
            <w:tcW w:w="2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980" w:type="dxa"/>
            <w:vAlign w:val="bottom"/>
            <w:gridSpan w:val="2"/>
            <w:vMerge w:val="continue"/>
          </w:tcPr>
          <w:p>
            <w:pPr>
              <w:spacing w:after="0"/>
              <w:rPr>
                <w:sz w:val="19"/>
                <w:szCs w:val="19"/>
                <w:color w:val="auto"/>
              </w:rPr>
            </w:pPr>
          </w:p>
        </w:tc>
        <w:tc>
          <w:tcPr>
            <w:tcW w:w="190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00" w:type="dxa"/>
            <w:vAlign w:val="bottom"/>
            <w:gridSpan w:val="2"/>
            <w:shd w:val="clear" w:color="auto" w:fill="DDDDDD"/>
          </w:tcPr>
          <w:p>
            <w:pPr>
              <w:jc w:val="right"/>
              <w:spacing w:after="0" w:line="203" w:lineRule="exact"/>
              <w:rPr>
                <w:sz w:val="20"/>
                <w:szCs w:val="20"/>
                <w:color w:val="auto"/>
              </w:rPr>
            </w:pPr>
            <w:r>
              <w:rPr>
                <w:rFonts w:ascii="Arial" w:cs="Arial" w:eastAsia="Arial" w:hAnsi="Arial"/>
                <w:sz w:val="22"/>
                <w:szCs w:val="22"/>
                <w:color w:val="0000FF"/>
                <w:highlight w:val="lightGray"/>
                <w:w w:val="76"/>
              </w:rPr>
              <w:t>117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line="176" w:lineRule="exact"/>
              <w:rPr>
                <w:sz w:val="20"/>
                <w:szCs w:val="20"/>
                <w:color w:val="auto"/>
              </w:rPr>
            </w:pPr>
            <w:r>
              <w:rPr>
                <w:rFonts w:ascii="Arial" w:cs="Arial" w:eastAsia="Arial" w:hAnsi="Arial"/>
                <w:sz w:val="19"/>
                <w:szCs w:val="19"/>
                <w:color w:val="auto"/>
                <w:w w:val="98"/>
              </w:rPr>
              <w:t>Section 6.9</w:t>
            </w:r>
          </w:p>
        </w:tc>
        <w:tc>
          <w:tcPr>
            <w:tcW w:w="20" w:type="dxa"/>
            <w:vAlign w:val="bottom"/>
            <w:tcBorders>
              <w:bottom w:val="single" w:sz="8" w:color="auto"/>
            </w:tcBorders>
          </w:tcPr>
          <w:p>
            <w:pPr>
              <w:spacing w:after="0"/>
              <w:rPr>
                <w:sz w:val="15"/>
                <w:szCs w:val="15"/>
                <w:color w:val="auto"/>
              </w:rPr>
            </w:pPr>
          </w:p>
        </w:tc>
        <w:tc>
          <w:tcPr>
            <w:tcW w:w="1760" w:type="dxa"/>
            <w:vAlign w:val="bottom"/>
            <w:tcBorders>
              <w:top w:val="single" w:sz="8" w:color="auto"/>
              <w:bottom w:val="single" w:sz="8" w:color="auto"/>
            </w:tcBorders>
          </w:tcPr>
          <w:p>
            <w:pPr>
              <w:ind w:left="40"/>
              <w:spacing w:after="0" w:line="176" w:lineRule="exact"/>
              <w:rPr>
                <w:sz w:val="20"/>
                <w:szCs w:val="20"/>
                <w:color w:val="auto"/>
              </w:rPr>
            </w:pPr>
            <w:r>
              <w:rPr>
                <w:rFonts w:ascii="Arial" w:cs="Arial" w:eastAsia="Arial" w:hAnsi="Arial"/>
                <w:sz w:val="19"/>
                <w:szCs w:val="19"/>
                <w:color w:val="auto"/>
                <w:w w:val="98"/>
              </w:rPr>
              <w:t>Financial Covenants</w:t>
            </w:r>
          </w:p>
        </w:tc>
        <w:tc>
          <w:tcPr>
            <w:tcW w:w="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spacing w:after="0" w:line="176" w:lineRule="exact"/>
              <w:rPr>
                <w:sz w:val="20"/>
                <w:szCs w:val="20"/>
                <w:color w:val="auto"/>
              </w:rPr>
            </w:pPr>
            <w:r>
              <w:rPr>
                <w:rFonts w:ascii="Arial" w:cs="Arial" w:eastAsia="Arial" w:hAnsi="Arial"/>
                <w:sz w:val="19"/>
                <w:szCs w:val="19"/>
                <w:color w:val="FF0000"/>
                <w:strike w:val="1"/>
                <w:w w:val="94"/>
              </w:rPr>
              <w:t>120</w:t>
            </w: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60" w:type="dxa"/>
            <w:vAlign w:val="bottom"/>
            <w:tcBorders>
              <w:top w:val="single" w:sz="8" w:color="0000FF"/>
              <w:bottom w:val="single" w:sz="8" w:color="0000FF"/>
            </w:tcBorders>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75"/>
              </w:rPr>
              <w:t>118</w:t>
            </w:r>
          </w:p>
        </w:tc>
        <w:tc>
          <w:tcPr>
            <w:tcW w:w="40" w:type="dxa"/>
            <w:vAlign w:val="bottom"/>
            <w:tcBorders>
              <w:top w:val="single" w:sz="8" w:color="DDDDDD"/>
              <w:bottom w:val="single" w:sz="8" w:color="0000FF"/>
            </w:tcBorders>
            <w:shd w:val="clear" w:color="auto" w:fill="DDDDDD"/>
          </w:tcPr>
          <w:p>
            <w:pPr>
              <w:spacing w:after="0"/>
              <w:rPr>
                <w:sz w:val="15"/>
                <w:szCs w:val="15"/>
                <w:color w:val="auto"/>
              </w:rPr>
            </w:pPr>
          </w:p>
        </w:tc>
        <w:tc>
          <w:tcPr>
            <w:tcW w:w="20" w:type="dxa"/>
            <w:vAlign w:val="bottom"/>
            <w:tcBorders>
              <w:top w:val="single" w:sz="8" w:color="DDDDDD"/>
              <w:bottom w:val="single" w:sz="8" w:color="DDDDDD"/>
            </w:tcBorders>
            <w:shd w:val="clear" w:color="auto" w:fill="DDDDDD"/>
          </w:tcPr>
          <w:p>
            <w:pPr>
              <w:spacing w:after="0"/>
              <w:rPr>
                <w:sz w:val="15"/>
                <w:szCs w:val="1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ARTICLE VII</w:t>
      </w:r>
    </w:p>
    <w:p>
      <w:pPr>
        <w:spacing w:after="0" w:line="179" w:lineRule="exact"/>
        <w:rPr>
          <w:sz w:val="20"/>
          <w:szCs w:val="20"/>
          <w:color w:val="auto"/>
        </w:rPr>
      </w:pPr>
    </w:p>
    <w:p>
      <w:pPr>
        <w:ind w:left="1560"/>
        <w:spacing w:after="0"/>
        <w:tabs>
          <w:tab w:leader="none" w:pos="2980" w:val="left"/>
        </w:tabs>
        <w:rPr>
          <w:sz w:val="20"/>
          <w:szCs w:val="20"/>
          <w:color w:val="auto"/>
        </w:rPr>
      </w:pPr>
      <w:r>
        <w:rPr>
          <w:rFonts w:ascii="Arial" w:cs="Arial" w:eastAsia="Arial" w:hAnsi="Arial"/>
          <w:sz w:val="22"/>
          <w:szCs w:val="22"/>
          <w:color w:val="auto"/>
        </w:rPr>
        <w:t>GUARANTY</w:t>
      </w:r>
      <w:r>
        <w:rPr>
          <w:sz w:val="20"/>
          <w:szCs w:val="20"/>
          <w:color w:val="auto"/>
        </w:rPr>
        <w:tab/>
      </w:r>
      <w:r>
        <w:rPr>
          <w:rFonts w:ascii="Arial" w:cs="Arial" w:eastAsia="Arial" w:hAnsi="Arial"/>
          <w:sz w:val="18"/>
          <w:szCs w:val="18"/>
          <w:color w:val="FF0000"/>
          <w:strike w:val="1"/>
        </w:rPr>
        <w:t>121</w:t>
      </w:r>
      <w:r>
        <w:rPr>
          <w:rFonts w:ascii="Arial" w:cs="Arial" w:eastAsia="Arial" w:hAnsi="Arial"/>
          <w:sz w:val="18"/>
          <w:szCs w:val="18"/>
          <w:u w:val="single" w:color="auto"/>
          <w:color w:val="0000FF"/>
          <w:highlight w:val="lightGray"/>
          <w:strike w:val="1"/>
        </w:rPr>
        <w:t>119</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50"/>
        </w:trPr>
        <w:tc>
          <w:tcPr>
            <w:tcW w:w="3660" w:type="dxa"/>
            <w:vAlign w:val="bottom"/>
            <w:gridSpan w:val="13"/>
            <w:vMerge w:val="restart"/>
          </w:tcPr>
          <w:p>
            <w:pPr>
              <w:spacing w:after="0"/>
              <w:rPr>
                <w:sz w:val="20"/>
                <w:szCs w:val="20"/>
                <w:color w:val="auto"/>
              </w:rPr>
            </w:pPr>
            <w:r>
              <w:rPr>
                <w:rFonts w:ascii="Arial" w:cs="Arial" w:eastAsia="Arial" w:hAnsi="Arial"/>
                <w:sz w:val="22"/>
                <w:szCs w:val="22"/>
                <w:color w:val="auto"/>
                <w:w w:val="94"/>
              </w:rPr>
              <w:t>Section 7.1 Guaranty of the Obligations</w:t>
            </w:r>
          </w:p>
        </w:tc>
        <w:tc>
          <w:tcPr>
            <w:tcW w:w="300" w:type="dxa"/>
            <w:vAlign w:val="bottom"/>
            <w:gridSpan w:val="5"/>
            <w:vMerge w:val="restart"/>
          </w:tcPr>
          <w:p>
            <w:pPr>
              <w:jc w:val="right"/>
              <w:spacing w:after="0"/>
              <w:rPr>
                <w:sz w:val="20"/>
                <w:szCs w:val="20"/>
                <w:color w:val="auto"/>
              </w:rPr>
            </w:pPr>
            <w:r>
              <w:rPr>
                <w:rFonts w:ascii="Arial" w:cs="Arial" w:eastAsia="Arial" w:hAnsi="Arial"/>
                <w:sz w:val="22"/>
                <w:szCs w:val="22"/>
                <w:color w:val="FF0000"/>
                <w:strike w:val="1"/>
                <w:w w:val="76"/>
              </w:rPr>
              <w:t>121</w:t>
            </w: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660" w:type="dxa"/>
            <w:vAlign w:val="bottom"/>
            <w:gridSpan w:val="13"/>
            <w:vMerge w:val="continue"/>
          </w:tcPr>
          <w:p>
            <w:pPr>
              <w:spacing w:after="0"/>
              <w:rPr>
                <w:sz w:val="17"/>
                <w:szCs w:val="17"/>
                <w:color w:val="auto"/>
              </w:rPr>
            </w:pPr>
          </w:p>
        </w:tc>
        <w:tc>
          <w:tcPr>
            <w:tcW w:w="300" w:type="dxa"/>
            <w:vAlign w:val="bottom"/>
            <w:gridSpan w:val="5"/>
            <w:vMerge w:val="continue"/>
          </w:tcPr>
          <w:p>
            <w:pPr>
              <w:spacing w:after="0"/>
              <w:rPr>
                <w:sz w:val="17"/>
                <w:szCs w:val="17"/>
                <w:color w:val="auto"/>
              </w:rPr>
            </w:pPr>
          </w:p>
        </w:tc>
        <w:tc>
          <w:tcPr>
            <w:tcW w:w="300" w:type="dxa"/>
            <w:vAlign w:val="bottom"/>
            <w:tcBorders>
              <w:left w:val="single" w:sz="8" w:color="DDDDDD"/>
            </w:tcBorders>
            <w:gridSpan w:val="2"/>
            <w:shd w:val="clear" w:color="auto" w:fill="DDDDDD"/>
          </w:tcPr>
          <w:p>
            <w:pPr>
              <w:jc w:val="right"/>
              <w:spacing w:after="0" w:line="203" w:lineRule="exact"/>
              <w:rPr>
                <w:sz w:val="20"/>
                <w:szCs w:val="20"/>
                <w:color w:val="auto"/>
              </w:rPr>
            </w:pPr>
            <w:r>
              <w:rPr>
                <w:rFonts w:ascii="Arial" w:cs="Arial" w:eastAsia="Arial" w:hAnsi="Arial"/>
                <w:sz w:val="22"/>
                <w:szCs w:val="22"/>
                <w:color w:val="0000FF"/>
                <w:highlight w:val="lightGray"/>
                <w:w w:val="81"/>
              </w:rPr>
              <w:t>119</w:t>
            </w:r>
          </w:p>
        </w:tc>
        <w:tc>
          <w:tcPr>
            <w:tcW w:w="40" w:type="dxa"/>
            <w:vAlign w:val="bottom"/>
            <w:tcBorders>
              <w:left w:val="single" w:sz="8" w:color="DDDDDD"/>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line="216" w:lineRule="exact"/>
              <w:rPr>
                <w:sz w:val="20"/>
                <w:szCs w:val="20"/>
                <w:color w:val="auto"/>
              </w:rPr>
            </w:pPr>
            <w:r>
              <w:rPr>
                <w:rFonts w:ascii="Arial" w:cs="Arial" w:eastAsia="Arial" w:hAnsi="Arial"/>
                <w:sz w:val="22"/>
                <w:szCs w:val="22"/>
                <w:color w:val="auto"/>
                <w:w w:val="85"/>
              </w:rPr>
              <w:t>Section 7.2</w:t>
            </w:r>
          </w:p>
        </w:tc>
        <w:tc>
          <w:tcPr>
            <w:tcW w:w="20" w:type="dxa"/>
            <w:vAlign w:val="bottom"/>
            <w:vMerge w:val="restart"/>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DDDDDD"/>
            </w:tcBorders>
            <w:gridSpan w:val="2"/>
          </w:tcPr>
          <w:p>
            <w:pPr>
              <w:spacing w:after="0" w:line="20" w:lineRule="exact"/>
              <w:rPr>
                <w:sz w:val="1"/>
                <w:szCs w:val="1"/>
                <w:color w:val="auto"/>
              </w:rPr>
            </w:pPr>
          </w:p>
        </w:tc>
        <w:tc>
          <w:tcPr>
            <w:tcW w:w="120" w:type="dxa"/>
            <w:vAlign w:val="bottom"/>
            <w:tcBorders>
              <w:bottom w:val="single" w:sz="8" w:color="DDDDDD"/>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left w:val="single" w:sz="8" w:color="DDDDDD"/>
              <w:bottom w:val="single" w:sz="8" w:color="DDDDDD"/>
            </w:tcBorders>
            <w:shd w:val="clear" w:color="auto" w:fill="0000FF"/>
          </w:tcPr>
          <w:p>
            <w:pPr>
              <w:spacing w:after="0" w:line="20" w:lineRule="exact"/>
              <w:rPr>
                <w:sz w:val="1"/>
                <w:szCs w:val="1"/>
                <w:color w:val="auto"/>
              </w:rPr>
            </w:pPr>
          </w:p>
        </w:tc>
        <w:tc>
          <w:tcPr>
            <w:tcW w:w="180" w:type="dxa"/>
            <w:vAlign w:val="bottom"/>
            <w:tcBorders>
              <w:bottom w:val="single" w:sz="8" w:color="DDDDDD"/>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80" w:type="dxa"/>
            <w:vAlign w:val="bottom"/>
            <w:gridSpan w:val="6"/>
          </w:tcPr>
          <w:p>
            <w:pPr>
              <w:ind w:left="40"/>
              <w:spacing w:after="0" w:line="176" w:lineRule="exact"/>
              <w:rPr>
                <w:sz w:val="20"/>
                <w:szCs w:val="20"/>
                <w:color w:val="auto"/>
              </w:rPr>
            </w:pPr>
            <w:r>
              <w:rPr>
                <w:rFonts w:ascii="Arial" w:cs="Arial" w:eastAsia="Arial" w:hAnsi="Arial"/>
                <w:sz w:val="19"/>
                <w:szCs w:val="19"/>
                <w:color w:val="auto"/>
                <w:w w:val="99"/>
              </w:rPr>
              <w:t>Payment by Guarantors</w:t>
            </w:r>
          </w:p>
        </w:tc>
        <w:tc>
          <w:tcPr>
            <w:tcW w:w="540" w:type="dxa"/>
            <w:vAlign w:val="bottom"/>
            <w:tcBorders>
              <w:right w:val="single" w:sz="8" w:color="DDDDDD"/>
            </w:tcBorders>
            <w:gridSpan w:val="4"/>
          </w:tcPr>
          <w:p>
            <w:pPr>
              <w:jc w:val="right"/>
              <w:spacing w:after="0" w:line="176" w:lineRule="exact"/>
              <w:rPr>
                <w:sz w:val="20"/>
                <w:szCs w:val="20"/>
                <w:color w:val="auto"/>
              </w:rPr>
            </w:pPr>
            <w:r>
              <w:rPr>
                <w:rFonts w:ascii="Arial" w:cs="Arial" w:eastAsia="Arial" w:hAnsi="Arial"/>
                <w:sz w:val="19"/>
                <w:szCs w:val="19"/>
                <w:color w:val="FF0000"/>
                <w:strike w:val="1"/>
              </w:rPr>
              <w:t>121</w:t>
            </w:r>
          </w:p>
        </w:tc>
        <w:tc>
          <w:tcPr>
            <w:tcW w:w="320" w:type="dxa"/>
            <w:vAlign w:val="bottom"/>
            <w:tcBorders>
              <w:right w:val="single" w:sz="8" w:color="DDDDDD"/>
            </w:tcBorders>
            <w:gridSpan w:val="5"/>
            <w:shd w:val="clear" w:color="auto" w:fill="DDDDDD"/>
          </w:tcPr>
          <w:p>
            <w:pPr>
              <w:jc w:val="right"/>
              <w:ind w:right="20"/>
              <w:spacing w:after="0" w:line="176" w:lineRule="exact"/>
              <w:rPr>
                <w:sz w:val="20"/>
                <w:szCs w:val="20"/>
                <w:color w:val="auto"/>
              </w:rPr>
            </w:pPr>
            <w:r>
              <w:rPr>
                <w:rFonts w:ascii="Arial" w:cs="Arial" w:eastAsia="Arial" w:hAnsi="Arial"/>
                <w:sz w:val="19"/>
                <w:szCs w:val="19"/>
                <w:color w:val="0000FF"/>
                <w:highlight w:val="lightGray"/>
                <w:w w:val="88"/>
              </w:rPr>
              <w:t>119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line="195" w:lineRule="exact"/>
              <w:rPr>
                <w:sz w:val="20"/>
                <w:szCs w:val="20"/>
                <w:color w:val="auto"/>
              </w:rPr>
            </w:pPr>
            <w:r>
              <w:rPr>
                <w:rFonts w:ascii="Arial" w:cs="Arial" w:eastAsia="Arial" w:hAnsi="Arial"/>
                <w:sz w:val="22"/>
                <w:szCs w:val="22"/>
                <w:color w:val="auto"/>
                <w:w w:val="85"/>
              </w:rPr>
              <w:t>Section 7.3</w:t>
            </w:r>
          </w:p>
        </w:tc>
        <w:tc>
          <w:tcPr>
            <w:tcW w:w="2100" w:type="dxa"/>
            <w:vAlign w:val="bottom"/>
            <w:tcBorders>
              <w:top w:val="single" w:sz="8" w:color="auto"/>
            </w:tcBorders>
            <w:gridSpan w:val="7"/>
            <w:vMerge w:val="restart"/>
          </w:tcPr>
          <w:p>
            <w:pPr>
              <w:ind w:left="60"/>
              <w:spacing w:after="0" w:line="195" w:lineRule="exact"/>
              <w:rPr>
                <w:sz w:val="20"/>
                <w:szCs w:val="20"/>
                <w:color w:val="auto"/>
              </w:rPr>
            </w:pPr>
            <w:r>
              <w:rPr>
                <w:rFonts w:ascii="Arial" w:cs="Arial" w:eastAsia="Arial" w:hAnsi="Arial"/>
                <w:sz w:val="22"/>
                <w:szCs w:val="22"/>
                <w:color w:val="auto"/>
                <w:w w:val="93"/>
              </w:rPr>
              <w:t>Liability of Guarantors</w:t>
            </w:r>
          </w:p>
        </w:tc>
        <w:tc>
          <w:tcPr>
            <w:tcW w:w="3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DDDDDD"/>
            </w:tcBorders>
          </w:tcPr>
          <w:p>
            <w:pPr>
              <w:spacing w:after="0" w:line="20" w:lineRule="exact"/>
              <w:rPr>
                <w:sz w:val="1"/>
                <w:szCs w:val="1"/>
                <w:color w:val="auto"/>
              </w:rPr>
            </w:pPr>
          </w:p>
        </w:tc>
        <w:tc>
          <w:tcPr>
            <w:tcW w:w="120" w:type="dxa"/>
            <w:vAlign w:val="bottom"/>
            <w:tcBorders>
              <w:top w:val="single" w:sz="8" w:color="0000FF"/>
            </w:tcBorders>
            <w:gridSpan w:val="2"/>
            <w:shd w:val="clear" w:color="auto" w:fill="DDDDDD"/>
          </w:tcPr>
          <w:p>
            <w:pPr>
              <w:spacing w:after="0" w:line="20" w:lineRule="exact"/>
              <w:rPr>
                <w:sz w:val="1"/>
                <w:szCs w:val="1"/>
                <w:color w:val="auto"/>
              </w:rPr>
            </w:pPr>
          </w:p>
        </w:tc>
        <w:tc>
          <w:tcPr>
            <w:tcW w:w="120" w:type="dxa"/>
            <w:vAlign w:val="bottom"/>
            <w:tcBorders>
              <w:top w:val="single" w:sz="8" w:color="0000FF"/>
            </w:tcBorders>
            <w:shd w:val="clear" w:color="auto" w:fill="DDDDDD"/>
          </w:tcPr>
          <w:p>
            <w:pPr>
              <w:spacing w:after="0" w:line="20" w:lineRule="exact"/>
              <w:rPr>
                <w:sz w:val="1"/>
                <w:szCs w:val="1"/>
                <w:color w:val="auto"/>
              </w:rPr>
            </w:pPr>
          </w:p>
        </w:tc>
        <w:tc>
          <w:tcPr>
            <w:tcW w:w="40" w:type="dxa"/>
            <w:vAlign w:val="bottom"/>
            <w:tcBorders>
              <w:top w:val="single" w:sz="8" w:color="0000FF"/>
              <w:right w:val="single" w:sz="8" w:color="DDDDDD"/>
            </w:tcBorders>
            <w:shd w:val="clear" w:color="auto" w:fill="DDDDDD"/>
          </w:tcPr>
          <w:p>
            <w:pPr>
              <w:spacing w:after="0" w:line="20" w:lineRule="exact"/>
              <w:rPr>
                <w:sz w:val="1"/>
                <w:szCs w:val="1"/>
                <w:color w:val="auto"/>
              </w:rPr>
            </w:pPr>
          </w:p>
        </w:tc>
        <w:tc>
          <w:tcPr>
            <w:tcW w:w="40" w:type="dxa"/>
            <w:vAlign w:val="bottom"/>
            <w:tcBorders>
              <w:top w:val="single" w:sz="8" w:color="0000FF"/>
              <w:right w:val="single" w:sz="8" w:color="DDDDDD"/>
            </w:tcBorders>
            <w:shd w:val="clear" w:color="auto" w:fill="DDDDDD"/>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vMerge w:val="restart"/>
          </w:tcPr>
          <w:p>
            <w:pPr>
              <w:ind w:left="100"/>
              <w:spacing w:after="0" w:line="195" w:lineRule="exact"/>
              <w:rPr>
                <w:sz w:val="20"/>
                <w:szCs w:val="20"/>
                <w:color w:val="auto"/>
              </w:rPr>
            </w:pPr>
            <w:r>
              <w:rPr>
                <w:rFonts w:ascii="Arial" w:cs="Arial" w:eastAsia="Arial" w:hAnsi="Arial"/>
                <w:sz w:val="22"/>
                <w:szCs w:val="22"/>
                <w:color w:val="FF0000"/>
                <w:strike w:val="1"/>
                <w:w w:val="76"/>
              </w:rPr>
              <w:t>121</w:t>
            </w:r>
          </w:p>
        </w:tc>
        <w:tc>
          <w:tcPr>
            <w:tcW w:w="40" w:type="dxa"/>
            <w:vAlign w:val="bottom"/>
            <w:tcBorders>
              <w:right w:val="single" w:sz="8" w:color="DDDDDD"/>
            </w:tcBorders>
            <w:vMerge w:val="restart"/>
          </w:tcPr>
          <w:p>
            <w:pPr>
              <w:spacing w:after="0" w:line="20" w:lineRule="exact"/>
              <w:rPr>
                <w:sz w:val="1"/>
                <w:szCs w:val="1"/>
                <w:color w:val="auto"/>
              </w:rPr>
            </w:pPr>
          </w:p>
        </w:tc>
        <w:tc>
          <w:tcPr>
            <w:tcW w:w="280" w:type="dxa"/>
            <w:vAlign w:val="bottom"/>
            <w:gridSpan w:val="2"/>
            <w:vMerge w:val="restart"/>
            <w:shd w:val="clear" w:color="auto" w:fill="DDDDDD"/>
          </w:tcPr>
          <w:p>
            <w:pPr>
              <w:jc w:val="right"/>
              <w:spacing w:after="0" w:line="195" w:lineRule="exact"/>
              <w:rPr>
                <w:sz w:val="20"/>
                <w:szCs w:val="20"/>
                <w:color w:val="auto"/>
              </w:rPr>
            </w:pPr>
            <w:r>
              <w:rPr>
                <w:rFonts w:ascii="Arial" w:cs="Arial" w:eastAsia="Arial" w:hAnsi="Arial"/>
                <w:sz w:val="22"/>
                <w:szCs w:val="22"/>
                <w:color w:val="0000FF"/>
                <w:highlight w:val="lightGray"/>
                <w:w w:val="70"/>
              </w:rPr>
              <w:t>119</w:t>
            </w: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vMerge w:val="continue"/>
          </w:tcPr>
          <w:p>
            <w:pPr>
              <w:spacing w:after="0"/>
              <w:rPr>
                <w:sz w:val="17"/>
                <w:szCs w:val="17"/>
                <w:color w:val="auto"/>
              </w:rPr>
            </w:pPr>
          </w:p>
        </w:tc>
        <w:tc>
          <w:tcPr>
            <w:tcW w:w="2100" w:type="dxa"/>
            <w:vAlign w:val="bottom"/>
            <w:gridSpan w:val="7"/>
            <w:vMerge w:val="continue"/>
          </w:tcPr>
          <w:p>
            <w:pPr>
              <w:spacing w:after="0"/>
              <w:rPr>
                <w:sz w:val="17"/>
                <w:szCs w:val="17"/>
                <w:color w:val="auto"/>
              </w:rPr>
            </w:pPr>
          </w:p>
        </w:tc>
        <w:tc>
          <w:tcPr>
            <w:tcW w:w="860" w:type="dxa"/>
            <w:vAlign w:val="bottom"/>
            <w:gridSpan w:val="9"/>
          </w:tcPr>
          <w:p>
            <w:pPr>
              <w:spacing w:after="0" w:line="176" w:lineRule="exact"/>
              <w:rPr>
                <w:sz w:val="20"/>
                <w:szCs w:val="20"/>
                <w:color w:val="auto"/>
              </w:rPr>
            </w:pPr>
            <w:r>
              <w:rPr>
                <w:rFonts w:ascii="Arial" w:cs="Arial" w:eastAsia="Arial" w:hAnsi="Arial"/>
                <w:sz w:val="19"/>
                <w:szCs w:val="19"/>
                <w:color w:val="auto"/>
              </w:rPr>
              <w:t>Absolute</w:t>
            </w:r>
          </w:p>
        </w:tc>
        <w:tc>
          <w:tcPr>
            <w:tcW w:w="40" w:type="dxa"/>
            <w:vAlign w:val="bottom"/>
          </w:tcPr>
          <w:p>
            <w:pPr>
              <w:spacing w:after="0"/>
              <w:rPr>
                <w:sz w:val="17"/>
                <w:szCs w:val="17"/>
                <w:color w:val="auto"/>
              </w:rPr>
            </w:pPr>
          </w:p>
        </w:tc>
        <w:tc>
          <w:tcPr>
            <w:tcW w:w="400" w:type="dxa"/>
            <w:vAlign w:val="bottom"/>
            <w:gridSpan w:val="4"/>
            <w:vMerge w:val="continue"/>
          </w:tcPr>
          <w:p>
            <w:pPr>
              <w:spacing w:after="0"/>
              <w:rPr>
                <w:sz w:val="17"/>
                <w:szCs w:val="17"/>
                <w:color w:val="auto"/>
              </w:rPr>
            </w:pPr>
          </w:p>
        </w:tc>
        <w:tc>
          <w:tcPr>
            <w:tcW w:w="40" w:type="dxa"/>
            <w:vAlign w:val="bottom"/>
            <w:tcBorders>
              <w:right w:val="single" w:sz="8" w:color="DDDDDD"/>
            </w:tcBorders>
            <w:vMerge w:val="continue"/>
          </w:tcPr>
          <w:p>
            <w:pPr>
              <w:spacing w:after="0"/>
              <w:rPr>
                <w:sz w:val="17"/>
                <w:szCs w:val="17"/>
                <w:color w:val="auto"/>
              </w:rPr>
            </w:pPr>
          </w:p>
        </w:tc>
        <w:tc>
          <w:tcPr>
            <w:tcW w:w="280" w:type="dxa"/>
            <w:vAlign w:val="bottom"/>
            <w:gridSpan w:val="2"/>
            <w:vMerge w:val="continue"/>
            <w:shd w:val="clear" w:color="auto" w:fill="DDDDDD"/>
          </w:tcPr>
          <w:p>
            <w:pPr>
              <w:spacing w:after="0"/>
              <w:rPr>
                <w:sz w:val="17"/>
                <w:szCs w:val="17"/>
                <w:color w:val="auto"/>
              </w:rPr>
            </w:pPr>
          </w:p>
        </w:tc>
        <w:tc>
          <w:tcPr>
            <w:tcW w:w="10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line="176" w:lineRule="exact"/>
              <w:rPr>
                <w:sz w:val="20"/>
                <w:szCs w:val="20"/>
                <w:color w:val="auto"/>
              </w:rPr>
            </w:pPr>
            <w:r>
              <w:rPr>
                <w:rFonts w:ascii="Arial" w:cs="Arial" w:eastAsia="Arial" w:hAnsi="Arial"/>
                <w:sz w:val="19"/>
                <w:szCs w:val="19"/>
                <w:color w:val="auto"/>
                <w:w w:val="98"/>
              </w:rPr>
              <w:t>Section 7.4</w:t>
            </w:r>
          </w:p>
        </w:tc>
        <w:tc>
          <w:tcPr>
            <w:tcW w:w="2100" w:type="dxa"/>
            <w:vAlign w:val="bottom"/>
            <w:tcBorders>
              <w:top w:val="single" w:sz="8" w:color="auto"/>
            </w:tcBorders>
            <w:gridSpan w:val="7"/>
          </w:tcPr>
          <w:p>
            <w:pPr>
              <w:ind w:left="60"/>
              <w:spacing w:after="0" w:line="176" w:lineRule="exact"/>
              <w:rPr>
                <w:sz w:val="20"/>
                <w:szCs w:val="20"/>
                <w:color w:val="auto"/>
              </w:rPr>
            </w:pPr>
            <w:r>
              <w:rPr>
                <w:rFonts w:ascii="Arial" w:cs="Arial" w:eastAsia="Arial" w:hAnsi="Arial"/>
                <w:sz w:val="19"/>
                <w:szCs w:val="19"/>
                <w:color w:val="auto"/>
              </w:rPr>
              <w:t>Waivers by Guarantors</w:t>
            </w:r>
          </w:p>
        </w:tc>
        <w:tc>
          <w:tcPr>
            <w:tcW w:w="480" w:type="dxa"/>
            <w:vAlign w:val="bottom"/>
            <w:tcBorders>
              <w:top w:val="single" w:sz="8" w:color="auto"/>
            </w:tcBorders>
            <w:gridSpan w:val="3"/>
          </w:tcPr>
          <w:p>
            <w:pPr>
              <w:jc w:val="right"/>
              <w:spacing w:after="0" w:line="176" w:lineRule="exact"/>
              <w:rPr>
                <w:sz w:val="20"/>
                <w:szCs w:val="20"/>
                <w:color w:val="auto"/>
              </w:rPr>
            </w:pPr>
            <w:r>
              <w:rPr>
                <w:rFonts w:ascii="Arial" w:cs="Arial" w:eastAsia="Arial" w:hAnsi="Arial"/>
                <w:sz w:val="19"/>
                <w:szCs w:val="19"/>
                <w:color w:val="FF0000"/>
                <w:strike w:val="1"/>
              </w:rPr>
              <w:t>124</w:t>
            </w:r>
          </w:p>
        </w:tc>
        <w:tc>
          <w:tcPr>
            <w:tcW w:w="300" w:type="dxa"/>
            <w:vAlign w:val="bottom"/>
            <w:tcBorders>
              <w:top w:val="single" w:sz="8" w:color="auto"/>
            </w:tcBorders>
            <w:gridSpan w:val="4"/>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88"/>
              </w:rPr>
              <w:t>122</w:t>
            </w:r>
          </w:p>
        </w:tc>
        <w:tc>
          <w:tcPr>
            <w:tcW w:w="40" w:type="dxa"/>
            <w:vAlign w:val="bottom"/>
            <w:tcBorders>
              <w:top w:val="single" w:sz="8" w:color="DDDDDD"/>
              <w:right w:val="single" w:sz="8" w:color="DDDDDD"/>
            </w:tcBorders>
            <w:shd w:val="clear" w:color="auto" w:fill="DDDDDD"/>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line="195" w:lineRule="exact"/>
              <w:rPr>
                <w:sz w:val="20"/>
                <w:szCs w:val="20"/>
                <w:color w:val="auto"/>
              </w:rPr>
            </w:pPr>
            <w:r>
              <w:rPr>
                <w:rFonts w:ascii="Arial" w:cs="Arial" w:eastAsia="Arial" w:hAnsi="Arial"/>
                <w:sz w:val="22"/>
                <w:szCs w:val="22"/>
                <w:color w:val="auto"/>
                <w:w w:val="85"/>
              </w:rPr>
              <w:t>Section 7.5</w:t>
            </w:r>
          </w:p>
        </w:tc>
        <w:tc>
          <w:tcPr>
            <w:tcW w:w="20" w:type="dxa"/>
            <w:vAlign w:val="bottom"/>
            <w:tcBorders>
              <w:top w:val="single" w:sz="8" w:color="auto"/>
            </w:tcBorders>
          </w:tcPr>
          <w:p>
            <w:pPr>
              <w:spacing w:after="0" w:line="20" w:lineRule="exact"/>
              <w:rPr>
                <w:sz w:val="1"/>
                <w:szCs w:val="1"/>
                <w:color w:val="auto"/>
              </w:rPr>
            </w:pPr>
          </w:p>
        </w:tc>
        <w:tc>
          <w:tcPr>
            <w:tcW w:w="2020" w:type="dxa"/>
            <w:vAlign w:val="bottom"/>
            <w:tcBorders>
              <w:top w:val="single" w:sz="8" w:color="auto"/>
            </w:tcBorders>
            <w:gridSpan w:val="5"/>
            <w:vMerge w:val="restart"/>
          </w:tcPr>
          <w:p>
            <w:pPr>
              <w:ind w:left="40"/>
              <w:spacing w:after="0" w:line="195" w:lineRule="exact"/>
              <w:rPr>
                <w:sz w:val="20"/>
                <w:szCs w:val="20"/>
                <w:color w:val="auto"/>
              </w:rPr>
            </w:pPr>
            <w:r>
              <w:rPr>
                <w:rFonts w:ascii="Arial" w:cs="Arial" w:eastAsia="Arial" w:hAnsi="Arial"/>
                <w:sz w:val="22"/>
                <w:szCs w:val="22"/>
                <w:color w:val="auto"/>
                <w:w w:val="94"/>
              </w:rPr>
              <w:t>Guarantors’ Rights of</w:t>
            </w: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FF"/>
            </w:tcBorders>
            <w:gridSpan w:val="3"/>
            <w:shd w:val="clear" w:color="auto" w:fill="DDDDDD"/>
          </w:tcPr>
          <w:p>
            <w:pPr>
              <w:spacing w:after="0" w:line="20" w:lineRule="exact"/>
              <w:rPr>
                <w:sz w:val="1"/>
                <w:szCs w:val="1"/>
                <w:color w:val="auto"/>
              </w:rPr>
            </w:pPr>
          </w:p>
        </w:tc>
        <w:tc>
          <w:tcPr>
            <w:tcW w:w="160" w:type="dxa"/>
            <w:vAlign w:val="bottom"/>
            <w:tcBorders>
              <w:top w:val="single" w:sz="8" w:color="0000FF"/>
              <w:right w:val="single" w:sz="8" w:color="DDDDDD"/>
            </w:tcBorders>
            <w:gridSpan w:val="2"/>
            <w:shd w:val="clear" w:color="auto" w:fill="DDDDDD"/>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1740" w:type="dxa"/>
            <w:vAlign w:val="bottom"/>
            <w:gridSpan w:val="12"/>
            <w:vMerge w:val="restart"/>
          </w:tcPr>
          <w:p>
            <w:pPr>
              <w:ind w:left="20"/>
              <w:spacing w:after="0" w:line="195" w:lineRule="exact"/>
              <w:rPr>
                <w:sz w:val="20"/>
                <w:szCs w:val="20"/>
                <w:color w:val="auto"/>
              </w:rPr>
            </w:pPr>
            <w:r>
              <w:rPr>
                <w:rFonts w:ascii="Arial" w:cs="Arial" w:eastAsia="Arial" w:hAnsi="Arial"/>
                <w:sz w:val="22"/>
                <w:szCs w:val="22"/>
                <w:color w:val="auto"/>
              </w:rPr>
              <w:t>Contribution, Etc</w:t>
            </w:r>
          </w:p>
        </w:tc>
        <w:tc>
          <w:tcPr>
            <w:tcW w:w="320" w:type="dxa"/>
            <w:vAlign w:val="bottom"/>
            <w:vMerge w:val="restart"/>
          </w:tcPr>
          <w:p>
            <w:pPr>
              <w:jc w:val="right"/>
              <w:spacing w:after="0" w:line="195" w:lineRule="exact"/>
              <w:rPr>
                <w:sz w:val="20"/>
                <w:szCs w:val="20"/>
                <w:color w:val="auto"/>
              </w:rPr>
            </w:pPr>
            <w:r>
              <w:rPr>
                <w:rFonts w:ascii="Arial" w:cs="Arial" w:eastAsia="Arial" w:hAnsi="Arial"/>
                <w:sz w:val="22"/>
                <w:szCs w:val="22"/>
                <w:color w:val="FF0000"/>
                <w:strike w:val="1"/>
                <w:w w:val="81"/>
              </w:rPr>
              <w:t>124</w:t>
            </w:r>
          </w:p>
        </w:tc>
        <w:tc>
          <w:tcPr>
            <w:tcW w:w="20" w:type="dxa"/>
            <w:vAlign w:val="bottom"/>
            <w:vMerge w:val="restart"/>
          </w:tcPr>
          <w:p>
            <w:pPr>
              <w:spacing w:after="0" w:line="20" w:lineRule="exact"/>
              <w:rPr>
                <w:sz w:val="1"/>
                <w:szCs w:val="1"/>
                <w:color w:val="auto"/>
              </w:rPr>
            </w:pPr>
          </w:p>
        </w:tc>
        <w:tc>
          <w:tcPr>
            <w:tcW w:w="320" w:type="dxa"/>
            <w:vAlign w:val="bottom"/>
            <w:vMerge w:val="restart"/>
            <w:shd w:val="clear" w:color="auto" w:fill="DDDDDD"/>
          </w:tcPr>
          <w:p>
            <w:pPr>
              <w:jc w:val="right"/>
              <w:spacing w:after="0" w:line="195" w:lineRule="exact"/>
              <w:rPr>
                <w:sz w:val="20"/>
                <w:szCs w:val="20"/>
                <w:color w:val="auto"/>
              </w:rPr>
            </w:pPr>
            <w:r>
              <w:rPr>
                <w:rFonts w:ascii="Arial" w:cs="Arial" w:eastAsia="Arial" w:hAnsi="Arial"/>
                <w:sz w:val="22"/>
                <w:szCs w:val="22"/>
                <w:color w:val="0000FF"/>
                <w:highlight w:val="lightGray"/>
                <w:w w:val="81"/>
              </w:rPr>
              <w:t>122</w:t>
            </w:r>
          </w:p>
        </w:tc>
        <w:tc>
          <w:tcPr>
            <w:tcW w:w="0" w:type="dxa"/>
            <w:vAlign w:val="bottom"/>
          </w:tcPr>
          <w:p>
            <w:pPr>
              <w:spacing w:after="0" w:line="20" w:lineRule="exact"/>
              <w:rPr>
                <w:sz w:val="1"/>
                <w:szCs w:val="1"/>
                <w:color w:val="auto"/>
              </w:rPr>
            </w:pPr>
          </w:p>
        </w:tc>
      </w:tr>
      <w:tr>
        <w:trPr>
          <w:trHeight w:val="196"/>
        </w:trPr>
        <w:tc>
          <w:tcPr>
            <w:tcW w:w="9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gridSpan w:val="5"/>
            <w:vMerge w:val="continue"/>
          </w:tcPr>
          <w:p>
            <w:pPr>
              <w:spacing w:after="0"/>
              <w:rPr>
                <w:sz w:val="17"/>
                <w:szCs w:val="17"/>
                <w:color w:val="auto"/>
              </w:rPr>
            </w:pPr>
          </w:p>
        </w:tc>
        <w:tc>
          <w:tcPr>
            <w:tcW w:w="880" w:type="dxa"/>
            <w:vAlign w:val="bottom"/>
            <w:gridSpan w:val="9"/>
          </w:tcPr>
          <w:p>
            <w:pPr>
              <w:jc w:val="center"/>
              <w:spacing w:after="0" w:line="176" w:lineRule="exact"/>
              <w:rPr>
                <w:sz w:val="20"/>
                <w:szCs w:val="20"/>
                <w:color w:val="auto"/>
              </w:rPr>
            </w:pPr>
            <w:r>
              <w:rPr>
                <w:rFonts w:ascii="Arial" w:cs="Arial" w:eastAsia="Arial" w:hAnsi="Arial"/>
                <w:sz w:val="19"/>
                <w:szCs w:val="19"/>
                <w:color w:val="auto"/>
                <w:w w:val="81"/>
              </w:rPr>
              <w:t>Subrogation,</w:t>
            </w:r>
          </w:p>
        </w:tc>
        <w:tc>
          <w:tcPr>
            <w:tcW w:w="40" w:type="dxa"/>
            <w:vAlign w:val="bottom"/>
            <w:vMerge w:val="continue"/>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1740" w:type="dxa"/>
            <w:vAlign w:val="bottom"/>
            <w:gridSpan w:val="12"/>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320" w:type="dxa"/>
            <w:vAlign w:val="bottom"/>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line="176" w:lineRule="exact"/>
              <w:rPr>
                <w:sz w:val="20"/>
                <w:szCs w:val="20"/>
                <w:color w:val="auto"/>
              </w:rPr>
            </w:pPr>
            <w:r>
              <w:rPr>
                <w:rFonts w:ascii="Arial" w:cs="Arial" w:eastAsia="Arial" w:hAnsi="Arial"/>
                <w:sz w:val="19"/>
                <w:szCs w:val="19"/>
                <w:color w:val="auto"/>
                <w:w w:val="98"/>
              </w:rPr>
              <w:t>Section 7.6</w:t>
            </w:r>
          </w:p>
        </w:tc>
        <w:tc>
          <w:tcPr>
            <w:tcW w:w="20" w:type="dxa"/>
            <w:vAlign w:val="bottom"/>
            <w:tcBorders>
              <w:top w:val="single" w:sz="8" w:color="auto"/>
            </w:tcBorders>
          </w:tcPr>
          <w:p>
            <w:pPr>
              <w:spacing w:after="0"/>
              <w:rPr>
                <w:sz w:val="17"/>
                <w:szCs w:val="17"/>
                <w:color w:val="auto"/>
              </w:rPr>
            </w:pPr>
          </w:p>
        </w:tc>
        <w:tc>
          <w:tcPr>
            <w:tcW w:w="2980" w:type="dxa"/>
            <w:vAlign w:val="bottom"/>
            <w:tcBorders>
              <w:top w:val="single" w:sz="8" w:color="auto"/>
            </w:tcBorders>
            <w:gridSpan w:val="16"/>
          </w:tcPr>
          <w:p>
            <w:pPr>
              <w:ind w:left="40"/>
              <w:spacing w:after="0" w:line="176" w:lineRule="exact"/>
              <w:rPr>
                <w:sz w:val="20"/>
                <w:szCs w:val="20"/>
                <w:color w:val="auto"/>
              </w:rPr>
            </w:pPr>
            <w:r>
              <w:rPr>
                <w:rFonts w:ascii="Arial" w:cs="Arial" w:eastAsia="Arial" w:hAnsi="Arial"/>
                <w:sz w:val="19"/>
                <w:szCs w:val="19"/>
                <w:color w:val="auto"/>
              </w:rPr>
              <w:t>Subrogation of Other Obligations</w:t>
            </w: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gridSpan w:val="5"/>
          </w:tcPr>
          <w:p>
            <w:pPr>
              <w:jc w:val="right"/>
              <w:spacing w:after="0" w:line="176" w:lineRule="exact"/>
              <w:rPr>
                <w:sz w:val="20"/>
                <w:szCs w:val="20"/>
                <w:color w:val="auto"/>
              </w:rPr>
            </w:pPr>
            <w:r>
              <w:rPr>
                <w:rFonts w:ascii="Arial" w:cs="Arial" w:eastAsia="Arial" w:hAnsi="Arial"/>
                <w:sz w:val="19"/>
                <w:szCs w:val="19"/>
                <w:color w:val="FF0000"/>
                <w:strike w:val="1"/>
              </w:rPr>
              <w:t>125</w:t>
            </w:r>
          </w:p>
        </w:tc>
        <w:tc>
          <w:tcPr>
            <w:tcW w:w="320" w:type="dxa"/>
            <w:vAlign w:val="bottom"/>
            <w:tcBorders>
              <w:top w:val="single" w:sz="8" w:color="auto"/>
            </w:tcBorders>
            <w:gridSpan w:val="2"/>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94"/>
              </w:rPr>
              <w:t>123</w:t>
            </w:r>
          </w:p>
        </w:tc>
        <w:tc>
          <w:tcPr>
            <w:tcW w:w="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line="176" w:lineRule="exact"/>
              <w:rPr>
                <w:sz w:val="20"/>
                <w:szCs w:val="20"/>
                <w:color w:val="auto"/>
              </w:rPr>
            </w:pPr>
            <w:r>
              <w:rPr>
                <w:rFonts w:ascii="Arial" w:cs="Arial" w:eastAsia="Arial" w:hAnsi="Arial"/>
                <w:sz w:val="19"/>
                <w:szCs w:val="19"/>
                <w:color w:val="auto"/>
                <w:w w:val="98"/>
              </w:rPr>
              <w:t>Section 7.7</w:t>
            </w:r>
          </w:p>
        </w:tc>
        <w:tc>
          <w:tcPr>
            <w:tcW w:w="2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gridSpan w:val="4"/>
          </w:tcPr>
          <w:p>
            <w:pPr>
              <w:ind w:left="40"/>
              <w:spacing w:after="0" w:line="176" w:lineRule="exact"/>
              <w:rPr>
                <w:sz w:val="20"/>
                <w:szCs w:val="20"/>
                <w:color w:val="auto"/>
              </w:rPr>
            </w:pPr>
            <w:r>
              <w:rPr>
                <w:rFonts w:ascii="Arial" w:cs="Arial" w:eastAsia="Arial" w:hAnsi="Arial"/>
                <w:sz w:val="19"/>
                <w:szCs w:val="19"/>
                <w:color w:val="auto"/>
              </w:rPr>
              <w:t>Continuing Guaranty</w:t>
            </w:r>
          </w:p>
        </w:tc>
        <w:tc>
          <w:tcPr>
            <w:tcW w:w="200" w:type="dxa"/>
            <w:vAlign w:val="bottom"/>
            <w:tcBorders>
              <w:top w:val="single" w:sz="8" w:color="auto"/>
            </w:tcBorders>
            <w:gridSpan w:val="2"/>
          </w:tcPr>
          <w:p>
            <w:pPr>
              <w:spacing w:after="0"/>
              <w:rPr>
                <w:sz w:val="15"/>
                <w:szCs w:val="15"/>
                <w:color w:val="auto"/>
              </w:rPr>
            </w:pPr>
          </w:p>
        </w:tc>
        <w:tc>
          <w:tcPr>
            <w:tcW w:w="380" w:type="dxa"/>
            <w:vAlign w:val="bottom"/>
            <w:tcBorders>
              <w:top w:val="single" w:sz="8" w:color="auto"/>
              <w:right w:val="single" w:sz="8" w:color="DDDDDD"/>
            </w:tcBorders>
            <w:gridSpan w:val="2"/>
          </w:tcPr>
          <w:p>
            <w:pPr>
              <w:spacing w:after="0" w:line="176" w:lineRule="exact"/>
              <w:rPr>
                <w:sz w:val="20"/>
                <w:szCs w:val="20"/>
                <w:color w:val="auto"/>
              </w:rPr>
            </w:pPr>
            <w:r>
              <w:rPr>
                <w:rFonts w:ascii="Arial" w:cs="Arial" w:eastAsia="Arial" w:hAnsi="Arial"/>
                <w:sz w:val="19"/>
                <w:szCs w:val="19"/>
                <w:color w:val="FF0000"/>
                <w:strike w:val="1"/>
              </w:rPr>
              <w:t>125</w:t>
            </w:r>
          </w:p>
        </w:tc>
        <w:tc>
          <w:tcPr>
            <w:tcW w:w="280" w:type="dxa"/>
            <w:vAlign w:val="bottom"/>
            <w:tcBorders>
              <w:top w:val="single" w:sz="8" w:color="auto"/>
            </w:tcBorders>
            <w:gridSpan w:val="4"/>
            <w:shd w:val="clear" w:color="auto" w:fill="DDDDDD"/>
          </w:tcPr>
          <w:p>
            <w:pPr>
              <w:spacing w:after="0" w:line="176" w:lineRule="exact"/>
              <w:rPr>
                <w:sz w:val="20"/>
                <w:szCs w:val="20"/>
                <w:color w:val="auto"/>
              </w:rPr>
            </w:pPr>
            <w:r>
              <w:rPr>
                <w:rFonts w:ascii="Arial" w:cs="Arial" w:eastAsia="Arial" w:hAnsi="Arial"/>
                <w:sz w:val="19"/>
                <w:szCs w:val="19"/>
                <w:color w:val="0000FF"/>
                <w:highlight w:val="lightGray"/>
                <w:w w:val="81"/>
              </w:rPr>
              <w:t>123</w:t>
            </w:r>
          </w:p>
        </w:tc>
        <w:tc>
          <w:tcPr>
            <w:tcW w:w="1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line="216" w:lineRule="exact"/>
              <w:rPr>
                <w:sz w:val="20"/>
                <w:szCs w:val="20"/>
                <w:color w:val="auto"/>
              </w:rPr>
            </w:pPr>
            <w:r>
              <w:rPr>
                <w:rFonts w:ascii="Arial" w:cs="Arial" w:eastAsia="Arial" w:hAnsi="Arial"/>
                <w:sz w:val="22"/>
                <w:szCs w:val="22"/>
                <w:color w:val="auto"/>
                <w:w w:val="85"/>
              </w:rPr>
              <w:t>Section 7.8</w:t>
            </w: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DDDDDD"/>
            </w:tcBorders>
            <w:shd w:val="clear" w:color="auto" w:fill="0000FF"/>
          </w:tcPr>
          <w:p>
            <w:pPr>
              <w:spacing w:after="0" w:line="20" w:lineRule="exact"/>
              <w:rPr>
                <w:sz w:val="1"/>
                <w:szCs w:val="1"/>
                <w:color w:val="auto"/>
              </w:rPr>
            </w:pPr>
          </w:p>
        </w:tc>
        <w:tc>
          <w:tcPr>
            <w:tcW w:w="180" w:type="dxa"/>
            <w:vAlign w:val="bottom"/>
            <w:tcBorders>
              <w:bottom w:val="single" w:sz="8" w:color="DDDDDD"/>
            </w:tcBorders>
            <w:gridSpan w:val="3"/>
            <w:shd w:val="clear" w:color="auto" w:fill="0000FF"/>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vMerge w:val="restart"/>
          </w:tcPr>
          <w:p>
            <w:pPr>
              <w:jc w:val="right"/>
              <w:spacing w:after="0" w:line="216" w:lineRule="exact"/>
              <w:rPr>
                <w:sz w:val="20"/>
                <w:szCs w:val="20"/>
                <w:color w:val="auto"/>
              </w:rPr>
            </w:pPr>
            <w:r>
              <w:rPr>
                <w:rFonts w:ascii="Arial" w:cs="Arial" w:eastAsia="Arial" w:hAnsi="Arial"/>
                <w:sz w:val="22"/>
                <w:szCs w:val="22"/>
                <w:color w:val="FF0000"/>
                <w:strike w:val="1"/>
                <w:w w:val="97"/>
              </w:rPr>
              <w:t>126</w:t>
            </w:r>
          </w:p>
        </w:tc>
        <w:tc>
          <w:tcPr>
            <w:tcW w:w="280" w:type="dxa"/>
            <w:vAlign w:val="bottom"/>
            <w:tcBorders>
              <w:bottom w:val="single" w:sz="8" w:color="DDDDDD"/>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vMerge w:val="continue"/>
          </w:tcPr>
          <w:p>
            <w:pPr>
              <w:spacing w:after="0"/>
              <w:rPr>
                <w:sz w:val="17"/>
                <w:szCs w:val="17"/>
                <w:color w:val="auto"/>
              </w:rPr>
            </w:pPr>
          </w:p>
        </w:tc>
        <w:tc>
          <w:tcPr>
            <w:tcW w:w="2480" w:type="dxa"/>
            <w:vAlign w:val="bottom"/>
            <w:gridSpan w:val="9"/>
          </w:tcPr>
          <w:p>
            <w:pPr>
              <w:ind w:left="60"/>
              <w:spacing w:after="0" w:line="176" w:lineRule="exact"/>
              <w:rPr>
                <w:sz w:val="20"/>
                <w:szCs w:val="20"/>
                <w:color w:val="auto"/>
              </w:rPr>
            </w:pPr>
            <w:r>
              <w:rPr>
                <w:rFonts w:ascii="Arial" w:cs="Arial" w:eastAsia="Arial" w:hAnsi="Arial"/>
                <w:sz w:val="19"/>
                <w:szCs w:val="19"/>
                <w:color w:val="auto"/>
              </w:rPr>
              <w:t>Authority of Guarantors or</w:t>
            </w:r>
          </w:p>
        </w:tc>
        <w:tc>
          <w:tcPr>
            <w:tcW w:w="1020" w:type="dxa"/>
            <w:vAlign w:val="bottom"/>
            <w:gridSpan w:val="14"/>
          </w:tcPr>
          <w:p>
            <w:pPr>
              <w:spacing w:after="0" w:line="176" w:lineRule="exact"/>
              <w:rPr>
                <w:sz w:val="20"/>
                <w:szCs w:val="20"/>
                <w:color w:val="auto"/>
              </w:rPr>
            </w:pPr>
            <w:r>
              <w:rPr>
                <w:rFonts w:ascii="Arial" w:cs="Arial" w:eastAsia="Arial" w:hAnsi="Arial"/>
                <w:sz w:val="19"/>
                <w:szCs w:val="19"/>
                <w:color w:val="auto"/>
              </w:rPr>
              <w:t>Borrowers</w:t>
            </w:r>
          </w:p>
        </w:tc>
        <w:tc>
          <w:tcPr>
            <w:tcW w:w="380" w:type="dxa"/>
            <w:vAlign w:val="bottom"/>
            <w:gridSpan w:val="3"/>
            <w:vMerge w:val="continue"/>
          </w:tcPr>
          <w:p>
            <w:pPr>
              <w:spacing w:after="0"/>
              <w:rPr>
                <w:sz w:val="17"/>
                <w:szCs w:val="17"/>
                <w:color w:val="auto"/>
              </w:rPr>
            </w:pPr>
          </w:p>
        </w:tc>
        <w:tc>
          <w:tcPr>
            <w:tcW w:w="320" w:type="dxa"/>
            <w:vAlign w:val="bottom"/>
            <w:gridSpan w:val="2"/>
            <w:shd w:val="clear" w:color="auto" w:fill="DDDDDD"/>
          </w:tcPr>
          <w:p>
            <w:pPr>
              <w:spacing w:after="0" w:line="176" w:lineRule="exact"/>
              <w:rPr>
                <w:sz w:val="20"/>
                <w:szCs w:val="20"/>
                <w:color w:val="auto"/>
              </w:rPr>
            </w:pPr>
            <w:r>
              <w:rPr>
                <w:rFonts w:ascii="Arial" w:cs="Arial" w:eastAsia="Arial" w:hAnsi="Arial"/>
                <w:sz w:val="19"/>
                <w:szCs w:val="19"/>
                <w:color w:val="0000FF"/>
                <w:highlight w:val="lightGray"/>
                <w:w w:val="94"/>
              </w:rPr>
              <w:t>123</w:t>
            </w:r>
          </w:p>
        </w:tc>
        <w:tc>
          <w:tcPr>
            <w:tcW w:w="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line="176" w:lineRule="exact"/>
              <w:rPr>
                <w:sz w:val="20"/>
                <w:szCs w:val="20"/>
                <w:color w:val="auto"/>
              </w:rPr>
            </w:pPr>
            <w:r>
              <w:rPr>
                <w:rFonts w:ascii="Arial" w:cs="Arial" w:eastAsia="Arial" w:hAnsi="Arial"/>
                <w:sz w:val="19"/>
                <w:szCs w:val="19"/>
                <w:color w:val="auto"/>
                <w:w w:val="98"/>
              </w:rPr>
              <w:t>Section 7.9</w:t>
            </w:r>
          </w:p>
        </w:tc>
        <w:tc>
          <w:tcPr>
            <w:tcW w:w="20" w:type="dxa"/>
            <w:vAlign w:val="bottom"/>
            <w:tcBorders>
              <w:top w:val="single" w:sz="8" w:color="auto"/>
            </w:tcBorders>
          </w:tcPr>
          <w:p>
            <w:pPr>
              <w:spacing w:after="0"/>
              <w:rPr>
                <w:sz w:val="15"/>
                <w:szCs w:val="15"/>
                <w:color w:val="auto"/>
              </w:rPr>
            </w:pPr>
          </w:p>
        </w:tc>
        <w:tc>
          <w:tcPr>
            <w:tcW w:w="3320" w:type="dxa"/>
            <w:vAlign w:val="bottom"/>
            <w:tcBorders>
              <w:top w:val="single" w:sz="8" w:color="auto"/>
            </w:tcBorders>
            <w:gridSpan w:val="19"/>
          </w:tcPr>
          <w:p>
            <w:pPr>
              <w:ind w:left="40"/>
              <w:spacing w:after="0" w:line="176" w:lineRule="exact"/>
              <w:rPr>
                <w:sz w:val="20"/>
                <w:szCs w:val="20"/>
                <w:color w:val="auto"/>
              </w:rPr>
            </w:pPr>
            <w:r>
              <w:rPr>
                <w:rFonts w:ascii="Arial" w:cs="Arial" w:eastAsia="Arial" w:hAnsi="Arial"/>
                <w:sz w:val="19"/>
                <w:szCs w:val="19"/>
                <w:color w:val="auto"/>
              </w:rPr>
              <w:t>Financial Condition of the Borrowers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Borders>
              <w:right w:val="single" w:sz="8" w:color="DDDDDD"/>
            </w:tcBorders>
            <w:gridSpan w:val="3"/>
          </w:tcPr>
          <w:p>
            <w:pPr>
              <w:jc w:val="right"/>
              <w:ind w:right="40"/>
              <w:spacing w:after="0" w:line="176" w:lineRule="exact"/>
              <w:rPr>
                <w:sz w:val="20"/>
                <w:szCs w:val="20"/>
                <w:color w:val="auto"/>
              </w:rPr>
            </w:pPr>
            <w:r>
              <w:rPr>
                <w:rFonts w:ascii="Arial" w:cs="Arial" w:eastAsia="Arial" w:hAnsi="Arial"/>
                <w:sz w:val="19"/>
                <w:szCs w:val="19"/>
                <w:color w:val="FF0000"/>
                <w:strike w:val="1"/>
              </w:rPr>
              <w:t>126</w:t>
            </w:r>
          </w:p>
        </w:tc>
        <w:tc>
          <w:tcPr>
            <w:tcW w:w="280" w:type="dxa"/>
            <w:vAlign w:val="bottom"/>
            <w:tcBorders>
              <w:top w:val="single" w:sz="8" w:color="0000FF"/>
            </w:tcBorders>
            <w:shd w:val="clear" w:color="auto" w:fill="DDDDDD"/>
          </w:tcPr>
          <w:p>
            <w:pPr>
              <w:spacing w:after="0" w:line="176" w:lineRule="exact"/>
              <w:rPr>
                <w:sz w:val="20"/>
                <w:szCs w:val="20"/>
                <w:color w:val="auto"/>
              </w:rPr>
            </w:pPr>
            <w:r>
              <w:rPr>
                <w:rFonts w:ascii="Arial" w:cs="Arial" w:eastAsia="Arial" w:hAnsi="Arial"/>
                <w:sz w:val="19"/>
                <w:szCs w:val="19"/>
                <w:color w:val="0000FF"/>
                <w:highlight w:val="lightGray"/>
                <w:w w:val="81"/>
              </w:rPr>
              <w:t>123</w:t>
            </w:r>
          </w:p>
        </w:tc>
        <w:tc>
          <w:tcPr>
            <w:tcW w:w="4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320" w:type="dxa"/>
            <w:vAlign w:val="bottom"/>
            <w:tcBorders>
              <w:left w:val="single" w:sz="8" w:color="auto"/>
              <w:bottom w:val="single" w:sz="8" w:color="DDDDDD"/>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80" w:type="dxa"/>
            <w:vAlign w:val="bottom"/>
            <w:tcBorders>
              <w:bottom w:val="single" w:sz="8" w:color="DDDDDD"/>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740" w:type="dxa"/>
            <w:vAlign w:val="bottom"/>
            <w:gridSpan w:val="5"/>
          </w:tcPr>
          <w:p>
            <w:pPr>
              <w:spacing w:after="0" w:line="176" w:lineRule="exact"/>
              <w:rPr>
                <w:sz w:val="20"/>
                <w:szCs w:val="20"/>
                <w:color w:val="auto"/>
              </w:rPr>
            </w:pPr>
            <w:r>
              <w:rPr>
                <w:rFonts w:ascii="Arial" w:cs="Arial" w:eastAsia="Arial" w:hAnsi="Arial"/>
                <w:sz w:val="19"/>
                <w:szCs w:val="19"/>
                <w:color w:val="auto"/>
              </w:rPr>
              <w:t>Section 7.10 Bankruptcy, Etc</w:t>
            </w:r>
          </w:p>
        </w:tc>
        <w:tc>
          <w:tcPr>
            <w:tcW w:w="320" w:type="dxa"/>
            <w:vAlign w:val="bottom"/>
            <w:gridSpan w:val="3"/>
          </w:tcPr>
          <w:p>
            <w:pPr>
              <w:jc w:val="right"/>
              <w:spacing w:after="0" w:line="176" w:lineRule="exact"/>
              <w:rPr>
                <w:sz w:val="20"/>
                <w:szCs w:val="20"/>
                <w:color w:val="auto"/>
              </w:rPr>
            </w:pPr>
            <w:r>
              <w:rPr>
                <w:rFonts w:ascii="Arial" w:cs="Arial" w:eastAsia="Arial" w:hAnsi="Arial"/>
                <w:sz w:val="19"/>
                <w:szCs w:val="19"/>
                <w:color w:val="FF0000"/>
                <w:strike w:val="1"/>
                <w:w w:val="94"/>
              </w:rPr>
              <w:t>126</w:t>
            </w:r>
          </w:p>
        </w:tc>
        <w:tc>
          <w:tcPr>
            <w:tcW w:w="320" w:type="dxa"/>
            <w:vAlign w:val="bottom"/>
            <w:tcBorders>
              <w:left w:val="single" w:sz="8" w:color="DDDDDD"/>
            </w:tcBorders>
            <w:shd w:val="clear" w:color="auto" w:fill="DDDDDD"/>
          </w:tcPr>
          <w:p>
            <w:pPr>
              <w:spacing w:after="0" w:line="176" w:lineRule="exact"/>
              <w:rPr>
                <w:sz w:val="20"/>
                <w:szCs w:val="20"/>
                <w:color w:val="auto"/>
              </w:rPr>
            </w:pPr>
            <w:r>
              <w:rPr>
                <w:rFonts w:ascii="Arial" w:cs="Arial" w:eastAsia="Arial" w:hAnsi="Arial"/>
                <w:sz w:val="19"/>
                <w:szCs w:val="19"/>
                <w:color w:val="0000FF"/>
                <w:highlight w:val="lightGray"/>
                <w:w w:val="94"/>
              </w:rPr>
              <w:t>124</w:t>
            </w:r>
          </w:p>
        </w:tc>
        <w:tc>
          <w:tcPr>
            <w:tcW w:w="16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gridSpan w:val="3"/>
            <w:vMerge w:val="restart"/>
          </w:tcPr>
          <w:p>
            <w:pPr>
              <w:spacing w:after="0" w:line="195" w:lineRule="exact"/>
              <w:rPr>
                <w:sz w:val="20"/>
                <w:szCs w:val="20"/>
                <w:color w:val="auto"/>
              </w:rPr>
            </w:pPr>
            <w:r>
              <w:rPr>
                <w:rFonts w:ascii="Arial" w:cs="Arial" w:eastAsia="Arial" w:hAnsi="Arial"/>
                <w:sz w:val="22"/>
                <w:szCs w:val="22"/>
                <w:color w:val="auto"/>
                <w:w w:val="84"/>
              </w:rPr>
              <w:t>Section 7.11</w:t>
            </w:r>
          </w:p>
        </w:tc>
        <w:tc>
          <w:tcPr>
            <w:tcW w:w="1440" w:type="dxa"/>
            <w:vAlign w:val="bottom"/>
            <w:tcBorders>
              <w:top w:val="single" w:sz="8" w:color="auto"/>
            </w:tcBorders>
            <w:vMerge w:val="restart"/>
          </w:tcPr>
          <w:p>
            <w:pPr>
              <w:ind w:left="40"/>
              <w:spacing w:after="0" w:line="195" w:lineRule="exact"/>
              <w:rPr>
                <w:sz w:val="20"/>
                <w:szCs w:val="20"/>
                <w:color w:val="auto"/>
              </w:rPr>
            </w:pPr>
            <w:r>
              <w:rPr>
                <w:rFonts w:ascii="Arial" w:cs="Arial" w:eastAsia="Arial" w:hAnsi="Arial"/>
                <w:sz w:val="22"/>
                <w:szCs w:val="22"/>
                <w:color w:val="auto"/>
                <w:w w:val="90"/>
              </w:rPr>
              <w:t>Excluded Swap</w:t>
            </w:r>
          </w:p>
        </w:tc>
        <w:tc>
          <w:tcPr>
            <w:tcW w:w="540" w:type="dxa"/>
            <w:vAlign w:val="bottom"/>
            <w:gridSpan w:val="4"/>
          </w:tcPr>
          <w:p>
            <w:pPr>
              <w:spacing w:after="0" w:line="20" w:lineRule="exact"/>
              <w:rPr>
                <w:sz w:val="1"/>
                <w:szCs w:val="1"/>
                <w:color w:val="auto"/>
              </w:rPr>
            </w:pPr>
          </w:p>
        </w:tc>
        <w:tc>
          <w:tcPr>
            <w:tcW w:w="320" w:type="dxa"/>
            <w:vAlign w:val="bottom"/>
            <w:tcBorders>
              <w:top w:val="single" w:sz="8" w:color="0000FF"/>
              <w:left w:val="single" w:sz="8" w:color="DDDDDD"/>
            </w:tcBorders>
            <w:shd w:val="clear" w:color="auto" w:fill="DDDDDD"/>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60" w:type="dxa"/>
            <w:vAlign w:val="bottom"/>
            <w:gridSpan w:val="5"/>
            <w:vMerge w:val="restart"/>
          </w:tcPr>
          <w:p>
            <w:pPr>
              <w:jc w:val="right"/>
              <w:spacing w:after="0" w:line="195" w:lineRule="exact"/>
              <w:rPr>
                <w:sz w:val="20"/>
                <w:szCs w:val="20"/>
                <w:color w:val="auto"/>
              </w:rPr>
            </w:pPr>
            <w:r>
              <w:rPr>
                <w:rFonts w:ascii="Arial" w:cs="Arial" w:eastAsia="Arial" w:hAnsi="Arial"/>
                <w:sz w:val="22"/>
                <w:szCs w:val="22"/>
                <w:color w:val="FF0000"/>
                <w:strike w:val="1"/>
                <w:w w:val="92"/>
              </w:rPr>
              <w:t>127</w:t>
            </w:r>
          </w:p>
        </w:tc>
        <w:tc>
          <w:tcPr>
            <w:tcW w:w="320" w:type="dxa"/>
            <w:vAlign w:val="bottom"/>
            <w:tcBorders>
              <w:right w:val="single" w:sz="8" w:color="DDDDDD"/>
            </w:tcBorders>
            <w:gridSpan w:val="4"/>
            <w:vMerge w:val="restart"/>
            <w:shd w:val="clear" w:color="auto" w:fill="DDDDDD"/>
          </w:tcPr>
          <w:p>
            <w:pPr>
              <w:spacing w:after="0" w:line="195" w:lineRule="exact"/>
              <w:rPr>
                <w:sz w:val="20"/>
                <w:szCs w:val="20"/>
                <w:color w:val="auto"/>
              </w:rPr>
            </w:pPr>
            <w:r>
              <w:rPr>
                <w:rFonts w:ascii="Arial" w:cs="Arial" w:eastAsia="Arial" w:hAnsi="Arial"/>
                <w:sz w:val="22"/>
                <w:szCs w:val="22"/>
                <w:color w:val="0000FF"/>
                <w:highlight w:val="lightGray"/>
                <w:w w:val="76"/>
              </w:rPr>
              <w:t>125</w:t>
            </w:r>
          </w:p>
        </w:tc>
        <w:tc>
          <w:tcPr>
            <w:tcW w:w="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80" w:type="dxa"/>
            <w:vAlign w:val="bottom"/>
            <w:gridSpan w:val="3"/>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860" w:type="dxa"/>
            <w:vAlign w:val="bottom"/>
            <w:gridSpan w:val="5"/>
          </w:tcPr>
          <w:p>
            <w:pPr>
              <w:spacing w:after="0" w:line="176" w:lineRule="exact"/>
              <w:rPr>
                <w:sz w:val="20"/>
                <w:szCs w:val="20"/>
                <w:color w:val="auto"/>
              </w:rPr>
            </w:pPr>
            <w:r>
              <w:rPr>
                <w:rFonts w:ascii="Arial" w:cs="Arial" w:eastAsia="Arial" w:hAnsi="Arial"/>
                <w:sz w:val="19"/>
                <w:szCs w:val="19"/>
                <w:color w:val="auto"/>
                <w:w w:val="88"/>
              </w:rPr>
              <w:t>Obligations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360" w:type="dxa"/>
            <w:vAlign w:val="bottom"/>
            <w:gridSpan w:val="5"/>
            <w:vMerge w:val="continue"/>
          </w:tcPr>
          <w:p>
            <w:pPr>
              <w:spacing w:after="0"/>
              <w:rPr>
                <w:sz w:val="15"/>
                <w:szCs w:val="15"/>
                <w:color w:val="auto"/>
              </w:rPr>
            </w:pPr>
          </w:p>
        </w:tc>
        <w:tc>
          <w:tcPr>
            <w:tcW w:w="320" w:type="dxa"/>
            <w:vAlign w:val="bottom"/>
            <w:tcBorders>
              <w:right w:val="single" w:sz="8" w:color="DDDDDD"/>
            </w:tcBorders>
            <w:gridSpan w:val="4"/>
            <w:vMerge w:val="continue"/>
            <w:shd w:val="clear" w:color="auto" w:fill="DDDDDD"/>
          </w:tcPr>
          <w:p>
            <w:pPr>
              <w:spacing w:after="0"/>
              <w:rPr>
                <w:sz w:val="15"/>
                <w:szCs w:val="15"/>
                <w:color w:val="auto"/>
              </w:rPr>
            </w:pPr>
          </w:p>
        </w:tc>
        <w:tc>
          <w:tcPr>
            <w:tcW w:w="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tcBorders>
              <w:left w:val="single" w:sz="8" w:color="auto"/>
            </w:tcBorders>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0" w:type="dxa"/>
            <w:vAlign w:val="bottom"/>
            <w:tcBorders>
              <w:left w:val="single" w:sz="8" w:color="0000FF"/>
            </w:tcBorders>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ARTICLE VIII</w:t>
      </w:r>
    </w:p>
    <w:p>
      <w:pPr>
        <w:spacing w:after="0" w:line="179" w:lineRule="exact"/>
        <w:rPr>
          <w:sz w:val="20"/>
          <w:szCs w:val="20"/>
          <w:color w:val="auto"/>
        </w:rPr>
      </w:pPr>
    </w:p>
    <w:p>
      <w:pPr>
        <w:ind w:left="1560"/>
        <w:spacing w:after="0"/>
        <w:tabs>
          <w:tab w:leader="none" w:pos="3920" w:val="left"/>
        </w:tabs>
        <w:rPr>
          <w:sz w:val="20"/>
          <w:szCs w:val="20"/>
          <w:color w:val="auto"/>
        </w:rPr>
      </w:pPr>
      <w:r>
        <w:rPr>
          <w:rFonts w:ascii="Arial" w:cs="Arial" w:eastAsia="Arial" w:hAnsi="Arial"/>
          <w:sz w:val="22"/>
          <w:szCs w:val="22"/>
          <w:color w:val="auto"/>
        </w:rPr>
        <w:t>EVENTS OF DEFAULT</w:t>
      </w:r>
      <w:r>
        <w:rPr>
          <w:sz w:val="20"/>
          <w:szCs w:val="20"/>
          <w:color w:val="auto"/>
        </w:rPr>
        <w:tab/>
      </w:r>
      <w:r>
        <w:rPr>
          <w:rFonts w:ascii="Arial" w:cs="Arial" w:eastAsia="Arial" w:hAnsi="Arial"/>
          <w:sz w:val="19"/>
          <w:szCs w:val="19"/>
          <w:color w:val="FF0000"/>
          <w:strike w:val="1"/>
        </w:rPr>
        <w:t>128</w:t>
      </w:r>
      <w:r>
        <w:rPr>
          <w:rFonts w:ascii="Arial" w:cs="Arial" w:eastAsia="Arial" w:hAnsi="Arial"/>
          <w:sz w:val="19"/>
          <w:szCs w:val="19"/>
          <w:u w:val="single" w:color="auto"/>
          <w:color w:val="0000FF"/>
          <w:highlight w:val="lightGray"/>
          <w:strike w:val="1"/>
        </w:rPr>
        <w:t>125</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ARTICLE IX</w:t>
      </w:r>
    </w:p>
    <w:p>
      <w:pPr>
        <w:spacing w:after="0" w:line="179" w:lineRule="exact"/>
        <w:rPr>
          <w:sz w:val="20"/>
          <w:szCs w:val="20"/>
          <w:color w:val="auto"/>
        </w:rPr>
      </w:pPr>
    </w:p>
    <w:p>
      <w:pPr>
        <w:ind w:left="1560"/>
        <w:spacing w:after="0"/>
        <w:tabs>
          <w:tab w:leader="none" w:pos="2960" w:val="left"/>
        </w:tabs>
        <w:rPr>
          <w:sz w:val="20"/>
          <w:szCs w:val="20"/>
          <w:color w:val="auto"/>
        </w:rPr>
      </w:pPr>
      <w:r>
        <w:rPr>
          <w:rFonts w:ascii="Arial" w:cs="Arial" w:eastAsia="Arial" w:hAnsi="Arial"/>
          <w:sz w:val="22"/>
          <w:szCs w:val="22"/>
          <w:color w:val="auto"/>
        </w:rPr>
        <w:t>THE AGENT</w:t>
      </w:r>
      <w:r>
        <w:rPr>
          <w:sz w:val="20"/>
          <w:szCs w:val="20"/>
          <w:color w:val="auto"/>
        </w:rPr>
        <w:tab/>
      </w:r>
      <w:r>
        <w:rPr>
          <w:rFonts w:ascii="Arial" w:cs="Arial" w:eastAsia="Arial" w:hAnsi="Arial"/>
          <w:sz w:val="19"/>
          <w:szCs w:val="19"/>
          <w:color w:val="FF0000"/>
          <w:strike w:val="1"/>
        </w:rPr>
        <w:t>131</w:t>
      </w:r>
      <w:r>
        <w:rPr>
          <w:rFonts w:ascii="Arial" w:cs="Arial" w:eastAsia="Arial" w:hAnsi="Arial"/>
          <w:sz w:val="19"/>
          <w:szCs w:val="19"/>
          <w:u w:val="single" w:color="auto"/>
          <w:color w:val="0000FF"/>
          <w:highlight w:val="lightGray"/>
          <w:strike w:val="1"/>
        </w:rPr>
        <w:t>129</w:t>
      </w:r>
    </w:p>
    <w:p>
      <w:pPr>
        <w:spacing w:after="0" w:line="160" w:lineRule="exact"/>
        <w:rPr>
          <w:sz w:val="20"/>
          <w:szCs w:val="20"/>
          <w:color w:val="auto"/>
        </w:rPr>
      </w:pPr>
    </w:p>
    <w:p>
      <w:pPr>
        <w:ind w:left="660"/>
        <w:spacing w:after="0"/>
        <w:tabs>
          <w:tab w:leader="none" w:pos="4060" w:val="left"/>
        </w:tabs>
        <w:rPr>
          <w:sz w:val="20"/>
          <w:szCs w:val="20"/>
          <w:color w:val="auto"/>
        </w:rPr>
      </w:pPr>
      <w:r>
        <w:rPr>
          <w:rFonts w:ascii="Arial" w:cs="Arial" w:eastAsia="Arial" w:hAnsi="Arial"/>
          <w:sz w:val="22"/>
          <w:szCs w:val="22"/>
          <w:color w:val="auto"/>
        </w:rPr>
        <w:t xml:space="preserve">Section 9.1 </w:t>
      </w:r>
      <w:r>
        <w:rPr>
          <w:rFonts w:ascii="Arial" w:cs="Arial" w:eastAsia="Arial" w:hAnsi="Arial"/>
          <w:sz w:val="22"/>
          <w:szCs w:val="22"/>
          <w:u w:val="single" w:color="auto"/>
          <w:color w:val="auto"/>
        </w:rPr>
        <w:t>Authorization and Action</w:t>
      </w:r>
      <w:r>
        <w:rPr>
          <w:sz w:val="20"/>
          <w:szCs w:val="20"/>
          <w:color w:val="auto"/>
        </w:rPr>
        <w:tab/>
      </w:r>
      <w:r>
        <w:rPr>
          <w:rFonts w:ascii="Arial" w:cs="Arial" w:eastAsia="Arial" w:hAnsi="Arial"/>
          <w:sz w:val="19"/>
          <w:szCs w:val="19"/>
          <w:color w:val="FF0000"/>
          <w:strike w:val="1"/>
        </w:rPr>
        <w:t>131</w:t>
      </w:r>
      <w:r>
        <w:rPr>
          <w:rFonts w:ascii="Arial" w:cs="Arial" w:eastAsia="Arial" w:hAnsi="Arial"/>
          <w:sz w:val="19"/>
          <w:szCs w:val="19"/>
          <w:u w:val="single" w:color="auto"/>
          <w:color w:val="0000FF"/>
          <w:highlight w:val="lightGray"/>
          <w:strike w:val="1"/>
        </w:rPr>
        <w:t>129</w:t>
      </w:r>
    </w:p>
    <w:p>
      <w:pPr>
        <w:ind w:left="660" w:right="2359"/>
        <w:spacing w:after="0" w:line="204" w:lineRule="auto"/>
        <w:rPr>
          <w:sz w:val="20"/>
          <w:szCs w:val="20"/>
          <w:color w:val="auto"/>
        </w:rPr>
      </w:pPr>
      <w:r>
        <w:rPr>
          <w:rFonts w:ascii="Arial" w:cs="Arial" w:eastAsia="Arial" w:hAnsi="Arial"/>
          <w:sz w:val="22"/>
          <w:szCs w:val="22"/>
          <w:color w:val="auto"/>
        </w:rPr>
        <w:t xml:space="preserve">Section 9.2 </w:t>
      </w:r>
      <w:r>
        <w:rPr>
          <w:rFonts w:ascii="Arial" w:cs="Arial" w:eastAsia="Arial" w:hAnsi="Arial"/>
          <w:sz w:val="22"/>
          <w:szCs w:val="22"/>
          <w:u w:val="single" w:color="auto"/>
          <w:color w:val="auto"/>
        </w:rPr>
        <w:t>Administrative Agent’s Reliance, Limitation of Liability, Etc</w:t>
      </w:r>
      <w:r>
        <w:rPr>
          <w:rFonts w:ascii="Arial" w:cs="Arial" w:eastAsia="Arial" w:hAnsi="Arial"/>
          <w:sz w:val="22"/>
          <w:szCs w:val="22"/>
          <w:color w:val="auto"/>
        </w:rPr>
        <w:t xml:space="preserve"> </w:t>
      </w:r>
      <w:r>
        <w:rPr>
          <w:rFonts w:ascii="Arial" w:cs="Arial" w:eastAsia="Arial" w:hAnsi="Arial"/>
          <w:sz w:val="22"/>
          <w:szCs w:val="22"/>
          <w:color w:val="FF0000"/>
          <w:strike w:val="1"/>
        </w:rPr>
        <w:t>134</w:t>
      </w:r>
      <w:r>
        <w:rPr>
          <w:rFonts w:ascii="Arial" w:cs="Arial" w:eastAsia="Arial" w:hAnsi="Arial"/>
          <w:sz w:val="22"/>
          <w:szCs w:val="22"/>
          <w:u w:val="single" w:color="auto"/>
          <w:color w:val="0000FF"/>
          <w:highlight w:val="lightGray"/>
        </w:rPr>
        <w:t>132</w:t>
      </w:r>
      <w:r>
        <w:rPr>
          <w:rFonts w:ascii="Arial" w:cs="Arial" w:eastAsia="Arial" w:hAnsi="Arial"/>
          <w:sz w:val="22"/>
          <w:szCs w:val="22"/>
          <w:color w:val="auto"/>
        </w:rPr>
        <w:t xml:space="preserve"> Section 9.3 </w:t>
      </w:r>
      <w:r>
        <w:rPr>
          <w:rFonts w:ascii="Arial" w:cs="Arial" w:eastAsia="Arial" w:hAnsi="Arial"/>
          <w:sz w:val="22"/>
          <w:szCs w:val="22"/>
          <w:u w:val="single" w:color="auto"/>
          <w:color w:val="auto"/>
        </w:rPr>
        <w:t>The Administrative Agent Individually</w:t>
      </w:r>
      <w:r>
        <w:rPr>
          <w:rFonts w:ascii="Arial" w:cs="Arial" w:eastAsia="Arial" w:hAnsi="Arial"/>
          <w:sz w:val="22"/>
          <w:szCs w:val="22"/>
          <w:color w:val="auto"/>
        </w:rPr>
        <w:t xml:space="preserve"> </w:t>
      </w:r>
      <w:r>
        <w:rPr>
          <w:rFonts w:ascii="Arial" w:cs="Arial" w:eastAsia="Arial" w:hAnsi="Arial"/>
          <w:sz w:val="22"/>
          <w:szCs w:val="22"/>
          <w:color w:val="FF0000"/>
          <w:strike w:val="1"/>
        </w:rPr>
        <w:t>135</w:t>
      </w:r>
      <w:r>
        <w:rPr>
          <w:rFonts w:ascii="Arial" w:cs="Arial" w:eastAsia="Arial" w:hAnsi="Arial"/>
          <w:sz w:val="22"/>
          <w:szCs w:val="22"/>
          <w:u w:val="single" w:color="auto"/>
          <w:color w:val="0000FF"/>
          <w:highlight w:val="lightGray"/>
        </w:rPr>
        <w:t>133</w:t>
      </w:r>
      <w:r>
        <w:rPr>
          <w:rFonts w:ascii="Arial" w:cs="Arial" w:eastAsia="Arial" w:hAnsi="Arial"/>
          <w:sz w:val="22"/>
          <w:szCs w:val="22"/>
          <w:color w:val="auto"/>
        </w:rPr>
        <w:t xml:space="preserve"> Section 9.4 </w:t>
      </w:r>
      <w:r>
        <w:rPr>
          <w:rFonts w:ascii="Arial" w:cs="Arial" w:eastAsia="Arial" w:hAnsi="Arial"/>
          <w:sz w:val="22"/>
          <w:szCs w:val="22"/>
          <w:u w:val="single" w:color="auto"/>
          <w:color w:val="auto"/>
        </w:rPr>
        <w:t>Successor Administrative Agent</w:t>
      </w:r>
      <w:r>
        <w:rPr>
          <w:rFonts w:ascii="Arial" w:cs="Arial" w:eastAsia="Arial" w:hAnsi="Arial"/>
          <w:sz w:val="22"/>
          <w:szCs w:val="22"/>
          <w:color w:val="auto"/>
        </w:rPr>
        <w:t xml:space="preserve"> </w:t>
      </w:r>
      <w:r>
        <w:rPr>
          <w:rFonts w:ascii="Arial" w:cs="Arial" w:eastAsia="Arial" w:hAnsi="Arial"/>
          <w:sz w:val="22"/>
          <w:szCs w:val="22"/>
          <w:color w:val="FF0000"/>
          <w:strike w:val="1"/>
        </w:rPr>
        <w:t>135</w:t>
      </w:r>
      <w:r>
        <w:rPr>
          <w:rFonts w:ascii="Arial" w:cs="Arial" w:eastAsia="Arial" w:hAnsi="Arial"/>
          <w:sz w:val="22"/>
          <w:szCs w:val="22"/>
          <w:u w:val="single" w:color="auto"/>
          <w:color w:val="0000FF"/>
          <w:highlight w:val="lightGray"/>
        </w:rPr>
        <w:t>133</w:t>
      </w:r>
    </w:p>
    <w:p>
      <w:pPr>
        <w:ind w:left="660"/>
        <w:spacing w:after="0" w:line="229" w:lineRule="auto"/>
        <w:tabs>
          <w:tab w:leader="none" w:pos="6100" w:val="left"/>
        </w:tabs>
        <w:rPr>
          <w:sz w:val="20"/>
          <w:szCs w:val="20"/>
          <w:color w:val="auto"/>
        </w:rPr>
      </w:pPr>
      <w:r>
        <w:rPr>
          <w:rFonts w:ascii="Arial" w:cs="Arial" w:eastAsia="Arial" w:hAnsi="Arial"/>
          <w:sz w:val="22"/>
          <w:szCs w:val="22"/>
          <w:color w:val="auto"/>
        </w:rPr>
        <w:t>Section 9.5 Acknowledgments of Lenders and Issuing Banks</w:t>
      </w:r>
      <w:r>
        <w:rPr>
          <w:sz w:val="20"/>
          <w:szCs w:val="20"/>
          <w:color w:val="auto"/>
        </w:rPr>
        <w:tab/>
      </w:r>
      <w:r>
        <w:rPr>
          <w:rFonts w:ascii="Arial" w:cs="Arial" w:eastAsia="Arial" w:hAnsi="Arial"/>
          <w:sz w:val="19"/>
          <w:szCs w:val="19"/>
          <w:color w:val="FF0000"/>
          <w:strike w:val="1"/>
        </w:rPr>
        <w:t>137</w:t>
      </w:r>
      <w:r>
        <w:rPr>
          <w:rFonts w:ascii="Arial" w:cs="Arial" w:eastAsia="Arial" w:hAnsi="Arial"/>
          <w:sz w:val="19"/>
          <w:szCs w:val="19"/>
          <w:u w:val="single" w:color="auto"/>
          <w:color w:val="0000FF"/>
          <w:highlight w:val="lightGray"/>
          <w:strike w:val="1"/>
        </w:rPr>
        <w:t>135</w:t>
      </w:r>
    </w:p>
    <w:tbl>
      <w:tblPr>
        <w:tblLayout w:type="fixed"/>
        <w:tblInd w:w="0" w:type="dxa"/>
        <w:tblCellMar>
          <w:top w:w="0" w:type="dxa"/>
          <w:left w:w="0" w:type="dxa"/>
          <w:bottom w:w="0" w:type="dxa"/>
          <w:right w:w="0" w:type="dxa"/>
        </w:tblCellMar>
      </w:tblPr>
      <w:tr>
        <w:trPr>
          <w:trHeight w:val="216"/>
        </w:trPr>
        <w:tc>
          <w:tcPr>
            <w:tcW w:w="1640" w:type="dxa"/>
            <w:vAlign w:val="bottom"/>
            <w:gridSpan w:val="2"/>
          </w:tcPr>
          <w:p>
            <w:pPr>
              <w:ind w:left="660"/>
              <w:spacing w:after="0" w:line="195" w:lineRule="exact"/>
              <w:rPr>
                <w:sz w:val="20"/>
                <w:szCs w:val="20"/>
                <w:color w:val="auto"/>
              </w:rPr>
            </w:pPr>
            <w:r>
              <w:rPr>
                <w:rFonts w:ascii="Arial" w:cs="Arial" w:eastAsia="Arial" w:hAnsi="Arial"/>
                <w:sz w:val="22"/>
                <w:szCs w:val="22"/>
                <w:color w:val="auto"/>
                <w:w w:val="87"/>
              </w:rPr>
              <w:t>Section 9.6</w:t>
            </w:r>
          </w:p>
        </w:tc>
        <w:tc>
          <w:tcPr>
            <w:tcW w:w="1820" w:type="dxa"/>
            <w:vAlign w:val="bottom"/>
            <w:tcBorders>
              <w:top w:val="single" w:sz="8" w:color="auto"/>
            </w:tcBorders>
            <w:gridSpan w:val="4"/>
          </w:tcPr>
          <w:p>
            <w:pPr>
              <w:ind w:left="40"/>
              <w:spacing w:after="0" w:line="195" w:lineRule="exact"/>
              <w:rPr>
                <w:sz w:val="20"/>
                <w:szCs w:val="20"/>
                <w:color w:val="auto"/>
              </w:rPr>
            </w:pPr>
            <w:r>
              <w:rPr>
                <w:rFonts w:ascii="Arial" w:cs="Arial" w:eastAsia="Arial" w:hAnsi="Arial"/>
                <w:sz w:val="22"/>
                <w:szCs w:val="22"/>
                <w:color w:val="auto"/>
              </w:rPr>
              <w:t>Collateral Matters</w:t>
            </w:r>
          </w:p>
        </w:tc>
        <w:tc>
          <w:tcPr>
            <w:tcW w:w="380" w:type="dxa"/>
            <w:vAlign w:val="bottom"/>
            <w:tcBorders>
              <w:top w:val="single" w:sz="8" w:color="auto"/>
              <w:right w:val="single" w:sz="8" w:color="DDDDDD"/>
            </w:tcBorders>
            <w:gridSpan w:val="2"/>
          </w:tcPr>
          <w:p>
            <w:pPr>
              <w:jc w:val="right"/>
              <w:spacing w:after="0" w:line="195" w:lineRule="exact"/>
              <w:rPr>
                <w:sz w:val="20"/>
                <w:szCs w:val="20"/>
                <w:color w:val="auto"/>
              </w:rPr>
            </w:pPr>
            <w:r>
              <w:rPr>
                <w:rFonts w:ascii="Arial" w:cs="Arial" w:eastAsia="Arial" w:hAnsi="Arial"/>
                <w:sz w:val="22"/>
                <w:szCs w:val="22"/>
                <w:color w:val="FF0000"/>
                <w:strike w:val="1"/>
                <w:w w:val="81"/>
              </w:rPr>
              <w:t>139</w:t>
            </w:r>
          </w:p>
        </w:tc>
        <w:tc>
          <w:tcPr>
            <w:tcW w:w="280" w:type="dxa"/>
            <w:vAlign w:val="bottom"/>
            <w:tcBorders>
              <w:top w:val="single" w:sz="8" w:color="auto"/>
            </w:tcBorders>
            <w:gridSpan w:val="2"/>
            <w:shd w:val="clear" w:color="auto" w:fill="DDDDDD"/>
          </w:tcPr>
          <w:p>
            <w:pPr>
              <w:jc w:val="right"/>
              <w:spacing w:after="0" w:line="195" w:lineRule="exact"/>
              <w:rPr>
                <w:sz w:val="20"/>
                <w:szCs w:val="20"/>
                <w:color w:val="auto"/>
              </w:rPr>
            </w:pPr>
            <w:r>
              <w:rPr>
                <w:rFonts w:ascii="Arial" w:cs="Arial" w:eastAsia="Arial" w:hAnsi="Arial"/>
                <w:sz w:val="22"/>
                <w:szCs w:val="22"/>
                <w:color w:val="0000FF"/>
                <w:highlight w:val="lightGray"/>
                <w:w w:val="70"/>
              </w:rPr>
              <w:t>137</w:t>
            </w:r>
          </w:p>
        </w:tc>
        <w:tc>
          <w:tcPr>
            <w:tcW w:w="2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196"/>
        </w:trPr>
        <w:tc>
          <w:tcPr>
            <w:tcW w:w="1620" w:type="dxa"/>
            <w:vAlign w:val="bottom"/>
          </w:tcPr>
          <w:p>
            <w:pPr>
              <w:ind w:left="660"/>
              <w:spacing w:after="0" w:line="176" w:lineRule="exact"/>
              <w:rPr>
                <w:sz w:val="20"/>
                <w:szCs w:val="20"/>
                <w:color w:val="auto"/>
              </w:rPr>
            </w:pPr>
            <w:r>
              <w:rPr>
                <w:rFonts w:ascii="Arial" w:cs="Arial" w:eastAsia="Arial" w:hAnsi="Arial"/>
                <w:sz w:val="19"/>
                <w:szCs w:val="19"/>
                <w:color w:val="auto"/>
                <w:w w:val="98"/>
              </w:rPr>
              <w:t>Section 9.7</w:t>
            </w:r>
          </w:p>
        </w:tc>
        <w:tc>
          <w:tcPr>
            <w:tcW w:w="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ind w:left="40"/>
              <w:spacing w:after="0" w:line="176" w:lineRule="exact"/>
              <w:rPr>
                <w:sz w:val="20"/>
                <w:szCs w:val="20"/>
                <w:color w:val="auto"/>
              </w:rPr>
            </w:pPr>
            <w:r>
              <w:rPr>
                <w:rFonts w:ascii="Arial" w:cs="Arial" w:eastAsia="Arial" w:hAnsi="Arial"/>
                <w:sz w:val="19"/>
                <w:szCs w:val="19"/>
                <w:color w:val="auto"/>
              </w:rPr>
              <w:t>Credit Bidding</w:t>
            </w: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80" w:type="dxa"/>
            <w:vAlign w:val="bottom"/>
            <w:gridSpan w:val="2"/>
          </w:tcPr>
          <w:p>
            <w:pPr>
              <w:jc w:val="right"/>
              <w:spacing w:after="0" w:line="176" w:lineRule="exact"/>
              <w:rPr>
                <w:sz w:val="20"/>
                <w:szCs w:val="20"/>
                <w:color w:val="auto"/>
              </w:rPr>
            </w:pPr>
            <w:r>
              <w:rPr>
                <w:rFonts w:ascii="Arial" w:cs="Arial" w:eastAsia="Arial" w:hAnsi="Arial"/>
                <w:sz w:val="19"/>
                <w:szCs w:val="19"/>
                <w:color w:val="FF0000"/>
                <w:strike w:val="1"/>
                <w:w w:val="81"/>
              </w:rPr>
              <w:t>140</w:t>
            </w:r>
          </w:p>
        </w:tc>
        <w:tc>
          <w:tcPr>
            <w:tcW w:w="320" w:type="dxa"/>
            <w:vAlign w:val="bottom"/>
            <w:tcBorders>
              <w:top w:val="single" w:sz="8" w:color="DDDDDD"/>
              <w:bottom w:val="single" w:sz="8" w:color="0000FF"/>
              <w:right w:val="single" w:sz="8" w:color="DDDDDD"/>
            </w:tcBorders>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75"/>
              </w:rPr>
              <w:t>138</w:t>
            </w:r>
          </w:p>
        </w:tc>
        <w:tc>
          <w:tcPr>
            <w:tcW w:w="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bottom w:val="single" w:sz="8" w:color="DDDDDD"/>
            </w:tcBorders>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620" w:type="dxa"/>
            <w:vAlign w:val="bottom"/>
          </w:tcPr>
          <w:p>
            <w:pPr>
              <w:ind w:left="660"/>
              <w:spacing w:after="0" w:line="176" w:lineRule="exact"/>
              <w:rPr>
                <w:sz w:val="20"/>
                <w:szCs w:val="20"/>
                <w:color w:val="auto"/>
              </w:rPr>
            </w:pPr>
            <w:r>
              <w:rPr>
                <w:rFonts w:ascii="Arial" w:cs="Arial" w:eastAsia="Arial" w:hAnsi="Arial"/>
                <w:sz w:val="19"/>
                <w:szCs w:val="19"/>
                <w:color w:val="auto"/>
                <w:w w:val="98"/>
              </w:rPr>
              <w:t>Section 9.8</w:t>
            </w:r>
          </w:p>
        </w:tc>
        <w:tc>
          <w:tcPr>
            <w:tcW w:w="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40"/>
              <w:spacing w:after="0" w:line="176" w:lineRule="exact"/>
              <w:rPr>
                <w:sz w:val="20"/>
                <w:szCs w:val="20"/>
                <w:color w:val="auto"/>
              </w:rPr>
            </w:pPr>
            <w:r>
              <w:rPr>
                <w:rFonts w:ascii="Arial" w:cs="Arial" w:eastAsia="Arial" w:hAnsi="Arial"/>
                <w:sz w:val="19"/>
                <w:szCs w:val="19"/>
                <w:color w:val="auto"/>
              </w:rPr>
              <w:t>Intercreditor</w:t>
            </w:r>
          </w:p>
        </w:tc>
        <w:tc>
          <w:tcPr>
            <w:tcW w:w="860" w:type="dxa"/>
            <w:vAlign w:val="bottom"/>
            <w:tcBorders>
              <w:bottom w:val="single" w:sz="8" w:color="auto"/>
            </w:tcBorders>
            <w:gridSpan w:val="5"/>
          </w:tcPr>
          <w:p>
            <w:pPr>
              <w:jc w:val="right"/>
              <w:spacing w:after="0" w:line="176" w:lineRule="exact"/>
              <w:rPr>
                <w:sz w:val="20"/>
                <w:szCs w:val="20"/>
                <w:color w:val="auto"/>
              </w:rPr>
            </w:pPr>
            <w:r>
              <w:rPr>
                <w:rFonts w:ascii="Arial" w:cs="Arial" w:eastAsia="Arial" w:hAnsi="Arial"/>
                <w:sz w:val="19"/>
                <w:szCs w:val="19"/>
                <w:color w:val="auto"/>
                <w:w w:val="81"/>
              </w:rPr>
              <w:t>Agreements</w:t>
            </w:r>
          </w:p>
        </w:tc>
        <w:tc>
          <w:tcPr>
            <w:tcW w:w="20" w:type="dxa"/>
            <w:vAlign w:val="bottom"/>
            <w:tcBorders>
              <w:bottom w:val="single" w:sz="8" w:color="auto"/>
            </w:tcBorders>
          </w:tcPr>
          <w:p>
            <w:pPr>
              <w:spacing w:after="0"/>
              <w:rPr>
                <w:sz w:val="17"/>
                <w:szCs w:val="17"/>
                <w:color w:val="auto"/>
              </w:rPr>
            </w:pPr>
          </w:p>
        </w:tc>
        <w:tc>
          <w:tcPr>
            <w:tcW w:w="520" w:type="dxa"/>
            <w:vAlign w:val="bottom"/>
            <w:gridSpan w:val="2"/>
          </w:tcPr>
          <w:p>
            <w:pPr>
              <w:jc w:val="right"/>
              <w:spacing w:after="0" w:line="176" w:lineRule="exact"/>
              <w:rPr>
                <w:sz w:val="20"/>
                <w:szCs w:val="20"/>
                <w:color w:val="auto"/>
              </w:rPr>
            </w:pPr>
            <w:r>
              <w:rPr>
                <w:rFonts w:ascii="Arial" w:cs="Arial" w:eastAsia="Arial" w:hAnsi="Arial"/>
                <w:sz w:val="19"/>
                <w:szCs w:val="19"/>
                <w:color w:val="FF0000"/>
                <w:strike w:val="1"/>
              </w:rPr>
              <w:t>141</w:t>
            </w:r>
          </w:p>
        </w:tc>
        <w:tc>
          <w:tcPr>
            <w:tcW w:w="320" w:type="dxa"/>
            <w:vAlign w:val="bottom"/>
            <w:tcBorders>
              <w:bottom w:val="single" w:sz="8" w:color="0000FF"/>
            </w:tcBorders>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94"/>
              </w:rPr>
              <w:t>139</w:t>
            </w:r>
          </w:p>
        </w:tc>
        <w:tc>
          <w:tcPr>
            <w:tcW w:w="1220" w:type="dxa"/>
            <w:vAlign w:val="bottom"/>
          </w:tcPr>
          <w:p>
            <w:pPr>
              <w:spacing w:after="0"/>
              <w:rPr>
                <w:sz w:val="17"/>
                <w:szCs w:val="17"/>
                <w:color w:val="auto"/>
              </w:rPr>
            </w:pPr>
          </w:p>
        </w:tc>
      </w:tr>
      <w:tr>
        <w:trPr>
          <w:trHeight w:val="443"/>
        </w:trPr>
        <w:tc>
          <w:tcPr>
            <w:tcW w:w="1640" w:type="dxa"/>
            <w:vAlign w:val="bottom"/>
            <w:gridSpan w:val="2"/>
          </w:tcPr>
          <w:p>
            <w:pPr>
              <w:spacing w:after="0"/>
              <w:rPr>
                <w:sz w:val="20"/>
                <w:szCs w:val="20"/>
                <w:color w:val="auto"/>
              </w:rPr>
            </w:pPr>
            <w:r>
              <w:rPr>
                <w:rFonts w:ascii="Arial" w:cs="Arial" w:eastAsia="Arial" w:hAnsi="Arial"/>
                <w:sz w:val="22"/>
                <w:szCs w:val="22"/>
                <w:color w:val="auto"/>
              </w:rPr>
              <w:t>ARTICLE X</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Borders>
              <w:top w:val="single" w:sz="8" w:color="DDDDDD"/>
            </w:tcBorders>
          </w:tcPr>
          <w:p>
            <w:pPr>
              <w:spacing w:after="0"/>
              <w:rPr>
                <w:sz w:val="24"/>
                <w:szCs w:val="24"/>
                <w:color w:val="auto"/>
              </w:rPr>
            </w:pPr>
          </w:p>
        </w:tc>
        <w:tc>
          <w:tcPr>
            <w:tcW w:w="1220" w:type="dxa"/>
            <w:vAlign w:val="bottom"/>
          </w:tcPr>
          <w:p>
            <w:pPr>
              <w:spacing w:after="0"/>
              <w:rPr>
                <w:sz w:val="24"/>
                <w:szCs w:val="24"/>
                <w:color w:val="auto"/>
              </w:rPr>
            </w:pPr>
          </w:p>
        </w:tc>
      </w:tr>
    </w:tbl>
    <w:p>
      <w:pPr>
        <w:spacing w:after="0" w:line="158" w:lineRule="exact"/>
        <w:rPr>
          <w:sz w:val="20"/>
          <w:szCs w:val="20"/>
          <w:color w:val="auto"/>
        </w:rPr>
      </w:pPr>
    </w:p>
    <w:p>
      <w:pPr>
        <w:ind w:left="1560"/>
        <w:spacing w:after="0"/>
        <w:tabs>
          <w:tab w:leader="none" w:pos="3560" w:val="left"/>
        </w:tabs>
        <w:rPr>
          <w:sz w:val="20"/>
          <w:szCs w:val="20"/>
          <w:color w:val="auto"/>
        </w:rPr>
      </w:pPr>
      <w:r>
        <w:rPr>
          <w:rFonts w:ascii="Arial" w:cs="Arial" w:eastAsia="Arial" w:hAnsi="Arial"/>
          <w:sz w:val="22"/>
          <w:szCs w:val="22"/>
          <w:color w:val="auto"/>
        </w:rPr>
        <w:t>MISCELLANEOUS</w:t>
      </w:r>
      <w:r>
        <w:rPr>
          <w:sz w:val="20"/>
          <w:szCs w:val="20"/>
          <w:color w:val="auto"/>
        </w:rPr>
        <w:tab/>
      </w:r>
      <w:r>
        <w:rPr>
          <w:rFonts w:ascii="Arial" w:cs="Arial" w:eastAsia="Arial" w:hAnsi="Arial"/>
          <w:sz w:val="19"/>
          <w:szCs w:val="19"/>
          <w:color w:val="FF0000"/>
          <w:strike w:val="1"/>
        </w:rPr>
        <w:t>142</w:t>
      </w:r>
      <w:r>
        <w:rPr>
          <w:rFonts w:ascii="Arial" w:cs="Arial" w:eastAsia="Arial" w:hAnsi="Arial"/>
          <w:sz w:val="19"/>
          <w:szCs w:val="19"/>
          <w:u w:val="single" w:color="auto"/>
          <w:color w:val="0000FF"/>
          <w:highlight w:val="lightGray"/>
          <w:strike w:val="1"/>
        </w:rPr>
        <w:t>140</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50"/>
        </w:trPr>
        <w:tc>
          <w:tcPr>
            <w:tcW w:w="1100" w:type="dxa"/>
            <w:vAlign w:val="bottom"/>
            <w:gridSpan w:val="2"/>
            <w:vMerge w:val="restart"/>
          </w:tcPr>
          <w:p>
            <w:pPr>
              <w:spacing w:after="0"/>
              <w:rPr>
                <w:sz w:val="20"/>
                <w:szCs w:val="20"/>
                <w:color w:val="auto"/>
              </w:rPr>
            </w:pPr>
            <w:r>
              <w:rPr>
                <w:rFonts w:ascii="Arial" w:cs="Arial" w:eastAsia="Arial" w:hAnsi="Arial"/>
                <w:sz w:val="22"/>
                <w:szCs w:val="22"/>
                <w:color w:val="auto"/>
                <w:w w:val="88"/>
              </w:rPr>
              <w:t>Section 10.1</w:t>
            </w:r>
          </w:p>
        </w:tc>
        <w:tc>
          <w:tcPr>
            <w:tcW w:w="900" w:type="dxa"/>
            <w:vAlign w:val="bottom"/>
            <w:gridSpan w:val="2"/>
            <w:vMerge w:val="restart"/>
          </w:tcPr>
          <w:p>
            <w:pPr>
              <w:ind w:left="40"/>
              <w:spacing w:after="0"/>
              <w:rPr>
                <w:sz w:val="20"/>
                <w:szCs w:val="20"/>
                <w:color w:val="auto"/>
              </w:rPr>
            </w:pPr>
            <w:r>
              <w:rPr>
                <w:rFonts w:ascii="Arial" w:cs="Arial" w:eastAsia="Arial" w:hAnsi="Arial"/>
                <w:sz w:val="22"/>
                <w:szCs w:val="22"/>
                <w:color w:val="auto"/>
              </w:rPr>
              <w:t>Notices</w:t>
            </w:r>
          </w:p>
        </w:tc>
        <w:tc>
          <w:tcPr>
            <w:tcW w:w="320" w:type="dxa"/>
            <w:vAlign w:val="bottom"/>
            <w:vMerge w:val="restart"/>
          </w:tcPr>
          <w:p>
            <w:pPr>
              <w:jc w:val="right"/>
              <w:spacing w:after="0"/>
              <w:rPr>
                <w:sz w:val="20"/>
                <w:szCs w:val="20"/>
                <w:color w:val="auto"/>
              </w:rPr>
            </w:pPr>
            <w:r>
              <w:rPr>
                <w:rFonts w:ascii="Arial" w:cs="Arial" w:eastAsia="Arial" w:hAnsi="Arial"/>
                <w:sz w:val="22"/>
                <w:szCs w:val="22"/>
                <w:color w:val="FF0000"/>
                <w:strike w:val="1"/>
                <w:w w:val="81"/>
              </w:rPr>
              <w:t>142</w:t>
            </w:r>
          </w:p>
        </w:tc>
        <w:tc>
          <w:tcPr>
            <w:tcW w:w="20" w:type="dxa"/>
            <w:vAlign w:val="bottom"/>
            <w:vMerge w:val="restart"/>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10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320" w:type="dxa"/>
            <w:vAlign w:val="bottom"/>
            <w:shd w:val="clear" w:color="auto" w:fill="DDDDDD"/>
          </w:tcPr>
          <w:p>
            <w:pPr>
              <w:jc w:val="right"/>
              <w:spacing w:after="0" w:line="203" w:lineRule="exact"/>
              <w:rPr>
                <w:sz w:val="20"/>
                <w:szCs w:val="20"/>
                <w:color w:val="auto"/>
              </w:rPr>
            </w:pPr>
            <w:r>
              <w:rPr>
                <w:rFonts w:ascii="Arial" w:cs="Arial" w:eastAsia="Arial" w:hAnsi="Arial"/>
                <w:sz w:val="22"/>
                <w:szCs w:val="22"/>
                <w:color w:val="0000FF"/>
                <w:highlight w:val="lightGray"/>
                <w:w w:val="81"/>
              </w:rPr>
              <w:t>140</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line="195" w:lineRule="exact"/>
              <w:rPr>
                <w:sz w:val="20"/>
                <w:szCs w:val="20"/>
                <w:color w:val="auto"/>
              </w:rPr>
            </w:pPr>
            <w:r>
              <w:rPr>
                <w:rFonts w:ascii="Arial" w:cs="Arial" w:eastAsia="Arial" w:hAnsi="Arial"/>
                <w:sz w:val="22"/>
                <w:szCs w:val="22"/>
                <w:color w:val="auto"/>
                <w:w w:val="86"/>
              </w:rPr>
              <w:t>Section 10.2</w:t>
            </w:r>
          </w:p>
        </w:tc>
        <w:tc>
          <w:tcPr>
            <w:tcW w:w="20" w:type="dxa"/>
            <w:vAlign w:val="bottom"/>
            <w:vMerge w:val="restart"/>
          </w:tcPr>
          <w:p>
            <w:pPr>
              <w:spacing w:after="0" w:line="20" w:lineRule="exact"/>
              <w:rPr>
                <w:sz w:val="1"/>
                <w:szCs w:val="1"/>
                <w:color w:val="auto"/>
              </w:rPr>
            </w:pPr>
          </w:p>
        </w:tc>
        <w:tc>
          <w:tcPr>
            <w:tcW w:w="680" w:type="dxa"/>
            <w:vAlign w:val="bottom"/>
            <w:tcBorders>
              <w:top w:val="single" w:sz="8" w:color="auto"/>
            </w:tcBorders>
            <w:vMerge w:val="restart"/>
          </w:tcPr>
          <w:p>
            <w:pPr>
              <w:ind w:left="20"/>
              <w:spacing w:after="0" w:line="195" w:lineRule="exact"/>
              <w:rPr>
                <w:sz w:val="20"/>
                <w:szCs w:val="20"/>
                <w:color w:val="auto"/>
              </w:rPr>
            </w:pPr>
            <w:r>
              <w:rPr>
                <w:rFonts w:ascii="Arial" w:cs="Arial" w:eastAsia="Arial" w:hAnsi="Arial"/>
                <w:sz w:val="22"/>
                <w:szCs w:val="22"/>
                <w:color w:val="auto"/>
                <w:w w:val="74"/>
              </w:rPr>
              <w:t>Waivers;</w:t>
            </w: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shd w:val="clear" w:color="auto" w:fill="DDDDDD"/>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right w:val="single" w:sz="8" w:color="DDDDDD"/>
            </w:tcBorders>
            <w:shd w:val="clear" w:color="auto" w:fill="DDDDDD"/>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520" w:type="dxa"/>
            <w:vAlign w:val="bottom"/>
            <w:gridSpan w:val="6"/>
          </w:tcPr>
          <w:p>
            <w:pPr>
              <w:jc w:val="center"/>
              <w:spacing w:after="0" w:line="176" w:lineRule="exact"/>
              <w:rPr>
                <w:sz w:val="20"/>
                <w:szCs w:val="20"/>
                <w:color w:val="auto"/>
              </w:rPr>
            </w:pPr>
            <w:r>
              <w:rPr>
                <w:rFonts w:ascii="Arial" w:cs="Arial" w:eastAsia="Arial" w:hAnsi="Arial"/>
                <w:sz w:val="19"/>
                <w:szCs w:val="19"/>
                <w:color w:val="auto"/>
              </w:rPr>
              <w:t>Amendments</w:t>
            </w:r>
          </w:p>
        </w:tc>
        <w:tc>
          <w:tcPr>
            <w:tcW w:w="320" w:type="dxa"/>
            <w:vAlign w:val="bottom"/>
          </w:tcPr>
          <w:p>
            <w:pPr>
              <w:jc w:val="right"/>
              <w:spacing w:after="0" w:line="176" w:lineRule="exact"/>
              <w:rPr>
                <w:sz w:val="20"/>
                <w:szCs w:val="20"/>
                <w:color w:val="auto"/>
              </w:rPr>
            </w:pPr>
            <w:r>
              <w:rPr>
                <w:rFonts w:ascii="Arial" w:cs="Arial" w:eastAsia="Arial" w:hAnsi="Arial"/>
                <w:sz w:val="19"/>
                <w:szCs w:val="19"/>
                <w:color w:val="FF0000"/>
                <w:strike w:val="1"/>
                <w:w w:val="94"/>
              </w:rPr>
              <w:t>143</w:t>
            </w:r>
          </w:p>
        </w:tc>
        <w:tc>
          <w:tcPr>
            <w:tcW w:w="340" w:type="dxa"/>
            <w:vAlign w:val="bottom"/>
            <w:tcBorders>
              <w:right w:val="single" w:sz="8" w:color="DDDDDD"/>
            </w:tcBorders>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94"/>
              </w:rPr>
              <w:t>141</w:t>
            </w: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line="195" w:lineRule="exact"/>
              <w:rPr>
                <w:sz w:val="20"/>
                <w:szCs w:val="20"/>
                <w:color w:val="auto"/>
              </w:rPr>
            </w:pPr>
            <w:r>
              <w:rPr>
                <w:rFonts w:ascii="Arial" w:cs="Arial" w:eastAsia="Arial" w:hAnsi="Arial"/>
                <w:sz w:val="22"/>
                <w:szCs w:val="22"/>
                <w:color w:val="auto"/>
                <w:w w:val="86"/>
              </w:rPr>
              <w:t>Section 10.3</w:t>
            </w:r>
          </w:p>
        </w:tc>
        <w:tc>
          <w:tcPr>
            <w:tcW w:w="20" w:type="dxa"/>
            <w:vAlign w:val="bottom"/>
            <w:tcBorders>
              <w:top w:val="single" w:sz="8" w:color="auto"/>
            </w:tcBorders>
          </w:tcPr>
          <w:p>
            <w:pPr>
              <w:spacing w:after="0" w:line="20" w:lineRule="exact"/>
              <w:rPr>
                <w:sz w:val="1"/>
                <w:szCs w:val="1"/>
                <w:color w:val="auto"/>
              </w:rPr>
            </w:pPr>
          </w:p>
        </w:tc>
        <w:tc>
          <w:tcPr>
            <w:tcW w:w="1980" w:type="dxa"/>
            <w:vAlign w:val="bottom"/>
            <w:tcBorders>
              <w:top w:val="single" w:sz="8" w:color="auto"/>
            </w:tcBorders>
            <w:gridSpan w:val="6"/>
            <w:vMerge w:val="restart"/>
          </w:tcPr>
          <w:p>
            <w:pPr>
              <w:ind w:left="40"/>
              <w:spacing w:after="0" w:line="195" w:lineRule="exact"/>
              <w:rPr>
                <w:sz w:val="20"/>
                <w:szCs w:val="20"/>
                <w:color w:val="auto"/>
              </w:rPr>
            </w:pPr>
            <w:r>
              <w:rPr>
                <w:rFonts w:ascii="Arial" w:cs="Arial" w:eastAsia="Arial" w:hAnsi="Arial"/>
                <w:sz w:val="22"/>
                <w:szCs w:val="22"/>
                <w:color w:val="auto"/>
                <w:w w:val="94"/>
              </w:rPr>
              <w:t>Limitation of Liability;</w:t>
            </w: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0000FF"/>
              <w:right w:val="single" w:sz="8" w:color="DDDDDD"/>
            </w:tcBorders>
            <w:shd w:val="clear" w:color="auto" w:fill="DDDDDD"/>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6"/>
            <w:vMerge w:val="continue"/>
          </w:tcPr>
          <w:p>
            <w:pPr>
              <w:spacing w:after="0"/>
              <w:rPr>
                <w:sz w:val="15"/>
                <w:szCs w:val="15"/>
                <w:color w:val="auto"/>
              </w:rPr>
            </w:pPr>
          </w:p>
        </w:tc>
        <w:tc>
          <w:tcPr>
            <w:tcW w:w="880" w:type="dxa"/>
            <w:vAlign w:val="bottom"/>
            <w:gridSpan w:val="3"/>
          </w:tcPr>
          <w:p>
            <w:pPr>
              <w:jc w:val="right"/>
              <w:spacing w:after="0" w:line="176" w:lineRule="exact"/>
              <w:rPr>
                <w:sz w:val="20"/>
                <w:szCs w:val="20"/>
                <w:color w:val="auto"/>
              </w:rPr>
            </w:pPr>
            <w:r>
              <w:rPr>
                <w:rFonts w:ascii="Arial" w:cs="Arial" w:eastAsia="Arial" w:hAnsi="Arial"/>
                <w:sz w:val="19"/>
                <w:szCs w:val="19"/>
                <w:color w:val="auto"/>
                <w:w w:val="96"/>
              </w:rPr>
              <w:t>Expenses;</w:t>
            </w:r>
          </w:p>
        </w:tc>
        <w:tc>
          <w:tcPr>
            <w:tcW w:w="1260" w:type="dxa"/>
            <w:vAlign w:val="bottom"/>
          </w:tcPr>
          <w:p>
            <w:pPr>
              <w:ind w:left="160"/>
              <w:spacing w:after="0" w:line="176" w:lineRule="exact"/>
              <w:rPr>
                <w:sz w:val="20"/>
                <w:szCs w:val="20"/>
                <w:color w:val="auto"/>
              </w:rPr>
            </w:pPr>
            <w:r>
              <w:rPr>
                <w:rFonts w:ascii="Arial" w:cs="Arial" w:eastAsia="Arial" w:hAnsi="Arial"/>
                <w:sz w:val="19"/>
                <w:szCs w:val="19"/>
                <w:color w:val="auto"/>
              </w:rPr>
              <w:t>Indemnity</w:t>
            </w:r>
          </w:p>
        </w:tc>
        <w:tc>
          <w:tcPr>
            <w:tcW w:w="320" w:type="dxa"/>
            <w:vAlign w:val="bottom"/>
          </w:tcPr>
          <w:p>
            <w:pPr>
              <w:jc w:val="right"/>
              <w:spacing w:after="0" w:line="176" w:lineRule="exact"/>
              <w:rPr>
                <w:sz w:val="20"/>
                <w:szCs w:val="20"/>
                <w:color w:val="auto"/>
              </w:rPr>
            </w:pPr>
            <w:r>
              <w:rPr>
                <w:rFonts w:ascii="Arial" w:cs="Arial" w:eastAsia="Arial" w:hAnsi="Arial"/>
                <w:sz w:val="19"/>
                <w:szCs w:val="19"/>
                <w:color w:val="FF0000"/>
                <w:strike w:val="1"/>
                <w:w w:val="94"/>
              </w:rPr>
              <w:t>146</w:t>
            </w:r>
          </w:p>
        </w:tc>
        <w:tc>
          <w:tcPr>
            <w:tcW w:w="320" w:type="dxa"/>
            <w:vAlign w:val="bottom"/>
          </w:tcPr>
          <w:p>
            <w:pPr>
              <w:jc w:val="right"/>
              <w:spacing w:after="0" w:line="176" w:lineRule="exact"/>
              <w:rPr>
                <w:sz w:val="20"/>
                <w:szCs w:val="20"/>
                <w:color w:val="auto"/>
              </w:rPr>
            </w:pPr>
            <w:r>
              <w:rPr>
                <w:rFonts w:ascii="Arial" w:cs="Arial" w:eastAsia="Arial" w:hAnsi="Arial"/>
                <w:sz w:val="19"/>
                <w:szCs w:val="19"/>
                <w:color w:val="0000FF"/>
                <w:highlight w:val="lightGray"/>
                <w:w w:val="94"/>
              </w:rPr>
              <w:t>144</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080" w:type="dxa"/>
            <w:vAlign w:val="bottom"/>
          </w:tcPr>
          <w:p>
            <w:pPr>
              <w:spacing w:after="0" w:line="195" w:lineRule="exact"/>
              <w:rPr>
                <w:sz w:val="20"/>
                <w:szCs w:val="20"/>
                <w:color w:val="auto"/>
              </w:rPr>
            </w:pPr>
            <w:r>
              <w:rPr>
                <w:rFonts w:ascii="Arial" w:cs="Arial" w:eastAsia="Arial" w:hAnsi="Arial"/>
                <w:sz w:val="22"/>
                <w:szCs w:val="22"/>
                <w:color w:val="auto"/>
                <w:w w:val="84"/>
              </w:rPr>
              <w:t>Section 10.4</w:t>
            </w:r>
          </w:p>
        </w:tc>
        <w:tc>
          <w:tcPr>
            <w:tcW w:w="2300" w:type="dxa"/>
            <w:vAlign w:val="bottom"/>
            <w:tcBorders>
              <w:top w:val="single" w:sz="8" w:color="auto"/>
            </w:tcBorders>
            <w:gridSpan w:val="20"/>
          </w:tcPr>
          <w:p>
            <w:pPr>
              <w:ind w:left="60"/>
              <w:spacing w:after="0" w:line="195" w:lineRule="exact"/>
              <w:rPr>
                <w:sz w:val="20"/>
                <w:szCs w:val="20"/>
                <w:color w:val="auto"/>
              </w:rPr>
            </w:pPr>
            <w:r>
              <w:rPr>
                <w:rFonts w:ascii="Arial" w:cs="Arial" w:eastAsia="Arial" w:hAnsi="Arial"/>
                <w:sz w:val="22"/>
                <w:szCs w:val="22"/>
                <w:color w:val="auto"/>
                <w:w w:val="92"/>
              </w:rPr>
              <w:t>Successors and Assigns</w:t>
            </w:r>
          </w:p>
        </w:tc>
        <w:tc>
          <w:tcPr>
            <w:tcW w:w="320" w:type="dxa"/>
            <w:vAlign w:val="bottom"/>
            <w:tcBorders>
              <w:top w:val="single" w:sz="8" w:color="auto"/>
            </w:tcBorders>
            <w:gridSpan w:val="4"/>
          </w:tcPr>
          <w:p>
            <w:pPr>
              <w:jc w:val="right"/>
              <w:spacing w:after="0" w:line="195" w:lineRule="exact"/>
              <w:rPr>
                <w:sz w:val="20"/>
                <w:szCs w:val="20"/>
                <w:color w:val="auto"/>
              </w:rPr>
            </w:pPr>
            <w:r>
              <w:rPr>
                <w:rFonts w:ascii="Arial" w:cs="Arial" w:eastAsia="Arial" w:hAnsi="Arial"/>
                <w:sz w:val="22"/>
                <w:szCs w:val="22"/>
                <w:color w:val="FF0000"/>
                <w:strike w:val="1"/>
                <w:w w:val="81"/>
              </w:rPr>
              <w:t>148</w:t>
            </w:r>
          </w:p>
        </w:tc>
        <w:tc>
          <w:tcPr>
            <w:tcW w:w="340" w:type="dxa"/>
            <w:vAlign w:val="bottom"/>
            <w:tcBorders>
              <w:top w:val="single" w:sz="8" w:color="auto"/>
            </w:tcBorders>
            <w:gridSpan w:val="4"/>
            <w:shd w:val="clear" w:color="auto" w:fill="DDDDDD"/>
          </w:tcPr>
          <w:p>
            <w:pPr>
              <w:jc w:val="right"/>
              <w:spacing w:after="0" w:line="195" w:lineRule="exact"/>
              <w:rPr>
                <w:sz w:val="20"/>
                <w:szCs w:val="20"/>
                <w:color w:val="auto"/>
              </w:rPr>
            </w:pPr>
            <w:r>
              <w:rPr>
                <w:rFonts w:ascii="Arial" w:cs="Arial" w:eastAsia="Arial" w:hAnsi="Arial"/>
                <w:sz w:val="22"/>
                <w:szCs w:val="22"/>
                <w:color w:val="0000FF"/>
                <w:highlight w:val="lightGray"/>
                <w:w w:val="87"/>
              </w:rPr>
              <w:t>146</w:t>
            </w: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80" w:type="dxa"/>
            <w:vAlign w:val="bottom"/>
          </w:tcPr>
          <w:p>
            <w:pPr>
              <w:spacing w:after="0" w:line="176" w:lineRule="exact"/>
              <w:rPr>
                <w:sz w:val="20"/>
                <w:szCs w:val="20"/>
                <w:color w:val="auto"/>
              </w:rPr>
            </w:pPr>
            <w:r>
              <w:rPr>
                <w:rFonts w:ascii="Arial" w:cs="Arial" w:eastAsia="Arial" w:hAnsi="Arial"/>
                <w:sz w:val="19"/>
                <w:szCs w:val="19"/>
                <w:color w:val="auto"/>
                <w:w w:val="98"/>
              </w:rPr>
              <w:t>Section 10.5</w:t>
            </w:r>
          </w:p>
        </w:tc>
        <w:tc>
          <w:tcPr>
            <w:tcW w:w="1000" w:type="dxa"/>
            <w:vAlign w:val="bottom"/>
            <w:tcBorders>
              <w:top w:val="single" w:sz="8" w:color="auto"/>
            </w:tcBorders>
            <w:gridSpan w:val="5"/>
          </w:tcPr>
          <w:p>
            <w:pPr>
              <w:ind w:left="60"/>
              <w:spacing w:after="0" w:line="176" w:lineRule="exact"/>
              <w:rPr>
                <w:sz w:val="20"/>
                <w:szCs w:val="20"/>
                <w:color w:val="auto"/>
              </w:rPr>
            </w:pPr>
            <w:r>
              <w:rPr>
                <w:rFonts w:ascii="Arial" w:cs="Arial" w:eastAsia="Arial" w:hAnsi="Arial"/>
                <w:sz w:val="19"/>
                <w:szCs w:val="19"/>
                <w:color w:val="auto"/>
              </w:rPr>
              <w:t>Survival</w:t>
            </w:r>
          </w:p>
        </w:tc>
        <w:tc>
          <w:tcPr>
            <w:tcW w:w="340" w:type="dxa"/>
            <w:vAlign w:val="bottom"/>
            <w:tcBorders>
              <w:top w:val="single" w:sz="8" w:color="auto"/>
              <w:right w:val="single" w:sz="8" w:color="DDDDDD"/>
            </w:tcBorders>
            <w:gridSpan w:val="3"/>
          </w:tcPr>
          <w:p>
            <w:pPr>
              <w:jc w:val="right"/>
              <w:spacing w:after="0" w:line="176" w:lineRule="exact"/>
              <w:rPr>
                <w:sz w:val="20"/>
                <w:szCs w:val="20"/>
                <w:color w:val="auto"/>
              </w:rPr>
            </w:pPr>
            <w:r>
              <w:rPr>
                <w:rFonts w:ascii="Arial" w:cs="Arial" w:eastAsia="Arial" w:hAnsi="Arial"/>
                <w:sz w:val="19"/>
                <w:szCs w:val="19"/>
                <w:color w:val="FF0000"/>
                <w:strike w:val="1"/>
                <w:w w:val="94"/>
              </w:rPr>
              <w:t>154</w:t>
            </w:r>
          </w:p>
        </w:tc>
        <w:tc>
          <w:tcPr>
            <w:tcW w:w="300" w:type="dxa"/>
            <w:vAlign w:val="bottom"/>
            <w:tcBorders>
              <w:top w:val="single" w:sz="8" w:color="auto"/>
              <w:right w:val="single" w:sz="8" w:color="DDDDDD"/>
            </w:tcBorders>
            <w:gridSpan w:val="3"/>
            <w:shd w:val="clear" w:color="auto" w:fill="DDDDDD"/>
          </w:tcPr>
          <w:p>
            <w:pPr>
              <w:spacing w:after="0" w:line="176" w:lineRule="exact"/>
              <w:rPr>
                <w:sz w:val="20"/>
                <w:szCs w:val="20"/>
                <w:color w:val="auto"/>
              </w:rPr>
            </w:pPr>
            <w:r>
              <w:rPr>
                <w:rFonts w:ascii="Arial" w:cs="Arial" w:eastAsia="Arial" w:hAnsi="Arial"/>
                <w:sz w:val="19"/>
                <w:szCs w:val="19"/>
                <w:color w:val="0000FF"/>
                <w:highlight w:val="lightGray"/>
                <w:w w:val="81"/>
              </w:rPr>
              <w:t>152</w:t>
            </w:r>
          </w:p>
        </w:tc>
        <w:tc>
          <w:tcPr>
            <w:tcW w:w="2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line="216" w:lineRule="exact"/>
              <w:rPr>
                <w:sz w:val="20"/>
                <w:szCs w:val="20"/>
                <w:color w:val="auto"/>
              </w:rPr>
            </w:pPr>
            <w:r>
              <w:rPr>
                <w:rFonts w:ascii="Arial" w:cs="Arial" w:eastAsia="Arial" w:hAnsi="Arial"/>
                <w:sz w:val="22"/>
                <w:szCs w:val="22"/>
                <w:color w:val="auto"/>
                <w:w w:val="84"/>
              </w:rPr>
              <w:t>Section 10.6</w:t>
            </w: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20" w:type="dxa"/>
            <w:vAlign w:val="bottom"/>
            <w:tcBorders>
              <w:bottom w:val="single" w:sz="8" w:color="DDDDDD"/>
            </w:tcBorders>
            <w:shd w:val="clear" w:color="auto" w:fill="0000FF"/>
          </w:tcPr>
          <w:p>
            <w:pPr>
              <w:spacing w:after="0" w:line="20" w:lineRule="exact"/>
              <w:rPr>
                <w:sz w:val="1"/>
                <w:szCs w:val="1"/>
                <w:color w:val="auto"/>
              </w:rPr>
            </w:pPr>
          </w:p>
        </w:tc>
        <w:tc>
          <w:tcPr>
            <w:tcW w:w="100" w:type="dxa"/>
            <w:vAlign w:val="bottom"/>
            <w:tcBorders>
              <w:bottom w:val="single" w:sz="8" w:color="DDDDDD"/>
              <w:right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DDDDDD"/>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40" w:type="dxa"/>
            <w:vAlign w:val="bottom"/>
            <w:gridSpan w:val="5"/>
            <w:vMerge w:val="restart"/>
          </w:tcPr>
          <w:p>
            <w:pPr>
              <w:jc w:val="right"/>
              <w:spacing w:after="0" w:line="216" w:lineRule="exact"/>
              <w:rPr>
                <w:sz w:val="20"/>
                <w:szCs w:val="20"/>
                <w:color w:val="auto"/>
              </w:rPr>
            </w:pPr>
            <w:r>
              <w:rPr>
                <w:rFonts w:ascii="Arial" w:cs="Arial" w:eastAsia="Arial" w:hAnsi="Arial"/>
                <w:sz w:val="22"/>
                <w:szCs w:val="22"/>
                <w:color w:val="FF0000"/>
                <w:strike w:val="1"/>
                <w:w w:val="87"/>
              </w:rPr>
              <w:t>154</w:t>
            </w:r>
          </w:p>
        </w:tc>
        <w:tc>
          <w:tcPr>
            <w:tcW w:w="260" w:type="dxa"/>
            <w:vAlign w:val="bottom"/>
            <w:tcBorders>
              <w:bottom w:val="single" w:sz="8" w:color="DDDDDD"/>
            </w:tcBorders>
            <w:gridSpan w:val="2"/>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1340" w:type="dxa"/>
            <w:vAlign w:val="bottom"/>
            <w:gridSpan w:val="8"/>
          </w:tcPr>
          <w:p>
            <w:pPr>
              <w:ind w:left="60"/>
              <w:spacing w:after="0" w:line="176" w:lineRule="exact"/>
              <w:rPr>
                <w:sz w:val="20"/>
                <w:szCs w:val="20"/>
                <w:color w:val="auto"/>
              </w:rPr>
            </w:pPr>
            <w:r>
              <w:rPr>
                <w:rFonts w:ascii="Arial" w:cs="Arial" w:eastAsia="Arial" w:hAnsi="Arial"/>
                <w:sz w:val="19"/>
                <w:szCs w:val="19"/>
                <w:color w:val="auto"/>
              </w:rPr>
              <w:t>Integration;</w:t>
            </w:r>
          </w:p>
        </w:tc>
        <w:tc>
          <w:tcPr>
            <w:tcW w:w="960" w:type="dxa"/>
            <w:vAlign w:val="bottom"/>
            <w:gridSpan w:val="12"/>
          </w:tcPr>
          <w:p>
            <w:pPr>
              <w:spacing w:after="0" w:line="176" w:lineRule="exact"/>
              <w:rPr>
                <w:sz w:val="20"/>
                <w:szCs w:val="20"/>
                <w:color w:val="auto"/>
              </w:rPr>
            </w:pPr>
            <w:r>
              <w:rPr>
                <w:rFonts w:ascii="Arial" w:cs="Arial" w:eastAsia="Arial" w:hAnsi="Arial"/>
                <w:sz w:val="19"/>
                <w:szCs w:val="19"/>
                <w:color w:val="auto"/>
                <w:w w:val="83"/>
              </w:rPr>
              <w:t>Effectiveness</w:t>
            </w:r>
          </w:p>
        </w:tc>
        <w:tc>
          <w:tcPr>
            <w:tcW w:w="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340" w:type="dxa"/>
            <w:vAlign w:val="bottom"/>
            <w:gridSpan w:val="5"/>
            <w:vMerge w:val="continue"/>
          </w:tcPr>
          <w:p>
            <w:pPr>
              <w:spacing w:after="0"/>
              <w:rPr>
                <w:sz w:val="17"/>
                <w:szCs w:val="17"/>
                <w:color w:val="auto"/>
              </w:rPr>
            </w:pPr>
          </w:p>
        </w:tc>
        <w:tc>
          <w:tcPr>
            <w:tcW w:w="320" w:type="dxa"/>
            <w:vAlign w:val="bottom"/>
            <w:gridSpan w:val="4"/>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94"/>
              </w:rPr>
              <w:t>152</w:t>
            </w:r>
          </w:p>
        </w:tc>
        <w:tc>
          <w:tcPr>
            <w:tcW w:w="3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line="176" w:lineRule="exact"/>
              <w:rPr>
                <w:sz w:val="20"/>
                <w:szCs w:val="20"/>
                <w:color w:val="auto"/>
              </w:rPr>
            </w:pPr>
            <w:r>
              <w:rPr>
                <w:rFonts w:ascii="Arial" w:cs="Arial" w:eastAsia="Arial" w:hAnsi="Arial"/>
                <w:sz w:val="19"/>
                <w:szCs w:val="19"/>
                <w:color w:val="auto"/>
                <w:w w:val="98"/>
              </w:rPr>
              <w:t>Section 10.7</w:t>
            </w:r>
          </w:p>
        </w:tc>
        <w:tc>
          <w:tcPr>
            <w:tcW w:w="1100" w:type="dxa"/>
            <w:vAlign w:val="bottom"/>
            <w:tcBorders>
              <w:top w:val="single" w:sz="8" w:color="auto"/>
              <w:bottom w:val="single" w:sz="8" w:color="auto"/>
            </w:tcBorders>
            <w:gridSpan w:val="6"/>
          </w:tcPr>
          <w:p>
            <w:pPr>
              <w:ind w:left="60"/>
              <w:spacing w:after="0" w:line="176" w:lineRule="exact"/>
              <w:rPr>
                <w:sz w:val="20"/>
                <w:szCs w:val="20"/>
                <w:color w:val="auto"/>
              </w:rPr>
            </w:pPr>
            <w:r>
              <w:rPr>
                <w:rFonts w:ascii="Arial" w:cs="Arial" w:eastAsia="Arial" w:hAnsi="Arial"/>
                <w:sz w:val="19"/>
                <w:szCs w:val="19"/>
                <w:color w:val="auto"/>
              </w:rPr>
              <w:t>Severability</w:t>
            </w:r>
          </w:p>
        </w:tc>
        <w:tc>
          <w:tcPr>
            <w:tcW w:w="200" w:type="dxa"/>
            <w:vAlign w:val="bottom"/>
            <w:tcBorders>
              <w:top w:val="single" w:sz="8" w:color="auto"/>
            </w:tcBorders>
          </w:tcPr>
          <w:p>
            <w:pPr>
              <w:spacing w:after="0"/>
              <w:rPr>
                <w:sz w:val="17"/>
                <w:szCs w:val="17"/>
                <w:color w:val="auto"/>
              </w:rPr>
            </w:pPr>
          </w:p>
        </w:tc>
        <w:tc>
          <w:tcPr>
            <w:tcW w:w="340" w:type="dxa"/>
            <w:vAlign w:val="bottom"/>
            <w:tcBorders>
              <w:top w:val="single" w:sz="8" w:color="auto"/>
              <w:right w:val="single" w:sz="8" w:color="DDDDDD"/>
            </w:tcBorders>
            <w:gridSpan w:val="4"/>
          </w:tcPr>
          <w:p>
            <w:pPr>
              <w:spacing w:after="0" w:line="176" w:lineRule="exact"/>
              <w:rPr>
                <w:sz w:val="20"/>
                <w:szCs w:val="20"/>
                <w:color w:val="auto"/>
              </w:rPr>
            </w:pPr>
            <w:r>
              <w:rPr>
                <w:rFonts w:ascii="Arial" w:cs="Arial" w:eastAsia="Arial" w:hAnsi="Arial"/>
                <w:sz w:val="19"/>
                <w:szCs w:val="19"/>
                <w:color w:val="FF0000"/>
                <w:strike w:val="1"/>
                <w:w w:val="94"/>
              </w:rPr>
              <w:t>154</w:t>
            </w:r>
          </w:p>
        </w:tc>
        <w:tc>
          <w:tcPr>
            <w:tcW w:w="320" w:type="dxa"/>
            <w:vAlign w:val="bottom"/>
            <w:tcBorders>
              <w:top w:val="single" w:sz="8" w:color="auto"/>
              <w:bottom w:val="single" w:sz="8" w:color="DDDDDD"/>
              <w:right w:val="single" w:sz="8" w:color="DDDDDD"/>
            </w:tcBorders>
            <w:gridSpan w:val="3"/>
            <w:shd w:val="clear" w:color="auto" w:fill="DDDDDD"/>
          </w:tcPr>
          <w:p>
            <w:pPr>
              <w:spacing w:after="0" w:line="176" w:lineRule="exact"/>
              <w:rPr>
                <w:sz w:val="20"/>
                <w:szCs w:val="20"/>
                <w:color w:val="auto"/>
              </w:rPr>
            </w:pPr>
            <w:r>
              <w:rPr>
                <w:rFonts w:ascii="Arial" w:cs="Arial" w:eastAsia="Arial" w:hAnsi="Arial"/>
                <w:sz w:val="19"/>
                <w:szCs w:val="19"/>
                <w:color w:val="0000FF"/>
                <w:highlight w:val="lightGray"/>
                <w:w w:val="88"/>
              </w:rPr>
              <w:t>152</w:t>
            </w:r>
          </w:p>
        </w:tc>
        <w:tc>
          <w:tcPr>
            <w:tcW w:w="40" w:type="dxa"/>
            <w:vAlign w:val="bottom"/>
            <w:tcBorders>
              <w:top w:val="single" w:sz="8" w:color="auto"/>
              <w:bottom w:val="single" w:sz="8" w:color="DDDDDD"/>
            </w:tcBorders>
          </w:tcPr>
          <w:p>
            <w:pPr>
              <w:spacing w:after="0"/>
              <w:rPr>
                <w:sz w:val="17"/>
                <w:szCs w:val="17"/>
                <w:color w:val="auto"/>
              </w:rPr>
            </w:pPr>
          </w:p>
        </w:tc>
        <w:tc>
          <w:tcPr>
            <w:tcW w:w="200" w:type="dxa"/>
            <w:vAlign w:val="bottom"/>
            <w:tcBorders>
              <w:top w:val="single" w:sz="8" w:color="auto"/>
              <w:bottom w:val="single" w:sz="8" w:color="DDDDDD"/>
            </w:tcBorders>
            <w:gridSpan w:val="2"/>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80" w:type="dxa"/>
            <w:vAlign w:val="bottom"/>
          </w:tcPr>
          <w:p>
            <w:pPr>
              <w:spacing w:after="0" w:line="176" w:lineRule="exact"/>
              <w:rPr>
                <w:sz w:val="20"/>
                <w:szCs w:val="20"/>
                <w:color w:val="auto"/>
              </w:rPr>
            </w:pPr>
            <w:r>
              <w:rPr>
                <w:rFonts w:ascii="Arial" w:cs="Arial" w:eastAsia="Arial" w:hAnsi="Arial"/>
                <w:sz w:val="19"/>
                <w:szCs w:val="19"/>
                <w:color w:val="auto"/>
                <w:w w:val="98"/>
              </w:rPr>
              <w:t>Section 10.8</w:t>
            </w:r>
          </w:p>
        </w:tc>
        <w:tc>
          <w:tcPr>
            <w:tcW w:w="1560" w:type="dxa"/>
            <w:vAlign w:val="bottom"/>
            <w:gridSpan w:val="10"/>
          </w:tcPr>
          <w:p>
            <w:pPr>
              <w:ind w:left="60"/>
              <w:spacing w:after="0" w:line="176" w:lineRule="exact"/>
              <w:rPr>
                <w:sz w:val="20"/>
                <w:szCs w:val="20"/>
                <w:color w:val="auto"/>
              </w:rPr>
            </w:pPr>
            <w:r>
              <w:rPr>
                <w:rFonts w:ascii="Arial" w:cs="Arial" w:eastAsia="Arial" w:hAnsi="Arial"/>
                <w:sz w:val="19"/>
                <w:szCs w:val="19"/>
                <w:color w:val="auto"/>
              </w:rPr>
              <w:t>Right of Setoff</w:t>
            </w:r>
          </w:p>
        </w:tc>
        <w:tc>
          <w:tcPr>
            <w:tcW w:w="80" w:type="dxa"/>
            <w:vAlign w:val="bottom"/>
          </w:tcPr>
          <w:p>
            <w:pPr>
              <w:spacing w:after="0"/>
              <w:rPr>
                <w:sz w:val="15"/>
                <w:szCs w:val="15"/>
                <w:color w:val="auto"/>
              </w:rPr>
            </w:pPr>
          </w:p>
        </w:tc>
        <w:tc>
          <w:tcPr>
            <w:tcW w:w="240" w:type="dxa"/>
            <w:vAlign w:val="bottom"/>
            <w:gridSpan w:val="2"/>
          </w:tcPr>
          <w:p>
            <w:pPr>
              <w:spacing w:after="0" w:line="176" w:lineRule="exact"/>
              <w:rPr>
                <w:sz w:val="20"/>
                <w:szCs w:val="20"/>
                <w:color w:val="auto"/>
              </w:rPr>
            </w:pPr>
            <w:r>
              <w:rPr>
                <w:rFonts w:ascii="Arial" w:cs="Arial" w:eastAsia="Arial" w:hAnsi="Arial"/>
                <w:sz w:val="18"/>
                <w:szCs w:val="18"/>
                <w:color w:val="FF0000"/>
                <w:strike w:val="1"/>
                <w:w w:val="73"/>
              </w:rPr>
              <w:t>155</w:t>
            </w:r>
          </w:p>
        </w:tc>
        <w:tc>
          <w:tcPr>
            <w:tcW w:w="80" w:type="dxa"/>
            <w:vAlign w:val="bottom"/>
            <w:tcBorders>
              <w:right w:val="single" w:sz="8" w:color="DDDDDD"/>
            </w:tcBorders>
          </w:tcPr>
          <w:p>
            <w:pPr>
              <w:spacing w:after="0"/>
              <w:rPr>
                <w:sz w:val="15"/>
                <w:szCs w:val="15"/>
                <w:color w:val="auto"/>
              </w:rPr>
            </w:pPr>
          </w:p>
        </w:tc>
        <w:tc>
          <w:tcPr>
            <w:tcW w:w="240" w:type="dxa"/>
            <w:vAlign w:val="bottom"/>
            <w:gridSpan w:val="3"/>
            <w:shd w:val="clear" w:color="auto" w:fill="DDDDDD"/>
          </w:tcPr>
          <w:p>
            <w:pPr>
              <w:jc w:val="right"/>
              <w:spacing w:after="0" w:line="176" w:lineRule="exact"/>
              <w:rPr>
                <w:sz w:val="20"/>
                <w:szCs w:val="20"/>
                <w:color w:val="auto"/>
              </w:rPr>
            </w:pPr>
            <w:r>
              <w:rPr>
                <w:rFonts w:ascii="Arial" w:cs="Arial" w:eastAsia="Arial" w:hAnsi="Arial"/>
                <w:sz w:val="18"/>
                <w:szCs w:val="18"/>
                <w:color w:val="0000FF"/>
                <w:highlight w:val="lightGray"/>
                <w:w w:val="73"/>
              </w:rPr>
              <w:t>152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line="195" w:lineRule="exact"/>
              <w:rPr>
                <w:sz w:val="20"/>
                <w:szCs w:val="20"/>
                <w:color w:val="auto"/>
              </w:rPr>
            </w:pPr>
            <w:r>
              <w:rPr>
                <w:rFonts w:ascii="Arial" w:cs="Arial" w:eastAsia="Arial" w:hAnsi="Arial"/>
                <w:sz w:val="22"/>
                <w:szCs w:val="22"/>
                <w:color w:val="auto"/>
                <w:w w:val="84"/>
              </w:rPr>
              <w:t>Section 10.9</w:t>
            </w:r>
          </w:p>
        </w:tc>
        <w:tc>
          <w:tcPr>
            <w:tcW w:w="10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gridSpan w:val="3"/>
          </w:tcPr>
          <w:p>
            <w:pPr>
              <w:spacing w:after="0" w:line="20" w:lineRule="exact"/>
              <w:rPr>
                <w:sz w:val="1"/>
                <w:szCs w:val="1"/>
                <w:color w:val="auto"/>
              </w:rPr>
            </w:pPr>
          </w:p>
        </w:tc>
        <w:tc>
          <w:tcPr>
            <w:tcW w:w="140" w:type="dxa"/>
            <w:vAlign w:val="bottom"/>
            <w:tcBorders>
              <w:top w:val="single" w:sz="8" w:color="auto"/>
            </w:tcBorders>
            <w:gridSpan w:val="2"/>
          </w:tcPr>
          <w:p>
            <w:pPr>
              <w:spacing w:after="0" w:line="20" w:lineRule="exact"/>
              <w:rPr>
                <w:sz w:val="1"/>
                <w:szCs w:val="1"/>
                <w:color w:val="auto"/>
              </w:rPr>
            </w:pPr>
          </w:p>
        </w:tc>
        <w:tc>
          <w:tcPr>
            <w:tcW w:w="240" w:type="dxa"/>
            <w:vAlign w:val="bottom"/>
            <w:tcBorders>
              <w:top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right w:val="single" w:sz="8" w:color="DDDDDD"/>
            </w:tcBorders>
          </w:tcPr>
          <w:p>
            <w:pPr>
              <w:spacing w:after="0" w:line="20" w:lineRule="exact"/>
              <w:rPr>
                <w:sz w:val="1"/>
                <w:szCs w:val="1"/>
                <w:color w:val="auto"/>
              </w:rPr>
            </w:pPr>
          </w:p>
        </w:tc>
        <w:tc>
          <w:tcPr>
            <w:tcW w:w="40" w:type="dxa"/>
            <w:vAlign w:val="bottom"/>
            <w:tcBorders>
              <w:top w:val="single" w:sz="8" w:color="0000FF"/>
            </w:tcBorders>
            <w:shd w:val="clear" w:color="auto" w:fill="DDDDDD"/>
          </w:tcPr>
          <w:p>
            <w:pPr>
              <w:spacing w:after="0" w:line="20" w:lineRule="exact"/>
              <w:rPr>
                <w:sz w:val="1"/>
                <w:szCs w:val="1"/>
                <w:color w:val="auto"/>
              </w:rPr>
            </w:pPr>
          </w:p>
        </w:tc>
        <w:tc>
          <w:tcPr>
            <w:tcW w:w="200" w:type="dxa"/>
            <w:vAlign w:val="bottom"/>
            <w:tcBorders>
              <w:top w:val="single" w:sz="8" w:color="0000FF"/>
            </w:tcBorders>
            <w:gridSpan w:val="2"/>
            <w:shd w:val="clear" w:color="auto" w:fill="DDDDD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DDDDD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5440" w:type="dxa"/>
            <w:vAlign w:val="bottom"/>
            <w:gridSpan w:val="41"/>
          </w:tcPr>
          <w:p>
            <w:pPr>
              <w:ind w:left="60"/>
              <w:spacing w:after="0" w:line="176" w:lineRule="exact"/>
              <w:rPr>
                <w:sz w:val="20"/>
                <w:szCs w:val="20"/>
                <w:color w:val="auto"/>
              </w:rPr>
            </w:pPr>
            <w:r>
              <w:rPr>
                <w:rFonts w:ascii="Arial" w:cs="Arial" w:eastAsia="Arial" w:hAnsi="Arial"/>
                <w:sz w:val="19"/>
                <w:szCs w:val="19"/>
                <w:color w:val="auto"/>
              </w:rPr>
              <w:t>Governing Law; Jurisdiction; Consent to Service of Process</w:t>
            </w:r>
          </w:p>
        </w:tc>
        <w:tc>
          <w:tcPr>
            <w:tcW w:w="320" w:type="dxa"/>
            <w:vAlign w:val="bottom"/>
          </w:tcPr>
          <w:p>
            <w:pPr>
              <w:jc w:val="right"/>
              <w:spacing w:after="0" w:line="176" w:lineRule="exact"/>
              <w:rPr>
                <w:sz w:val="20"/>
                <w:szCs w:val="20"/>
                <w:color w:val="auto"/>
              </w:rPr>
            </w:pPr>
            <w:r>
              <w:rPr>
                <w:rFonts w:ascii="Arial" w:cs="Arial" w:eastAsia="Arial" w:hAnsi="Arial"/>
                <w:sz w:val="19"/>
                <w:szCs w:val="19"/>
                <w:color w:val="FF0000"/>
                <w:strike w:val="1"/>
                <w:w w:val="94"/>
              </w:rPr>
              <w:t>155</w:t>
            </w:r>
          </w:p>
        </w:tc>
        <w:tc>
          <w:tcPr>
            <w:tcW w:w="20" w:type="dxa"/>
            <w:vAlign w:val="bottom"/>
          </w:tcPr>
          <w:p>
            <w:pPr>
              <w:spacing w:after="0"/>
              <w:rPr>
                <w:sz w:val="17"/>
                <w:szCs w:val="17"/>
                <w:color w:val="auto"/>
              </w:rPr>
            </w:pPr>
          </w:p>
        </w:tc>
        <w:tc>
          <w:tcPr>
            <w:tcW w:w="320" w:type="dxa"/>
            <w:vAlign w:val="bottom"/>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94"/>
              </w:rPr>
              <w:t>153</w:t>
            </w:r>
          </w:p>
        </w:tc>
        <w:tc>
          <w:tcPr>
            <w:tcW w:w="0" w:type="dxa"/>
            <w:vAlign w:val="bottom"/>
          </w:tcPr>
          <w:p>
            <w:pPr>
              <w:spacing w:after="0"/>
              <w:rPr>
                <w:sz w:val="1"/>
                <w:szCs w:val="1"/>
                <w:color w:val="auto"/>
              </w:rPr>
            </w:pPr>
          </w:p>
        </w:tc>
      </w:tr>
      <w:tr>
        <w:trPr>
          <w:trHeight w:val="196"/>
        </w:trPr>
        <w:tc>
          <w:tcPr>
            <w:tcW w:w="1080" w:type="dxa"/>
            <w:vAlign w:val="bottom"/>
          </w:tcPr>
          <w:p>
            <w:pPr>
              <w:spacing w:after="0" w:line="176" w:lineRule="exact"/>
              <w:rPr>
                <w:sz w:val="20"/>
                <w:szCs w:val="20"/>
                <w:color w:val="auto"/>
              </w:rPr>
            </w:pPr>
            <w:r>
              <w:rPr>
                <w:rFonts w:ascii="Arial" w:cs="Arial" w:eastAsia="Arial" w:hAnsi="Arial"/>
                <w:sz w:val="19"/>
                <w:szCs w:val="19"/>
                <w:color w:val="auto"/>
                <w:w w:val="89"/>
              </w:rPr>
              <w:t>Section 10.10</w:t>
            </w:r>
          </w:p>
        </w:tc>
        <w:tc>
          <w:tcPr>
            <w:tcW w:w="10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gridSpan w:val="25"/>
          </w:tcPr>
          <w:p>
            <w:pPr>
              <w:ind w:left="60"/>
              <w:spacing w:after="0" w:line="176" w:lineRule="exact"/>
              <w:rPr>
                <w:sz w:val="20"/>
                <w:szCs w:val="20"/>
                <w:color w:val="auto"/>
              </w:rPr>
            </w:pPr>
            <w:r>
              <w:rPr>
                <w:rFonts w:ascii="Arial" w:cs="Arial" w:eastAsia="Arial" w:hAnsi="Arial"/>
                <w:sz w:val="19"/>
                <w:szCs w:val="19"/>
                <w:color w:val="auto"/>
              </w:rPr>
              <w:t>WAIVER OF JURY TRIAL</w:t>
            </w:r>
          </w:p>
        </w:tc>
        <w:tc>
          <w:tcPr>
            <w:tcW w:w="320" w:type="dxa"/>
            <w:vAlign w:val="bottom"/>
            <w:tcBorders>
              <w:top w:val="single" w:sz="8" w:color="auto"/>
            </w:tcBorders>
            <w:gridSpan w:val="4"/>
          </w:tcPr>
          <w:p>
            <w:pPr>
              <w:jc w:val="right"/>
              <w:spacing w:after="0" w:line="176" w:lineRule="exact"/>
              <w:rPr>
                <w:sz w:val="20"/>
                <w:szCs w:val="20"/>
                <w:color w:val="auto"/>
              </w:rPr>
            </w:pPr>
            <w:r>
              <w:rPr>
                <w:rFonts w:ascii="Arial" w:cs="Arial" w:eastAsia="Arial" w:hAnsi="Arial"/>
                <w:sz w:val="19"/>
                <w:szCs w:val="19"/>
                <w:color w:val="FF0000"/>
                <w:strike w:val="1"/>
                <w:w w:val="94"/>
              </w:rPr>
              <w:t>156</w:t>
            </w:r>
          </w:p>
        </w:tc>
        <w:tc>
          <w:tcPr>
            <w:tcW w:w="340" w:type="dxa"/>
            <w:vAlign w:val="bottom"/>
            <w:tcBorders>
              <w:top w:val="single" w:sz="8" w:color="auto"/>
              <w:right w:val="single" w:sz="8" w:color="DDDDDD"/>
            </w:tcBorders>
            <w:gridSpan w:val="2"/>
            <w:shd w:val="clear" w:color="auto" w:fill="DDDDDD"/>
          </w:tcPr>
          <w:p>
            <w:pPr>
              <w:jc w:val="right"/>
              <w:ind w:right="20"/>
              <w:spacing w:after="0" w:line="176" w:lineRule="exact"/>
              <w:rPr>
                <w:sz w:val="20"/>
                <w:szCs w:val="20"/>
                <w:color w:val="auto"/>
              </w:rPr>
            </w:pPr>
            <w:r>
              <w:rPr>
                <w:rFonts w:ascii="Arial" w:cs="Arial" w:eastAsia="Arial" w:hAnsi="Arial"/>
                <w:sz w:val="19"/>
                <w:szCs w:val="19"/>
                <w:color w:val="0000FF"/>
                <w:highlight w:val="lightGray"/>
                <w:w w:val="94"/>
              </w:rPr>
              <w:t>154</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gridSpan w:val="2"/>
          </w:tcPr>
          <w:p>
            <w:pPr>
              <w:spacing w:after="0"/>
              <w:rPr>
                <w:sz w:val="17"/>
                <w:szCs w:val="17"/>
                <w:color w:val="auto"/>
              </w:rPr>
            </w:pPr>
          </w:p>
        </w:tc>
        <w:tc>
          <w:tcPr>
            <w:tcW w:w="320" w:type="dxa"/>
            <w:vAlign w:val="bottom"/>
            <w:tcBorders>
              <w:top w:val="single" w:sz="8" w:color="auto"/>
            </w:tcBorders>
            <w:gridSpan w:val="2"/>
          </w:tcPr>
          <w:p>
            <w:pPr>
              <w:spacing w:after="0"/>
              <w:rPr>
                <w:sz w:val="17"/>
                <w:szCs w:val="17"/>
                <w:color w:val="auto"/>
              </w:rPr>
            </w:pPr>
          </w:p>
        </w:tc>
        <w:tc>
          <w:tcPr>
            <w:tcW w:w="680" w:type="dxa"/>
            <w:vAlign w:val="bottom"/>
            <w:tcBorders>
              <w:top w:val="single" w:sz="8" w:color="auto"/>
            </w:tcBorders>
            <w:gridSpan w:val="2"/>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80" w:type="dxa"/>
            <w:vAlign w:val="bottom"/>
            <w:gridSpan w:val="2"/>
          </w:tcPr>
          <w:p>
            <w:pPr>
              <w:spacing w:after="0" w:line="176" w:lineRule="exact"/>
              <w:rPr>
                <w:sz w:val="20"/>
                <w:szCs w:val="20"/>
                <w:color w:val="auto"/>
              </w:rPr>
            </w:pPr>
            <w:r>
              <w:rPr>
                <w:rFonts w:ascii="Arial" w:cs="Arial" w:eastAsia="Arial" w:hAnsi="Arial"/>
                <w:sz w:val="19"/>
                <w:szCs w:val="19"/>
                <w:color w:val="auto"/>
                <w:w w:val="99"/>
              </w:rPr>
              <w:t>Section 10.11</w:t>
            </w:r>
          </w:p>
        </w:tc>
        <w:tc>
          <w:tcPr>
            <w:tcW w:w="20" w:type="dxa"/>
            <w:vAlign w:val="bottom"/>
          </w:tcPr>
          <w:p>
            <w:pPr>
              <w:spacing w:after="0"/>
              <w:rPr>
                <w:sz w:val="15"/>
                <w:szCs w:val="15"/>
                <w:color w:val="auto"/>
              </w:rPr>
            </w:pPr>
          </w:p>
        </w:tc>
        <w:tc>
          <w:tcPr>
            <w:tcW w:w="880" w:type="dxa"/>
            <w:vAlign w:val="bottom"/>
            <w:tcBorders>
              <w:top w:val="single" w:sz="8" w:color="auto"/>
            </w:tcBorders>
            <w:gridSpan w:val="3"/>
          </w:tcPr>
          <w:p>
            <w:pPr>
              <w:ind w:left="40"/>
              <w:spacing w:after="0" w:line="176" w:lineRule="exact"/>
              <w:rPr>
                <w:sz w:val="20"/>
                <w:szCs w:val="20"/>
                <w:color w:val="auto"/>
              </w:rPr>
            </w:pPr>
            <w:r>
              <w:rPr>
                <w:rFonts w:ascii="Arial" w:cs="Arial" w:eastAsia="Arial" w:hAnsi="Arial"/>
                <w:sz w:val="19"/>
                <w:szCs w:val="19"/>
                <w:color w:val="auto"/>
              </w:rPr>
              <w:t>Headings</w:t>
            </w: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right w:val="single" w:sz="8" w:color="DDDDDD"/>
            </w:tcBorders>
            <w:gridSpan w:val="4"/>
          </w:tcPr>
          <w:p>
            <w:pPr>
              <w:jc w:val="right"/>
              <w:spacing w:after="0" w:line="176" w:lineRule="exact"/>
              <w:rPr>
                <w:sz w:val="20"/>
                <w:szCs w:val="20"/>
                <w:color w:val="auto"/>
              </w:rPr>
            </w:pPr>
            <w:r>
              <w:rPr>
                <w:rFonts w:ascii="Arial" w:cs="Arial" w:eastAsia="Arial" w:hAnsi="Arial"/>
                <w:sz w:val="19"/>
                <w:szCs w:val="19"/>
                <w:color w:val="FF0000"/>
                <w:strike w:val="1"/>
              </w:rPr>
              <w:t>156</w:t>
            </w:r>
          </w:p>
        </w:tc>
        <w:tc>
          <w:tcPr>
            <w:tcW w:w="280" w:type="dxa"/>
            <w:vAlign w:val="bottom"/>
            <w:tcBorders>
              <w:top w:val="single" w:sz="8" w:color="auto"/>
              <w:right w:val="single" w:sz="8" w:color="DDDDDD"/>
            </w:tcBorders>
            <w:gridSpan w:val="2"/>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75"/>
              </w:rPr>
              <w:t>154</w:t>
            </w: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gridSpan w:val="2"/>
            <w:vMerge w:val="restart"/>
          </w:tcPr>
          <w:p>
            <w:pPr>
              <w:spacing w:after="0" w:line="216" w:lineRule="exact"/>
              <w:rPr>
                <w:sz w:val="20"/>
                <w:szCs w:val="20"/>
                <w:color w:val="auto"/>
              </w:rPr>
            </w:pPr>
            <w:r>
              <w:rPr>
                <w:rFonts w:ascii="Arial" w:cs="Arial" w:eastAsia="Arial" w:hAnsi="Arial"/>
                <w:sz w:val="22"/>
                <w:szCs w:val="22"/>
                <w:color w:val="auto"/>
                <w:w w:val="86"/>
              </w:rPr>
              <w:t>Section 10.12</w:t>
            </w:r>
          </w:p>
        </w:tc>
        <w:tc>
          <w:tcPr>
            <w:tcW w:w="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tcBorders>
              <w:bottom w:val="single" w:sz="8" w:color="DDDDDD"/>
              <w:right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DDDDDD"/>
              <w:right w:val="single" w:sz="8" w:color="DDDDDD"/>
            </w:tcBorders>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Borders>
              <w:bottom w:val="single" w:sz="8" w:color="DDDDDD"/>
            </w:tcBorders>
            <w:gridSpan w:val="3"/>
          </w:tcPr>
          <w:p>
            <w:pPr>
              <w:spacing w:after="0" w:line="20" w:lineRule="exact"/>
              <w:rPr>
                <w:sz w:val="1"/>
                <w:szCs w:val="1"/>
                <w:color w:val="auto"/>
              </w:rPr>
            </w:pPr>
          </w:p>
        </w:tc>
        <w:tc>
          <w:tcPr>
            <w:tcW w:w="120" w:type="dxa"/>
            <w:vAlign w:val="bottom"/>
            <w:tcBorders>
              <w:bottom w:val="single" w:sz="8" w:color="DDDDDD"/>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gridSpan w:val="8"/>
          </w:tcPr>
          <w:p>
            <w:pPr>
              <w:ind w:left="40"/>
              <w:spacing w:after="0" w:line="176" w:lineRule="exact"/>
              <w:rPr>
                <w:sz w:val="20"/>
                <w:szCs w:val="20"/>
                <w:color w:val="auto"/>
              </w:rPr>
            </w:pPr>
            <w:r>
              <w:rPr>
                <w:rFonts w:ascii="Arial" w:cs="Arial" w:eastAsia="Arial" w:hAnsi="Arial"/>
                <w:sz w:val="19"/>
                <w:szCs w:val="19"/>
                <w:color w:val="auto"/>
              </w:rPr>
              <w:t>Confidentiality</w:t>
            </w:r>
          </w:p>
        </w:tc>
        <w:tc>
          <w:tcPr>
            <w:tcW w:w="80" w:type="dxa"/>
            <w:vAlign w:val="bottom"/>
          </w:tcPr>
          <w:p>
            <w:pPr>
              <w:spacing w:after="0"/>
              <w:rPr>
                <w:sz w:val="17"/>
                <w:szCs w:val="17"/>
                <w:color w:val="auto"/>
              </w:rPr>
            </w:pPr>
          </w:p>
        </w:tc>
        <w:tc>
          <w:tcPr>
            <w:tcW w:w="360" w:type="dxa"/>
            <w:vAlign w:val="bottom"/>
            <w:gridSpan w:val="4"/>
          </w:tcPr>
          <w:p>
            <w:pPr>
              <w:jc w:val="right"/>
              <w:spacing w:after="0" w:line="176" w:lineRule="exact"/>
              <w:rPr>
                <w:sz w:val="20"/>
                <w:szCs w:val="20"/>
                <w:color w:val="auto"/>
              </w:rPr>
            </w:pPr>
            <w:r>
              <w:rPr>
                <w:rFonts w:ascii="Arial" w:cs="Arial" w:eastAsia="Arial" w:hAnsi="Arial"/>
                <w:sz w:val="19"/>
                <w:szCs w:val="19"/>
                <w:color w:val="FF0000"/>
                <w:strike w:val="1"/>
              </w:rPr>
              <w:t>156</w:t>
            </w:r>
          </w:p>
        </w:tc>
        <w:tc>
          <w:tcPr>
            <w:tcW w:w="340" w:type="dxa"/>
            <w:vAlign w:val="bottom"/>
            <w:tcBorders>
              <w:right w:val="single" w:sz="8" w:color="DDDDDD"/>
            </w:tcBorders>
            <w:gridSpan w:val="6"/>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94"/>
              </w:rPr>
              <w:t>154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00" w:type="dxa"/>
            <w:vAlign w:val="bottom"/>
            <w:gridSpan w:val="3"/>
          </w:tcPr>
          <w:p>
            <w:pPr>
              <w:spacing w:after="0" w:line="176" w:lineRule="exact"/>
              <w:rPr>
                <w:sz w:val="20"/>
                <w:szCs w:val="20"/>
                <w:color w:val="auto"/>
              </w:rPr>
            </w:pPr>
            <w:r>
              <w:rPr>
                <w:rFonts w:ascii="Arial" w:cs="Arial" w:eastAsia="Arial" w:hAnsi="Arial"/>
                <w:sz w:val="19"/>
                <w:szCs w:val="19"/>
                <w:color w:val="auto"/>
              </w:rPr>
              <w:t>Section 10.13</w:t>
            </w:r>
          </w:p>
        </w:tc>
        <w:tc>
          <w:tcPr>
            <w:tcW w:w="1340" w:type="dxa"/>
            <w:vAlign w:val="bottom"/>
            <w:tcBorders>
              <w:top w:val="single" w:sz="8" w:color="auto"/>
              <w:bottom w:val="single" w:sz="8" w:color="auto"/>
            </w:tcBorders>
            <w:gridSpan w:val="7"/>
          </w:tcPr>
          <w:p>
            <w:pPr>
              <w:ind w:left="40"/>
              <w:spacing w:after="0" w:line="176" w:lineRule="exact"/>
              <w:rPr>
                <w:sz w:val="20"/>
                <w:szCs w:val="20"/>
                <w:color w:val="auto"/>
              </w:rPr>
            </w:pPr>
            <w:r>
              <w:rPr>
                <w:rFonts w:ascii="Arial" w:cs="Arial" w:eastAsia="Arial" w:hAnsi="Arial"/>
                <w:sz w:val="19"/>
                <w:szCs w:val="19"/>
                <w:color w:val="auto"/>
              </w:rPr>
              <w:t>Interest Rate</w:t>
            </w:r>
          </w:p>
        </w:tc>
        <w:tc>
          <w:tcPr>
            <w:tcW w:w="540" w:type="dxa"/>
            <w:vAlign w:val="bottom"/>
            <w:tcBorders>
              <w:bottom w:val="single" w:sz="8" w:color="auto"/>
            </w:tcBorders>
            <w:gridSpan w:val="6"/>
          </w:tcPr>
          <w:p>
            <w:pPr>
              <w:jc w:val="right"/>
              <w:spacing w:after="0" w:line="176" w:lineRule="exact"/>
              <w:rPr>
                <w:sz w:val="20"/>
                <w:szCs w:val="20"/>
                <w:color w:val="auto"/>
              </w:rPr>
            </w:pPr>
            <w:r>
              <w:rPr>
                <w:rFonts w:ascii="Arial" w:cs="Arial" w:eastAsia="Arial" w:hAnsi="Arial"/>
                <w:sz w:val="17"/>
                <w:szCs w:val="17"/>
                <w:color w:val="auto"/>
                <w:w w:val="71"/>
              </w:rPr>
              <w:t>Limitation</w:t>
            </w:r>
          </w:p>
        </w:tc>
        <w:tc>
          <w:tcPr>
            <w:tcW w:w="80" w:type="dxa"/>
            <w:vAlign w:val="bottom"/>
            <w:tcBorders>
              <w:top w:val="single" w:sz="8" w:color="0000FF"/>
              <w:bottom w:val="single" w:sz="8" w:color="auto"/>
            </w:tcBorders>
          </w:tcPr>
          <w:p>
            <w:pPr>
              <w:spacing w:after="0"/>
              <w:rPr>
                <w:sz w:val="15"/>
                <w:szCs w:val="15"/>
                <w:color w:val="auto"/>
              </w:rPr>
            </w:pPr>
          </w:p>
        </w:tc>
        <w:tc>
          <w:tcPr>
            <w:tcW w:w="12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20" w:type="dxa"/>
            <w:vAlign w:val="bottom"/>
            <w:gridSpan w:val="4"/>
          </w:tcPr>
          <w:p>
            <w:pPr>
              <w:ind w:left="100"/>
              <w:spacing w:after="0" w:line="176" w:lineRule="exact"/>
              <w:rPr>
                <w:sz w:val="20"/>
                <w:szCs w:val="20"/>
                <w:color w:val="auto"/>
              </w:rPr>
            </w:pPr>
            <w:r>
              <w:rPr>
                <w:rFonts w:ascii="Arial" w:cs="Arial" w:eastAsia="Arial" w:hAnsi="Arial"/>
                <w:sz w:val="19"/>
                <w:szCs w:val="19"/>
                <w:color w:val="FF0000"/>
                <w:strike w:val="1"/>
                <w:w w:val="94"/>
              </w:rPr>
              <w:t>158</w:t>
            </w:r>
          </w:p>
        </w:tc>
        <w:tc>
          <w:tcPr>
            <w:tcW w:w="320" w:type="dxa"/>
            <w:vAlign w:val="bottom"/>
            <w:tcBorders>
              <w:top w:val="single" w:sz="8" w:color="DDDDDD"/>
              <w:bottom w:val="single" w:sz="8" w:color="0000FF"/>
            </w:tcBorders>
            <w:gridSpan w:val="4"/>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94"/>
              </w:rPr>
              <w:t>156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gridSpan w:val="3"/>
            <w:vMerge w:val="restart"/>
          </w:tcPr>
          <w:p>
            <w:pPr>
              <w:spacing w:after="0" w:line="195" w:lineRule="exact"/>
              <w:rPr>
                <w:sz w:val="20"/>
                <w:szCs w:val="20"/>
                <w:color w:val="auto"/>
              </w:rPr>
            </w:pPr>
            <w:r>
              <w:rPr>
                <w:rFonts w:ascii="Arial" w:cs="Arial" w:eastAsia="Arial" w:hAnsi="Arial"/>
                <w:sz w:val="22"/>
                <w:szCs w:val="22"/>
                <w:color w:val="auto"/>
                <w:w w:val="87"/>
              </w:rPr>
              <w:t>Section 10.14</w:t>
            </w:r>
          </w:p>
        </w:tc>
        <w:tc>
          <w:tcPr>
            <w:tcW w:w="2100" w:type="dxa"/>
            <w:vAlign w:val="bottom"/>
            <w:gridSpan w:val="16"/>
            <w:vMerge w:val="restart"/>
          </w:tcPr>
          <w:p>
            <w:pPr>
              <w:ind w:left="40"/>
              <w:spacing w:after="0" w:line="195" w:lineRule="exact"/>
              <w:rPr>
                <w:sz w:val="20"/>
                <w:szCs w:val="20"/>
                <w:color w:val="auto"/>
              </w:rPr>
            </w:pPr>
            <w:r>
              <w:rPr>
                <w:rFonts w:ascii="Arial" w:cs="Arial" w:eastAsia="Arial" w:hAnsi="Arial"/>
                <w:sz w:val="22"/>
                <w:szCs w:val="22"/>
                <w:color w:val="auto"/>
                <w:w w:val="85"/>
              </w:rPr>
              <w:t>No Advisory or Fiduciary</w:t>
            </w:r>
          </w:p>
        </w:tc>
        <w:tc>
          <w:tcPr>
            <w:tcW w:w="12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20" w:type="dxa"/>
            <w:vAlign w:val="bottom"/>
            <w:gridSpan w:val="4"/>
            <w:shd w:val="clear" w:color="auto" w:fill="DDDDDD"/>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2"/>
            <w:shd w:val="clear" w:color="auto" w:fill="DDDDDD"/>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00" w:type="dxa"/>
            <w:vAlign w:val="bottom"/>
            <w:gridSpan w:val="3"/>
            <w:vMerge w:val="continue"/>
          </w:tcPr>
          <w:p>
            <w:pPr>
              <w:spacing w:after="0"/>
              <w:rPr>
                <w:sz w:val="15"/>
                <w:szCs w:val="15"/>
                <w:color w:val="auto"/>
              </w:rPr>
            </w:pPr>
          </w:p>
        </w:tc>
        <w:tc>
          <w:tcPr>
            <w:tcW w:w="2100" w:type="dxa"/>
            <w:vAlign w:val="bottom"/>
            <w:gridSpan w:val="16"/>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60" w:type="dxa"/>
            <w:vAlign w:val="bottom"/>
            <w:gridSpan w:val="13"/>
          </w:tcPr>
          <w:p>
            <w:pPr>
              <w:ind w:left="100"/>
              <w:spacing w:after="0" w:line="176" w:lineRule="exact"/>
              <w:rPr>
                <w:sz w:val="20"/>
                <w:szCs w:val="20"/>
                <w:color w:val="auto"/>
              </w:rPr>
            </w:pPr>
            <w:r>
              <w:rPr>
                <w:rFonts w:ascii="Arial" w:cs="Arial" w:eastAsia="Arial" w:hAnsi="Arial"/>
                <w:sz w:val="19"/>
                <w:szCs w:val="19"/>
                <w:color w:val="auto"/>
              </w:rPr>
              <w:t>Responsibility</w:t>
            </w:r>
          </w:p>
        </w:tc>
        <w:tc>
          <w:tcPr>
            <w:tcW w:w="320" w:type="dxa"/>
            <w:vAlign w:val="bottom"/>
            <w:gridSpan w:val="2"/>
          </w:tcPr>
          <w:p>
            <w:pPr>
              <w:jc w:val="right"/>
              <w:spacing w:after="0" w:line="176" w:lineRule="exact"/>
              <w:rPr>
                <w:sz w:val="20"/>
                <w:szCs w:val="20"/>
                <w:color w:val="auto"/>
              </w:rPr>
            </w:pPr>
            <w:r>
              <w:rPr>
                <w:rFonts w:ascii="Arial" w:cs="Arial" w:eastAsia="Arial" w:hAnsi="Arial"/>
                <w:sz w:val="19"/>
                <w:szCs w:val="19"/>
                <w:color w:val="FF0000"/>
                <w:strike w:val="1"/>
                <w:w w:val="94"/>
              </w:rPr>
              <w:t>158</w:t>
            </w:r>
          </w:p>
        </w:tc>
        <w:tc>
          <w:tcPr>
            <w:tcW w:w="320" w:type="dxa"/>
            <w:vAlign w:val="bottom"/>
            <w:gridSpan w:val="2"/>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94"/>
              </w:rPr>
              <w:t>156</w:t>
            </w:r>
          </w:p>
        </w:tc>
        <w:tc>
          <w:tcPr>
            <w:tcW w:w="15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139"/>
          </w:cols>
          <w:pgMar w:left="320" w:top="1372" w:right="144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50"/>
        </w:trPr>
        <w:tc>
          <w:tcPr>
            <w:tcW w:w="1180" w:type="dxa"/>
            <w:vAlign w:val="bottom"/>
            <w:vMerge w:val="restart"/>
          </w:tcPr>
          <w:p>
            <w:pPr>
              <w:spacing w:after="0"/>
              <w:rPr>
                <w:sz w:val="20"/>
                <w:szCs w:val="20"/>
                <w:color w:val="auto"/>
              </w:rPr>
            </w:pPr>
            <w:r>
              <w:rPr>
                <w:rFonts w:ascii="Arial" w:cs="Arial" w:eastAsia="Arial" w:hAnsi="Arial"/>
                <w:sz w:val="22"/>
                <w:szCs w:val="22"/>
                <w:color w:val="auto"/>
                <w:w w:val="86"/>
              </w:rPr>
              <w:t>Section 10.15</w:t>
            </w:r>
          </w:p>
        </w:tc>
        <w:tc>
          <w:tcPr>
            <w:tcW w:w="5660" w:type="dxa"/>
            <w:vAlign w:val="bottom"/>
            <w:gridSpan w:val="4"/>
            <w:vMerge w:val="restart"/>
          </w:tcPr>
          <w:p>
            <w:pPr>
              <w:ind w:left="60"/>
              <w:spacing w:after="0"/>
              <w:rPr>
                <w:sz w:val="20"/>
                <w:szCs w:val="20"/>
                <w:color w:val="auto"/>
              </w:rPr>
            </w:pPr>
            <w:r>
              <w:rPr>
                <w:rFonts w:ascii="Arial" w:cs="Arial" w:eastAsia="Arial" w:hAnsi="Arial"/>
                <w:sz w:val="22"/>
                <w:szCs w:val="22"/>
                <w:color w:val="auto"/>
                <w:w w:val="93"/>
              </w:rPr>
              <w:t>Counterparts; Integration; Effectiveness, Electronic Execution</w:t>
            </w:r>
          </w:p>
        </w:tc>
        <w:tc>
          <w:tcPr>
            <w:tcW w:w="320" w:type="dxa"/>
            <w:vAlign w:val="bottom"/>
            <w:vMerge w:val="restart"/>
          </w:tcPr>
          <w:p>
            <w:pPr>
              <w:jc w:val="right"/>
              <w:spacing w:after="0"/>
              <w:rPr>
                <w:sz w:val="20"/>
                <w:szCs w:val="20"/>
                <w:color w:val="auto"/>
              </w:rPr>
            </w:pPr>
            <w:r>
              <w:rPr>
                <w:rFonts w:ascii="Arial" w:cs="Arial" w:eastAsia="Arial" w:hAnsi="Arial"/>
                <w:sz w:val="22"/>
                <w:szCs w:val="22"/>
                <w:color w:val="FF0000"/>
                <w:strike w:val="1"/>
                <w:w w:val="81"/>
              </w:rPr>
              <w:t>159</w:t>
            </w:r>
          </w:p>
        </w:tc>
        <w:tc>
          <w:tcPr>
            <w:tcW w:w="3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180" w:type="dxa"/>
            <w:vAlign w:val="bottom"/>
            <w:vMerge w:val="continue"/>
          </w:tcPr>
          <w:p>
            <w:pPr>
              <w:spacing w:after="0"/>
              <w:rPr>
                <w:sz w:val="19"/>
                <w:szCs w:val="19"/>
                <w:color w:val="auto"/>
              </w:rPr>
            </w:pPr>
          </w:p>
        </w:tc>
        <w:tc>
          <w:tcPr>
            <w:tcW w:w="5660" w:type="dxa"/>
            <w:vAlign w:val="bottom"/>
            <w:gridSpan w:val="4"/>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320" w:type="dxa"/>
            <w:vAlign w:val="bottom"/>
            <w:shd w:val="clear" w:color="auto" w:fill="DDDDDD"/>
          </w:tcPr>
          <w:p>
            <w:pPr>
              <w:jc w:val="right"/>
              <w:spacing w:after="0" w:line="203" w:lineRule="exact"/>
              <w:rPr>
                <w:sz w:val="20"/>
                <w:szCs w:val="20"/>
                <w:color w:val="auto"/>
              </w:rPr>
            </w:pPr>
            <w:r>
              <w:rPr>
                <w:rFonts w:ascii="Arial" w:cs="Arial" w:eastAsia="Arial" w:hAnsi="Arial"/>
                <w:sz w:val="22"/>
                <w:szCs w:val="22"/>
                <w:color w:val="0000FF"/>
                <w:highlight w:val="lightGray"/>
                <w:w w:val="81"/>
              </w:rPr>
              <w:t>157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180" w:type="dxa"/>
            <w:vAlign w:val="bottom"/>
          </w:tcPr>
          <w:p>
            <w:pPr>
              <w:spacing w:after="0" w:line="234" w:lineRule="exact"/>
              <w:rPr>
                <w:sz w:val="20"/>
                <w:szCs w:val="20"/>
                <w:color w:val="auto"/>
              </w:rPr>
            </w:pPr>
            <w:r>
              <w:rPr>
                <w:rFonts w:ascii="Arial" w:cs="Arial" w:eastAsia="Arial" w:hAnsi="Arial"/>
                <w:sz w:val="22"/>
                <w:szCs w:val="22"/>
                <w:color w:val="auto"/>
                <w:w w:val="86"/>
              </w:rPr>
              <w:t>Section 10.16</w:t>
            </w:r>
          </w:p>
        </w:tc>
        <w:tc>
          <w:tcPr>
            <w:tcW w:w="4280" w:type="dxa"/>
            <w:vAlign w:val="bottom"/>
            <w:tcBorders>
              <w:top w:val="single" w:sz="8" w:color="auto"/>
            </w:tcBorders>
          </w:tcPr>
          <w:p>
            <w:pPr>
              <w:ind w:left="60"/>
              <w:spacing w:after="0" w:line="248" w:lineRule="exact"/>
              <w:rPr>
                <w:sz w:val="20"/>
                <w:szCs w:val="20"/>
                <w:color w:val="auto"/>
              </w:rPr>
            </w:pPr>
            <w:r>
              <w:rPr>
                <w:rFonts w:ascii="Arial" w:cs="Arial" w:eastAsia="Arial" w:hAnsi="Arial"/>
                <w:sz w:val="22"/>
                <w:szCs w:val="22"/>
                <w:u w:val="single" w:color="auto"/>
                <w:color w:val="auto"/>
                <w:w w:val="95"/>
              </w:rPr>
              <w:t>USA PATRIOT Act and Beneficial Ownership</w:t>
            </w:r>
          </w:p>
        </w:tc>
        <w:tc>
          <w:tcPr>
            <w:tcW w:w="320" w:type="dxa"/>
            <w:vAlign w:val="bottom"/>
            <w:tcBorders>
              <w:top w:val="single" w:sz="8" w:color="auto"/>
            </w:tcBorders>
          </w:tcPr>
          <w:p>
            <w:pPr>
              <w:jc w:val="right"/>
              <w:spacing w:after="0" w:line="248" w:lineRule="exact"/>
              <w:rPr>
                <w:sz w:val="20"/>
                <w:szCs w:val="20"/>
                <w:color w:val="auto"/>
              </w:rPr>
            </w:pPr>
            <w:r>
              <w:rPr>
                <w:rFonts w:ascii="Arial" w:cs="Arial" w:eastAsia="Arial" w:hAnsi="Arial"/>
                <w:sz w:val="22"/>
                <w:szCs w:val="22"/>
                <w:color w:val="FF0000"/>
                <w:strike w:val="1"/>
                <w:w w:val="81"/>
              </w:rPr>
              <w:t>160</w:t>
            </w:r>
          </w:p>
        </w:tc>
        <w:tc>
          <w:tcPr>
            <w:tcW w:w="840" w:type="dxa"/>
            <w:vAlign w:val="bottom"/>
            <w:tcBorders>
              <w:top w:val="single" w:sz="8" w:color="auto"/>
            </w:tcBorders>
          </w:tcPr>
          <w:p>
            <w:pPr>
              <w:jc w:val="right"/>
              <w:ind w:right="412"/>
              <w:spacing w:after="0" w:line="248" w:lineRule="exact"/>
              <w:rPr>
                <w:sz w:val="20"/>
                <w:szCs w:val="20"/>
                <w:color w:val="auto"/>
              </w:rPr>
            </w:pPr>
            <w:r>
              <w:rPr>
                <w:rFonts w:ascii="Arial" w:cs="Arial" w:eastAsia="Arial" w:hAnsi="Arial"/>
                <w:sz w:val="22"/>
                <w:szCs w:val="22"/>
                <w:u w:val="single" w:color="auto"/>
                <w:color w:val="0000FF"/>
                <w:highlight w:val="lightGray"/>
                <w:w w:val="81"/>
              </w:rPr>
              <w:t>158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tabs>
          <w:tab w:leader="none" w:pos="7980" w:val="left"/>
        </w:tabs>
        <w:rPr>
          <w:sz w:val="20"/>
          <w:szCs w:val="20"/>
          <w:color w:val="auto"/>
        </w:rPr>
      </w:pPr>
      <w:r>
        <w:rPr>
          <w:rFonts w:ascii="Arial" w:cs="Arial" w:eastAsia="Arial" w:hAnsi="Arial"/>
          <w:sz w:val="22"/>
          <w:szCs w:val="22"/>
          <w:color w:val="auto"/>
        </w:rPr>
        <w:t>Section 10.18 Acknowledgement and Consent to Bail-In of Affected Financial Institutions</w:t>
      </w:r>
      <w:r>
        <w:rPr>
          <w:sz w:val="20"/>
          <w:szCs w:val="20"/>
          <w:color w:val="auto"/>
        </w:rPr>
        <w:tab/>
      </w:r>
      <w:r>
        <w:rPr>
          <w:rFonts w:ascii="Arial" w:cs="Arial" w:eastAsia="Arial" w:hAnsi="Arial"/>
          <w:sz w:val="18"/>
          <w:szCs w:val="18"/>
          <w:color w:val="FF0000"/>
          <w:strike w:val="1"/>
        </w:rPr>
        <w:t>163</w:t>
      </w:r>
      <w:r>
        <w:rPr>
          <w:rFonts w:ascii="Arial" w:cs="Arial" w:eastAsia="Arial" w:hAnsi="Arial"/>
          <w:sz w:val="18"/>
          <w:szCs w:val="18"/>
          <w:u w:val="single" w:color="auto"/>
          <w:color w:val="0000FF"/>
          <w:highlight w:val="lightGray"/>
          <w:strike w:val="1"/>
        </w:rPr>
        <w:t>161</w:t>
      </w:r>
    </w:p>
    <w:tbl>
      <w:tblPr>
        <w:tblLayout w:type="fixed"/>
        <w:tblInd w:w="0" w:type="dxa"/>
        <w:tblCellMar>
          <w:top w:w="0" w:type="dxa"/>
          <w:left w:w="0" w:type="dxa"/>
          <w:bottom w:w="0" w:type="dxa"/>
          <w:right w:w="0" w:type="dxa"/>
        </w:tblCellMar>
      </w:tblPr>
      <w:tr>
        <w:trPr>
          <w:trHeight w:val="196"/>
        </w:trPr>
        <w:tc>
          <w:tcPr>
            <w:tcW w:w="1180" w:type="dxa"/>
            <w:vAlign w:val="bottom"/>
          </w:tcPr>
          <w:p>
            <w:pPr>
              <w:spacing w:after="0" w:line="195" w:lineRule="exact"/>
              <w:rPr>
                <w:sz w:val="20"/>
                <w:szCs w:val="20"/>
                <w:color w:val="auto"/>
              </w:rPr>
            </w:pPr>
            <w:r>
              <w:rPr>
                <w:rFonts w:ascii="Arial" w:cs="Arial" w:eastAsia="Arial" w:hAnsi="Arial"/>
                <w:sz w:val="22"/>
                <w:szCs w:val="22"/>
                <w:color w:val="auto"/>
                <w:w w:val="86"/>
              </w:rPr>
              <w:t>Section 10.19</w:t>
            </w:r>
          </w:p>
        </w:tc>
        <w:tc>
          <w:tcPr>
            <w:tcW w:w="2280" w:type="dxa"/>
            <w:vAlign w:val="bottom"/>
            <w:tcBorders>
              <w:top w:val="single" w:sz="8" w:color="auto"/>
              <w:bottom w:val="single" w:sz="8" w:color="auto"/>
            </w:tcBorders>
            <w:gridSpan w:val="7"/>
          </w:tcPr>
          <w:p>
            <w:pPr>
              <w:ind w:left="60"/>
              <w:spacing w:after="0" w:line="195" w:lineRule="exact"/>
              <w:rPr>
                <w:sz w:val="20"/>
                <w:szCs w:val="20"/>
                <w:color w:val="auto"/>
              </w:rPr>
            </w:pPr>
            <w:r>
              <w:rPr>
                <w:rFonts w:ascii="Arial" w:cs="Arial" w:eastAsia="Arial" w:hAnsi="Arial"/>
                <w:sz w:val="22"/>
                <w:szCs w:val="22"/>
                <w:color w:val="auto"/>
                <w:w w:val="88"/>
              </w:rPr>
              <w:t>Conversion of Currencies</w:t>
            </w:r>
          </w:p>
        </w:tc>
        <w:tc>
          <w:tcPr>
            <w:tcW w:w="54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22"/>
                <w:szCs w:val="22"/>
                <w:color w:val="FF0000"/>
                <w:strike w:val="1"/>
              </w:rPr>
              <w:t>164</w:t>
            </w:r>
          </w:p>
        </w:tc>
        <w:tc>
          <w:tcPr>
            <w:tcW w:w="320" w:type="dxa"/>
            <w:vAlign w:val="bottom"/>
            <w:tcBorders>
              <w:top w:val="single" w:sz="8" w:color="auto"/>
              <w:bottom w:val="single" w:sz="8" w:color="0000FF"/>
            </w:tcBorders>
            <w:gridSpan w:val="2"/>
            <w:shd w:val="clear" w:color="auto" w:fill="DDDDDD"/>
          </w:tcPr>
          <w:p>
            <w:pPr>
              <w:jc w:val="right"/>
              <w:spacing w:after="0" w:line="195" w:lineRule="exact"/>
              <w:rPr>
                <w:sz w:val="20"/>
                <w:szCs w:val="20"/>
                <w:color w:val="auto"/>
              </w:rPr>
            </w:pPr>
            <w:r>
              <w:rPr>
                <w:rFonts w:ascii="Arial" w:cs="Arial" w:eastAsia="Arial" w:hAnsi="Arial"/>
                <w:sz w:val="22"/>
                <w:szCs w:val="22"/>
                <w:color w:val="0000FF"/>
                <w:highlight w:val="lightGray"/>
                <w:w w:val="81"/>
              </w:rPr>
              <w:t>162</w:t>
            </w:r>
          </w:p>
        </w:tc>
        <w:tc>
          <w:tcPr>
            <w:tcW w:w="14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line="195" w:lineRule="exact"/>
              <w:rPr>
                <w:sz w:val="20"/>
                <w:szCs w:val="20"/>
                <w:color w:val="auto"/>
              </w:rPr>
            </w:pPr>
            <w:r>
              <w:rPr>
                <w:rFonts w:ascii="Arial" w:cs="Arial" w:eastAsia="Arial" w:hAnsi="Arial"/>
                <w:sz w:val="22"/>
                <w:szCs w:val="22"/>
                <w:color w:val="auto"/>
                <w:w w:val="86"/>
              </w:rPr>
              <w:t>Section 10.20</w:t>
            </w: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DDDDDD"/>
          </w:tcPr>
          <w:p>
            <w:pPr>
              <w:spacing w:after="0" w:line="20" w:lineRule="exact"/>
              <w:rPr>
                <w:sz w:val="1"/>
                <w:szCs w:val="1"/>
                <w:color w:val="auto"/>
              </w:rPr>
            </w:pPr>
          </w:p>
        </w:tc>
        <w:tc>
          <w:tcPr>
            <w:tcW w:w="200" w:type="dxa"/>
            <w:vAlign w:val="bottom"/>
            <w:shd w:val="clear" w:color="auto" w:fill="DDDDDD"/>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DDDDDD"/>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vMerge w:val="continue"/>
          </w:tcPr>
          <w:p>
            <w:pPr>
              <w:spacing w:after="0"/>
              <w:rPr>
                <w:sz w:val="17"/>
                <w:szCs w:val="17"/>
                <w:color w:val="auto"/>
              </w:rPr>
            </w:pPr>
          </w:p>
        </w:tc>
        <w:tc>
          <w:tcPr>
            <w:tcW w:w="3140" w:type="dxa"/>
            <w:vAlign w:val="bottom"/>
            <w:gridSpan w:val="11"/>
          </w:tcPr>
          <w:p>
            <w:pPr>
              <w:ind w:left="40"/>
              <w:spacing w:after="0" w:line="176" w:lineRule="exact"/>
              <w:rPr>
                <w:sz w:val="20"/>
                <w:szCs w:val="20"/>
                <w:color w:val="auto"/>
              </w:rPr>
            </w:pPr>
            <w:r>
              <w:rPr>
                <w:rFonts w:ascii="Arial" w:cs="Arial" w:eastAsia="Arial" w:hAnsi="Arial"/>
                <w:sz w:val="19"/>
                <w:szCs w:val="19"/>
                <w:color w:val="auto"/>
              </w:rPr>
              <w:t>Acknowledgement Regarding Any</w:t>
            </w:r>
          </w:p>
        </w:tc>
        <w:tc>
          <w:tcPr>
            <w:tcW w:w="1620" w:type="dxa"/>
            <w:vAlign w:val="bottom"/>
            <w:gridSpan w:val="2"/>
          </w:tcPr>
          <w:p>
            <w:pPr>
              <w:spacing w:after="0" w:line="176" w:lineRule="exact"/>
              <w:rPr>
                <w:sz w:val="20"/>
                <w:szCs w:val="20"/>
                <w:color w:val="auto"/>
              </w:rPr>
            </w:pPr>
            <w:r>
              <w:rPr>
                <w:rFonts w:ascii="Arial" w:cs="Arial" w:eastAsia="Arial" w:hAnsi="Arial"/>
                <w:sz w:val="19"/>
                <w:szCs w:val="19"/>
                <w:color w:val="auto"/>
              </w:rPr>
              <w:t>Supported QFCs</w:t>
            </w:r>
          </w:p>
        </w:tc>
        <w:tc>
          <w:tcPr>
            <w:tcW w:w="320" w:type="dxa"/>
            <w:vAlign w:val="bottom"/>
          </w:tcPr>
          <w:p>
            <w:pPr>
              <w:jc w:val="right"/>
              <w:spacing w:after="0" w:line="176" w:lineRule="exact"/>
              <w:rPr>
                <w:sz w:val="20"/>
                <w:szCs w:val="20"/>
                <w:color w:val="auto"/>
              </w:rPr>
            </w:pPr>
            <w:r>
              <w:rPr>
                <w:rFonts w:ascii="Arial" w:cs="Arial" w:eastAsia="Arial" w:hAnsi="Arial"/>
                <w:sz w:val="19"/>
                <w:szCs w:val="19"/>
                <w:color w:val="FF0000"/>
                <w:strike w:val="1"/>
                <w:w w:val="94"/>
              </w:rPr>
              <w:t>164</w:t>
            </w:r>
          </w:p>
        </w:tc>
        <w:tc>
          <w:tcPr>
            <w:tcW w:w="320" w:type="dxa"/>
            <w:vAlign w:val="bottom"/>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w w:val="94"/>
              </w:rPr>
              <w:t>162</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line="176" w:lineRule="exact"/>
              <w:rPr>
                <w:sz w:val="20"/>
                <w:szCs w:val="20"/>
                <w:color w:val="auto"/>
              </w:rPr>
            </w:pPr>
            <w:r>
              <w:rPr>
                <w:rFonts w:ascii="Arial" w:cs="Arial" w:eastAsia="Arial" w:hAnsi="Arial"/>
                <w:sz w:val="19"/>
                <w:szCs w:val="19"/>
                <w:color w:val="auto"/>
                <w:w w:val="99"/>
              </w:rPr>
              <w:t>Section 10.21</w:t>
            </w:r>
          </w:p>
        </w:tc>
        <w:tc>
          <w:tcPr>
            <w:tcW w:w="1140" w:type="dxa"/>
            <w:vAlign w:val="bottom"/>
            <w:tcBorders>
              <w:top w:val="single" w:sz="8" w:color="auto"/>
            </w:tcBorders>
            <w:gridSpan w:val="3"/>
          </w:tcPr>
          <w:p>
            <w:pPr>
              <w:ind w:left="60"/>
              <w:spacing w:after="0" w:line="176" w:lineRule="exact"/>
              <w:rPr>
                <w:sz w:val="20"/>
                <w:szCs w:val="20"/>
                <w:color w:val="auto"/>
              </w:rPr>
            </w:pPr>
            <w:r>
              <w:rPr>
                <w:rFonts w:ascii="Arial" w:cs="Arial" w:eastAsia="Arial" w:hAnsi="Arial"/>
                <w:sz w:val="19"/>
                <w:szCs w:val="19"/>
                <w:color w:val="auto"/>
              </w:rPr>
              <w:t>[Reserved</w:t>
            </w:r>
          </w:p>
        </w:tc>
        <w:tc>
          <w:tcPr>
            <w:tcW w:w="3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9"/>
                <w:szCs w:val="19"/>
                <w:color w:val="FF0000"/>
                <w:strike w:val="1"/>
              </w:rPr>
              <w:t>165</w:t>
            </w:r>
          </w:p>
        </w:tc>
        <w:tc>
          <w:tcPr>
            <w:tcW w:w="300" w:type="dxa"/>
            <w:vAlign w:val="bottom"/>
            <w:tcBorders>
              <w:top w:val="single" w:sz="8" w:color="auto"/>
            </w:tcBorders>
            <w:shd w:val="clear" w:color="auto" w:fill="DDDDDD"/>
          </w:tcPr>
          <w:p>
            <w:pPr>
              <w:spacing w:after="0" w:line="176" w:lineRule="exact"/>
              <w:rPr>
                <w:sz w:val="20"/>
                <w:szCs w:val="20"/>
                <w:color w:val="auto"/>
              </w:rPr>
            </w:pPr>
            <w:r>
              <w:rPr>
                <w:rFonts w:ascii="Arial" w:cs="Arial" w:eastAsia="Arial" w:hAnsi="Arial"/>
                <w:sz w:val="19"/>
                <w:szCs w:val="19"/>
                <w:color w:val="0000FF"/>
                <w:highlight w:val="lightGray"/>
                <w:w w:val="88"/>
              </w:rPr>
              <w:t>163</w:t>
            </w:r>
          </w:p>
        </w:tc>
        <w:tc>
          <w:tcPr>
            <w:tcW w:w="2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line="216" w:lineRule="exact"/>
              <w:rPr>
                <w:sz w:val="20"/>
                <w:szCs w:val="20"/>
                <w:color w:val="auto"/>
              </w:rPr>
            </w:pPr>
            <w:r>
              <w:rPr>
                <w:rFonts w:ascii="Arial" w:cs="Arial" w:eastAsia="Arial" w:hAnsi="Arial"/>
                <w:sz w:val="22"/>
                <w:szCs w:val="22"/>
                <w:color w:val="auto"/>
                <w:w w:val="86"/>
              </w:rPr>
              <w:t>Section 10.22</w:t>
            </w: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300" w:type="dxa"/>
            <w:vAlign w:val="bottom"/>
            <w:tcBorders>
              <w:bottom w:val="single" w:sz="8" w:color="DDDDDD"/>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vMerge w:val="restart"/>
          </w:tcPr>
          <w:p>
            <w:pPr>
              <w:jc w:val="right"/>
              <w:spacing w:after="0" w:line="216" w:lineRule="exact"/>
              <w:rPr>
                <w:sz w:val="20"/>
                <w:szCs w:val="20"/>
                <w:color w:val="auto"/>
              </w:rPr>
            </w:pPr>
            <w:r>
              <w:rPr>
                <w:rFonts w:ascii="Arial" w:cs="Arial" w:eastAsia="Arial" w:hAnsi="Arial"/>
                <w:sz w:val="22"/>
                <w:szCs w:val="22"/>
                <w:color w:val="FF0000"/>
                <w:strike w:val="1"/>
                <w:w w:val="81"/>
              </w:rPr>
              <w:t>165</w:t>
            </w:r>
          </w:p>
        </w:tc>
        <w:tc>
          <w:tcPr>
            <w:tcW w:w="340" w:type="dxa"/>
            <w:vAlign w:val="bottom"/>
            <w:tcBorders>
              <w:bottom w:val="single" w:sz="8" w:color="DDDDDD"/>
            </w:tcBorders>
            <w:gridSpan w:val="2"/>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tcPr>
          <w:p>
            <w:pPr>
              <w:jc w:val="right"/>
              <w:ind w:right="23"/>
              <w:spacing w:after="0" w:line="176" w:lineRule="exact"/>
              <w:rPr>
                <w:sz w:val="20"/>
                <w:szCs w:val="20"/>
                <w:color w:val="auto"/>
              </w:rPr>
            </w:pPr>
            <w:r>
              <w:rPr>
                <w:rFonts w:ascii="Arial" w:cs="Arial" w:eastAsia="Arial" w:hAnsi="Arial"/>
                <w:sz w:val="19"/>
                <w:szCs w:val="19"/>
                <w:color w:val="auto"/>
              </w:rPr>
              <w:t>Certain ERISA</w:t>
            </w:r>
          </w:p>
        </w:tc>
        <w:tc>
          <w:tcPr>
            <w:tcW w:w="580" w:type="dxa"/>
            <w:vAlign w:val="bottom"/>
            <w:gridSpan w:val="2"/>
          </w:tcPr>
          <w:p>
            <w:pPr>
              <w:spacing w:after="0" w:line="176" w:lineRule="exact"/>
              <w:rPr>
                <w:sz w:val="20"/>
                <w:szCs w:val="20"/>
                <w:color w:val="auto"/>
              </w:rPr>
            </w:pPr>
            <w:r>
              <w:rPr>
                <w:rFonts w:ascii="Arial" w:cs="Arial" w:eastAsia="Arial" w:hAnsi="Arial"/>
                <w:sz w:val="19"/>
                <w:szCs w:val="19"/>
                <w:color w:val="auto"/>
                <w:w w:val="88"/>
              </w:rPr>
              <w:t>Matters</w:t>
            </w:r>
          </w:p>
        </w:tc>
        <w:tc>
          <w:tcPr>
            <w:tcW w:w="20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340" w:type="dxa"/>
            <w:vAlign w:val="bottom"/>
            <w:tcBorders>
              <w:left w:val="single" w:sz="8" w:color="DDDDDD"/>
            </w:tcBorders>
            <w:gridSpan w:val="2"/>
            <w:shd w:val="clear" w:color="auto" w:fill="DDDDDD"/>
          </w:tcPr>
          <w:p>
            <w:pPr>
              <w:jc w:val="right"/>
              <w:spacing w:after="0" w:line="176" w:lineRule="exact"/>
              <w:rPr>
                <w:sz w:val="20"/>
                <w:szCs w:val="20"/>
                <w:color w:val="auto"/>
              </w:rPr>
            </w:pPr>
            <w:r>
              <w:rPr>
                <w:rFonts w:ascii="Arial" w:cs="Arial" w:eastAsia="Arial" w:hAnsi="Arial"/>
                <w:sz w:val="19"/>
                <w:szCs w:val="19"/>
                <w:color w:val="0000FF"/>
                <w:highlight w:val="lightGray"/>
              </w:rPr>
              <w:t>163</w:t>
            </w:r>
          </w:p>
        </w:tc>
        <w:tc>
          <w:tcPr>
            <w:tcW w:w="20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left w:val="single" w:sz="8" w:color="DDDDDD"/>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9479"/>
          </w:cols>
          <w:pgMar w:left="980" w:top="1372" w:right="1440" w:bottom="1440" w:gutter="0" w:footer="0" w:header="0"/>
        </w:sectPr>
      </w:pPr>
    </w:p>
    <w:bookmarkStart w:id="52" w:name="page53"/>
    <w:bookmarkEnd w:id="52"/>
    <w:p>
      <w:pPr>
        <w:spacing w:after="0"/>
        <w:rPr>
          <w:sz w:val="20"/>
          <w:szCs w:val="20"/>
          <w:color w:val="auto"/>
        </w:rPr>
      </w:pPr>
      <w:r>
        <w:rPr>
          <w:rFonts w:ascii="Arial" w:cs="Arial" w:eastAsia="Arial" w:hAnsi="Arial"/>
          <w:sz w:val="22"/>
          <w:szCs w:val="22"/>
          <w:u w:val="single" w:color="auto"/>
          <w:color w:val="auto"/>
        </w:rPr>
        <w:t>SCHEDULES</w:t>
      </w:r>
    </w:p>
    <w:p>
      <w:pPr>
        <w:spacing w:after="0" w:line="160" w:lineRule="exact"/>
        <w:rPr>
          <w:sz w:val="20"/>
          <w:szCs w:val="20"/>
          <w:color w:val="auto"/>
        </w:rPr>
      </w:pPr>
    </w:p>
    <w:p>
      <w:pPr>
        <w:spacing w:after="0"/>
        <w:tabs>
          <w:tab w:leader="none" w:pos="1520" w:val="left"/>
        </w:tabs>
        <w:rPr>
          <w:sz w:val="20"/>
          <w:szCs w:val="20"/>
          <w:color w:val="auto"/>
        </w:rPr>
      </w:pPr>
      <w:r>
        <w:rPr>
          <w:rFonts w:ascii="Arial" w:cs="Arial" w:eastAsia="Arial" w:hAnsi="Arial"/>
          <w:sz w:val="22"/>
          <w:szCs w:val="22"/>
          <w:color w:val="auto"/>
        </w:rPr>
        <w:t>Schedule 1.2 --</w:t>
      </w:r>
      <w:r>
        <w:rPr>
          <w:sz w:val="20"/>
          <w:szCs w:val="20"/>
          <w:color w:val="auto"/>
        </w:rPr>
        <w:tab/>
      </w:r>
      <w:r>
        <w:rPr>
          <w:rFonts w:ascii="Arial" w:cs="Arial" w:eastAsia="Arial" w:hAnsi="Arial"/>
          <w:sz w:val="19"/>
          <w:szCs w:val="19"/>
          <w:color w:val="auto"/>
        </w:rPr>
        <w:t>Permitted Holders</w:t>
      </w:r>
    </w:p>
    <w:p>
      <w:pPr>
        <w:spacing w:after="0" w:line="237" w:lineRule="auto"/>
        <w:tabs>
          <w:tab w:leader="none" w:pos="1520" w:val="left"/>
        </w:tabs>
        <w:rPr>
          <w:sz w:val="20"/>
          <w:szCs w:val="20"/>
          <w:color w:val="auto"/>
        </w:rPr>
      </w:pPr>
      <w:r>
        <w:rPr>
          <w:rFonts w:ascii="Arial" w:cs="Arial" w:eastAsia="Arial" w:hAnsi="Arial"/>
          <w:sz w:val="22"/>
          <w:szCs w:val="22"/>
          <w:color w:val="auto"/>
        </w:rPr>
        <w:t>Schedule 1.3 --</w:t>
      </w:r>
      <w:r>
        <w:rPr>
          <w:sz w:val="20"/>
          <w:szCs w:val="20"/>
          <w:color w:val="auto"/>
        </w:rPr>
        <w:tab/>
      </w:r>
      <w:r>
        <w:rPr>
          <w:rFonts w:ascii="Arial" w:cs="Arial" w:eastAsia="Arial" w:hAnsi="Arial"/>
          <w:sz w:val="19"/>
          <w:szCs w:val="19"/>
          <w:color w:val="auto"/>
        </w:rPr>
        <w:t>Existing Letters of Credit</w:t>
      </w:r>
    </w:p>
    <w:p>
      <w:pPr>
        <w:spacing w:after="0" w:line="237" w:lineRule="auto"/>
        <w:tabs>
          <w:tab w:leader="none" w:pos="1320" w:val="left"/>
          <w:tab w:leader="none" w:pos="1680" w:val="left"/>
        </w:tabs>
        <w:rPr>
          <w:sz w:val="20"/>
          <w:szCs w:val="20"/>
          <w:color w:val="auto"/>
        </w:rPr>
      </w:pPr>
      <w:r>
        <w:rPr>
          <w:rFonts w:ascii="Arial" w:cs="Arial" w:eastAsia="Arial" w:hAnsi="Arial"/>
          <w:sz w:val="22"/>
          <w:szCs w:val="22"/>
          <w:color w:val="auto"/>
        </w:rPr>
        <w:t>Schedule 2.1</w:t>
        <w:tab/>
        <w:t>--</w:t>
      </w:r>
      <w:r>
        <w:rPr>
          <w:sz w:val="20"/>
          <w:szCs w:val="20"/>
          <w:color w:val="auto"/>
        </w:rPr>
        <w:tab/>
      </w:r>
      <w:r>
        <w:rPr>
          <w:rFonts w:ascii="Arial" w:cs="Arial" w:eastAsia="Arial" w:hAnsi="Arial"/>
          <w:sz w:val="19"/>
          <w:szCs w:val="19"/>
          <w:color w:val="auto"/>
        </w:rPr>
        <w:t>Commitments</w:t>
      </w:r>
    </w:p>
    <w:p>
      <w:pPr>
        <w:spacing w:after="0" w:line="237" w:lineRule="auto"/>
        <w:tabs>
          <w:tab w:leader="none" w:pos="1520" w:val="left"/>
        </w:tabs>
        <w:rPr>
          <w:sz w:val="20"/>
          <w:szCs w:val="20"/>
          <w:color w:val="auto"/>
        </w:rPr>
      </w:pPr>
      <w:r>
        <w:rPr>
          <w:rFonts w:ascii="Arial" w:cs="Arial" w:eastAsia="Arial" w:hAnsi="Arial"/>
          <w:sz w:val="22"/>
          <w:szCs w:val="22"/>
          <w:color w:val="auto"/>
        </w:rPr>
        <w:t>Schedule 3.4 --</w:t>
      </w:r>
      <w:r>
        <w:rPr>
          <w:sz w:val="20"/>
          <w:szCs w:val="20"/>
          <w:color w:val="auto"/>
        </w:rPr>
        <w:tab/>
      </w:r>
      <w:r>
        <w:rPr>
          <w:rFonts w:ascii="Arial" w:cs="Arial" w:eastAsia="Arial" w:hAnsi="Arial"/>
          <w:sz w:val="19"/>
          <w:szCs w:val="19"/>
          <w:color w:val="auto"/>
        </w:rPr>
        <w:t>GAAP Exceptions</w:t>
      </w:r>
    </w:p>
    <w:p>
      <w:pPr>
        <w:spacing w:after="0" w:line="237" w:lineRule="auto"/>
        <w:tabs>
          <w:tab w:leader="none" w:pos="1520" w:val="left"/>
        </w:tabs>
        <w:rPr>
          <w:sz w:val="20"/>
          <w:szCs w:val="20"/>
          <w:color w:val="auto"/>
        </w:rPr>
      </w:pPr>
      <w:r>
        <w:rPr>
          <w:rFonts w:ascii="Arial" w:cs="Arial" w:eastAsia="Arial" w:hAnsi="Arial"/>
          <w:sz w:val="22"/>
          <w:szCs w:val="22"/>
          <w:color w:val="auto"/>
        </w:rPr>
        <w:t>Schedule 3.5 --</w:t>
      </w:r>
      <w:r>
        <w:rPr>
          <w:sz w:val="20"/>
          <w:szCs w:val="20"/>
          <w:color w:val="auto"/>
        </w:rPr>
        <w:tab/>
      </w:r>
      <w:r>
        <w:rPr>
          <w:rFonts w:ascii="Arial" w:cs="Arial" w:eastAsia="Arial" w:hAnsi="Arial"/>
          <w:sz w:val="19"/>
          <w:szCs w:val="19"/>
          <w:color w:val="auto"/>
        </w:rPr>
        <w:t>Material Real Estate Assets</w:t>
      </w:r>
    </w:p>
    <w:p>
      <w:pPr>
        <w:spacing w:after="0" w:line="237" w:lineRule="auto"/>
        <w:tabs>
          <w:tab w:leader="none" w:pos="1520" w:val="left"/>
        </w:tabs>
        <w:rPr>
          <w:sz w:val="20"/>
          <w:szCs w:val="20"/>
          <w:color w:val="auto"/>
        </w:rPr>
      </w:pPr>
      <w:r>
        <w:rPr>
          <w:rFonts w:ascii="Arial" w:cs="Arial" w:eastAsia="Arial" w:hAnsi="Arial"/>
          <w:sz w:val="22"/>
          <w:szCs w:val="22"/>
          <w:color w:val="auto"/>
        </w:rPr>
        <w:t>Schedule 3.6 --</w:t>
      </w:r>
      <w:r>
        <w:rPr>
          <w:sz w:val="20"/>
          <w:szCs w:val="20"/>
          <w:color w:val="auto"/>
        </w:rPr>
        <w:tab/>
      </w:r>
      <w:r>
        <w:rPr>
          <w:rFonts w:ascii="Arial" w:cs="Arial" w:eastAsia="Arial" w:hAnsi="Arial"/>
          <w:sz w:val="19"/>
          <w:szCs w:val="19"/>
          <w:color w:val="auto"/>
        </w:rPr>
        <w:t>Disclosed Matters</w:t>
      </w:r>
    </w:p>
    <w:p>
      <w:pPr>
        <w:spacing w:after="0" w:line="237" w:lineRule="auto"/>
        <w:tabs>
          <w:tab w:leader="none" w:pos="1680" w:val="left"/>
        </w:tabs>
        <w:rPr>
          <w:sz w:val="20"/>
          <w:szCs w:val="20"/>
          <w:color w:val="auto"/>
        </w:rPr>
      </w:pPr>
      <w:r>
        <w:rPr>
          <w:rFonts w:ascii="Arial" w:cs="Arial" w:eastAsia="Arial" w:hAnsi="Arial"/>
          <w:sz w:val="22"/>
          <w:szCs w:val="22"/>
          <w:color w:val="auto"/>
        </w:rPr>
        <w:t>Schedule 3.12 --</w:t>
      </w:r>
      <w:r>
        <w:rPr>
          <w:sz w:val="20"/>
          <w:szCs w:val="20"/>
          <w:color w:val="auto"/>
        </w:rPr>
        <w:tab/>
      </w:r>
      <w:r>
        <w:rPr>
          <w:rFonts w:ascii="Arial" w:cs="Arial" w:eastAsia="Arial" w:hAnsi="Arial"/>
          <w:sz w:val="19"/>
          <w:szCs w:val="19"/>
          <w:color w:val="auto"/>
        </w:rPr>
        <w:t>Subsidiaries</w:t>
      </w:r>
    </w:p>
    <w:p>
      <w:pPr>
        <w:spacing w:after="0" w:line="237" w:lineRule="auto"/>
        <w:tabs>
          <w:tab w:leader="none" w:pos="1620" w:val="left"/>
        </w:tabs>
        <w:rPr>
          <w:sz w:val="20"/>
          <w:szCs w:val="20"/>
          <w:color w:val="auto"/>
        </w:rPr>
      </w:pPr>
      <w:r>
        <w:rPr>
          <w:rFonts w:ascii="Arial" w:cs="Arial" w:eastAsia="Arial" w:hAnsi="Arial"/>
          <w:sz w:val="22"/>
          <w:szCs w:val="22"/>
          <w:color w:val="auto"/>
        </w:rPr>
        <w:t>Schedule 3.18 --</w:t>
      </w:r>
      <w:r>
        <w:rPr>
          <w:sz w:val="20"/>
          <w:szCs w:val="20"/>
          <w:color w:val="auto"/>
        </w:rPr>
        <w:tab/>
      </w:r>
      <w:r>
        <w:rPr>
          <w:rFonts w:ascii="Arial" w:cs="Arial" w:eastAsia="Arial" w:hAnsi="Arial"/>
          <w:sz w:val="19"/>
          <w:szCs w:val="19"/>
          <w:color w:val="auto"/>
        </w:rPr>
        <w:t>Filings</w:t>
      </w:r>
    </w:p>
    <w:p>
      <w:pPr>
        <w:spacing w:after="0" w:line="237" w:lineRule="auto"/>
        <w:tabs>
          <w:tab w:leader="none" w:pos="1620" w:val="left"/>
        </w:tabs>
        <w:rPr>
          <w:sz w:val="20"/>
          <w:szCs w:val="20"/>
          <w:color w:val="auto"/>
        </w:rPr>
      </w:pPr>
      <w:r>
        <w:rPr>
          <w:rFonts w:ascii="Arial" w:cs="Arial" w:eastAsia="Arial" w:hAnsi="Arial"/>
          <w:sz w:val="22"/>
          <w:szCs w:val="22"/>
          <w:color w:val="auto"/>
        </w:rPr>
        <w:t>Schedule 5.14 --</w:t>
      </w:r>
      <w:r>
        <w:rPr>
          <w:sz w:val="20"/>
          <w:szCs w:val="20"/>
          <w:color w:val="auto"/>
        </w:rPr>
        <w:tab/>
      </w:r>
      <w:r>
        <w:rPr>
          <w:rFonts w:ascii="Arial" w:cs="Arial" w:eastAsia="Arial" w:hAnsi="Arial"/>
          <w:sz w:val="19"/>
          <w:szCs w:val="19"/>
          <w:color w:val="auto"/>
        </w:rPr>
        <w:t>Post-Closing Matters</w:t>
      </w:r>
    </w:p>
    <w:p>
      <w:pPr>
        <w:spacing w:after="0" w:line="237" w:lineRule="auto"/>
        <w:tabs>
          <w:tab w:leader="none" w:pos="1520" w:val="left"/>
        </w:tabs>
        <w:rPr>
          <w:sz w:val="20"/>
          <w:szCs w:val="20"/>
          <w:color w:val="auto"/>
        </w:rPr>
      </w:pPr>
      <w:r>
        <w:rPr>
          <w:rFonts w:ascii="Arial" w:cs="Arial" w:eastAsia="Arial" w:hAnsi="Arial"/>
          <w:sz w:val="22"/>
          <w:szCs w:val="22"/>
          <w:color w:val="auto"/>
        </w:rPr>
        <w:t>Schedule 6.1 --</w:t>
      </w:r>
      <w:r>
        <w:rPr>
          <w:sz w:val="20"/>
          <w:szCs w:val="20"/>
          <w:color w:val="auto"/>
        </w:rPr>
        <w:tab/>
      </w:r>
      <w:r>
        <w:rPr>
          <w:rFonts w:ascii="Arial" w:cs="Arial" w:eastAsia="Arial" w:hAnsi="Arial"/>
          <w:sz w:val="19"/>
          <w:szCs w:val="19"/>
          <w:color w:val="auto"/>
        </w:rPr>
        <w:t>Existing Indebtedness</w:t>
      </w:r>
    </w:p>
    <w:p>
      <w:pPr>
        <w:spacing w:after="0" w:line="237" w:lineRule="auto"/>
        <w:tabs>
          <w:tab w:leader="none" w:pos="1520" w:val="left"/>
        </w:tabs>
        <w:rPr>
          <w:sz w:val="20"/>
          <w:szCs w:val="20"/>
          <w:color w:val="auto"/>
        </w:rPr>
      </w:pPr>
      <w:r>
        <w:rPr>
          <w:rFonts w:ascii="Arial" w:cs="Arial" w:eastAsia="Arial" w:hAnsi="Arial"/>
          <w:sz w:val="22"/>
          <w:szCs w:val="22"/>
          <w:color w:val="auto"/>
        </w:rPr>
        <w:t>Schedule 6.2 --</w:t>
      </w:r>
      <w:r>
        <w:rPr>
          <w:sz w:val="20"/>
          <w:szCs w:val="20"/>
          <w:color w:val="auto"/>
        </w:rPr>
        <w:tab/>
      </w:r>
      <w:r>
        <w:rPr>
          <w:rFonts w:ascii="Arial" w:cs="Arial" w:eastAsia="Arial" w:hAnsi="Arial"/>
          <w:sz w:val="19"/>
          <w:szCs w:val="19"/>
          <w:color w:val="auto"/>
        </w:rPr>
        <w:t>Existing Liens</w:t>
      </w:r>
    </w:p>
    <w:p>
      <w:pPr>
        <w:spacing w:after="0" w:line="237" w:lineRule="auto"/>
        <w:tabs>
          <w:tab w:leader="none" w:pos="1520" w:val="left"/>
        </w:tabs>
        <w:rPr>
          <w:sz w:val="20"/>
          <w:szCs w:val="20"/>
          <w:color w:val="auto"/>
        </w:rPr>
      </w:pPr>
      <w:r>
        <w:rPr>
          <w:rFonts w:ascii="Arial" w:cs="Arial" w:eastAsia="Arial" w:hAnsi="Arial"/>
          <w:sz w:val="22"/>
          <w:szCs w:val="22"/>
          <w:color w:val="auto"/>
        </w:rPr>
        <w:t>Schedule 6.5 --</w:t>
      </w:r>
      <w:r>
        <w:rPr>
          <w:sz w:val="20"/>
          <w:szCs w:val="20"/>
          <w:color w:val="auto"/>
        </w:rPr>
        <w:tab/>
      </w:r>
      <w:r>
        <w:rPr>
          <w:rFonts w:ascii="Arial" w:cs="Arial" w:eastAsia="Arial" w:hAnsi="Arial"/>
          <w:sz w:val="19"/>
          <w:szCs w:val="19"/>
          <w:color w:val="auto"/>
        </w:rPr>
        <w:t>Existing Restrictive Agreements</w:t>
      </w:r>
    </w:p>
    <w:p>
      <w:pPr>
        <w:spacing w:after="0" w:line="237" w:lineRule="auto"/>
        <w:tabs>
          <w:tab w:leader="none" w:pos="1520" w:val="left"/>
        </w:tabs>
        <w:rPr>
          <w:sz w:val="20"/>
          <w:szCs w:val="20"/>
          <w:color w:val="auto"/>
        </w:rPr>
      </w:pPr>
      <w:r>
        <w:rPr>
          <w:rFonts w:ascii="Arial" w:cs="Arial" w:eastAsia="Arial" w:hAnsi="Arial"/>
          <w:sz w:val="22"/>
          <w:szCs w:val="22"/>
          <w:color w:val="auto"/>
        </w:rPr>
        <w:t>Schedule 6.6 --</w:t>
      </w:r>
      <w:r>
        <w:rPr>
          <w:sz w:val="20"/>
          <w:szCs w:val="20"/>
          <w:color w:val="auto"/>
        </w:rPr>
        <w:tab/>
      </w:r>
      <w:r>
        <w:rPr>
          <w:rFonts w:ascii="Arial" w:cs="Arial" w:eastAsia="Arial" w:hAnsi="Arial"/>
          <w:sz w:val="19"/>
          <w:szCs w:val="19"/>
          <w:color w:val="auto"/>
        </w:rPr>
        <w:t>Existing Transactions with Affiliates</w:t>
      </w:r>
    </w:p>
    <w:p>
      <w:pPr>
        <w:spacing w:after="0"/>
        <w:tabs>
          <w:tab w:leader="none" w:pos="1520" w:val="left"/>
        </w:tabs>
        <w:rPr>
          <w:sz w:val="20"/>
          <w:szCs w:val="20"/>
          <w:color w:val="auto"/>
        </w:rPr>
      </w:pPr>
      <w:r>
        <w:rPr>
          <w:rFonts w:ascii="Arial" w:cs="Arial" w:eastAsia="Arial" w:hAnsi="Arial"/>
          <w:sz w:val="22"/>
          <w:szCs w:val="22"/>
          <w:color w:val="auto"/>
        </w:rPr>
        <w:t>Schedule 6.7 --</w:t>
      </w:r>
      <w:r>
        <w:rPr>
          <w:sz w:val="20"/>
          <w:szCs w:val="20"/>
          <w:color w:val="auto"/>
        </w:rPr>
        <w:tab/>
      </w:r>
      <w:r>
        <w:rPr>
          <w:rFonts w:ascii="Arial" w:cs="Arial" w:eastAsia="Arial" w:hAnsi="Arial"/>
          <w:sz w:val="19"/>
          <w:szCs w:val="19"/>
          <w:color w:val="auto"/>
        </w:rPr>
        <w:t>Existing Investments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7"/>
              </w:rPr>
              <w:t>EXHIBITS</w:t>
            </w:r>
          </w:p>
        </w:tc>
        <w:tc>
          <w:tcPr>
            <w:tcW w:w="220" w:type="dxa"/>
            <w:vAlign w:val="bottom"/>
          </w:tcPr>
          <w:p>
            <w:pPr>
              <w:spacing w:after="0"/>
              <w:rPr>
                <w:sz w:val="21"/>
                <w:szCs w:val="21"/>
                <w:color w:val="auto"/>
              </w:rPr>
            </w:pPr>
          </w:p>
        </w:tc>
        <w:tc>
          <w:tcPr>
            <w:tcW w:w="3860" w:type="dxa"/>
            <w:vAlign w:val="bottom"/>
          </w:tcPr>
          <w:p>
            <w:pPr>
              <w:spacing w:after="0"/>
              <w:rPr>
                <w:sz w:val="21"/>
                <w:szCs w:val="21"/>
                <w:color w:val="auto"/>
              </w:rPr>
            </w:pPr>
          </w:p>
        </w:tc>
      </w:tr>
      <w:tr>
        <w:trPr>
          <w:trHeight w:val="404"/>
        </w:trPr>
        <w:tc>
          <w:tcPr>
            <w:tcW w:w="920" w:type="dxa"/>
            <w:vAlign w:val="bottom"/>
          </w:tcPr>
          <w:p>
            <w:pPr>
              <w:spacing w:after="0"/>
              <w:rPr>
                <w:sz w:val="20"/>
                <w:szCs w:val="20"/>
                <w:color w:val="auto"/>
              </w:rPr>
            </w:pPr>
            <w:r>
              <w:rPr>
                <w:rFonts w:ascii="Arial" w:cs="Arial" w:eastAsia="Arial" w:hAnsi="Arial"/>
                <w:sz w:val="22"/>
                <w:szCs w:val="22"/>
                <w:color w:val="auto"/>
              </w:rPr>
              <w:t>Exhibit A</w:t>
            </w:r>
          </w:p>
        </w:tc>
        <w:tc>
          <w:tcPr>
            <w:tcW w:w="300" w:type="dxa"/>
            <w:vAlign w:val="bottom"/>
            <w:gridSpan w:val="2"/>
          </w:tcPr>
          <w:p>
            <w:pPr>
              <w:jc w:val="right"/>
              <w:ind w:right="20"/>
              <w:spacing w:after="0"/>
              <w:rPr>
                <w:sz w:val="20"/>
                <w:szCs w:val="20"/>
                <w:color w:val="auto"/>
              </w:rPr>
            </w:pPr>
            <w:r>
              <w:rPr>
                <w:rFonts w:ascii="Arial" w:cs="Arial" w:eastAsia="Arial" w:hAnsi="Arial"/>
                <w:sz w:val="22"/>
                <w:szCs w:val="22"/>
                <w:color w:val="auto"/>
              </w:rPr>
              <w:t>--</w:t>
            </w:r>
          </w:p>
        </w:tc>
        <w:tc>
          <w:tcPr>
            <w:tcW w:w="3860" w:type="dxa"/>
            <w:vAlign w:val="bottom"/>
          </w:tcPr>
          <w:p>
            <w:pPr>
              <w:ind w:left="200"/>
              <w:spacing w:after="0"/>
              <w:rPr>
                <w:sz w:val="20"/>
                <w:szCs w:val="20"/>
                <w:color w:val="auto"/>
              </w:rPr>
            </w:pPr>
            <w:r>
              <w:rPr>
                <w:rFonts w:ascii="Arial" w:cs="Arial" w:eastAsia="Arial" w:hAnsi="Arial"/>
                <w:sz w:val="22"/>
                <w:szCs w:val="22"/>
                <w:color w:val="auto"/>
              </w:rPr>
              <w:t>Form of Assignment and Assumption</w:t>
            </w:r>
          </w:p>
        </w:tc>
      </w:tr>
      <w:tr>
        <w:trPr>
          <w:trHeight w:val="216"/>
        </w:trPr>
        <w:tc>
          <w:tcPr>
            <w:tcW w:w="1220" w:type="dxa"/>
            <w:vAlign w:val="bottom"/>
            <w:gridSpan w:val="3"/>
          </w:tcPr>
          <w:p>
            <w:pPr>
              <w:spacing w:after="0" w:line="216" w:lineRule="exact"/>
              <w:rPr>
                <w:sz w:val="20"/>
                <w:szCs w:val="20"/>
                <w:color w:val="auto"/>
              </w:rPr>
            </w:pPr>
            <w:r>
              <w:rPr>
                <w:rFonts w:ascii="Arial" w:cs="Arial" w:eastAsia="Arial" w:hAnsi="Arial"/>
                <w:sz w:val="22"/>
                <w:szCs w:val="22"/>
                <w:color w:val="auto"/>
              </w:rPr>
              <w:t>Exhibit B-1</w:t>
            </w:r>
          </w:p>
        </w:tc>
        <w:tc>
          <w:tcPr>
            <w:tcW w:w="3860" w:type="dxa"/>
            <w:vAlign w:val="bottom"/>
          </w:tcPr>
          <w:p>
            <w:pPr>
              <w:ind w:left="20"/>
              <w:spacing w:after="0" w:line="216" w:lineRule="exact"/>
              <w:rPr>
                <w:sz w:val="20"/>
                <w:szCs w:val="20"/>
                <w:color w:val="auto"/>
              </w:rPr>
            </w:pPr>
            <w:r>
              <w:rPr>
                <w:rFonts w:ascii="Arial" w:cs="Arial" w:eastAsia="Arial" w:hAnsi="Arial"/>
                <w:sz w:val="22"/>
                <w:szCs w:val="22"/>
                <w:color w:val="auto"/>
              </w:rPr>
              <w:t>--  Form of Borrowing Request</w:t>
            </w:r>
          </w:p>
        </w:tc>
      </w:tr>
      <w:tr>
        <w:trPr>
          <w:trHeight w:val="216"/>
        </w:trPr>
        <w:tc>
          <w:tcPr>
            <w:tcW w:w="1220" w:type="dxa"/>
            <w:vAlign w:val="bottom"/>
            <w:gridSpan w:val="3"/>
          </w:tcPr>
          <w:p>
            <w:pPr>
              <w:spacing w:after="0" w:line="216" w:lineRule="exact"/>
              <w:rPr>
                <w:sz w:val="20"/>
                <w:szCs w:val="20"/>
                <w:color w:val="auto"/>
              </w:rPr>
            </w:pPr>
            <w:r>
              <w:rPr>
                <w:rFonts w:ascii="Arial" w:cs="Arial" w:eastAsia="Arial" w:hAnsi="Arial"/>
                <w:sz w:val="22"/>
                <w:szCs w:val="22"/>
                <w:color w:val="auto"/>
              </w:rPr>
              <w:t>Exhibit B-2</w:t>
            </w:r>
          </w:p>
        </w:tc>
        <w:tc>
          <w:tcPr>
            <w:tcW w:w="3860" w:type="dxa"/>
            <w:vAlign w:val="bottom"/>
          </w:tcPr>
          <w:p>
            <w:pPr>
              <w:ind w:left="20"/>
              <w:spacing w:after="0" w:line="216" w:lineRule="exact"/>
              <w:rPr>
                <w:sz w:val="20"/>
                <w:szCs w:val="20"/>
                <w:color w:val="auto"/>
              </w:rPr>
            </w:pPr>
            <w:r>
              <w:rPr>
                <w:rFonts w:ascii="Arial" w:cs="Arial" w:eastAsia="Arial" w:hAnsi="Arial"/>
                <w:sz w:val="22"/>
                <w:szCs w:val="22"/>
                <w:color w:val="auto"/>
              </w:rPr>
              <w:t>--  Form of Issuance Notice</w:t>
            </w:r>
          </w:p>
        </w:tc>
      </w:tr>
      <w:tr>
        <w:trPr>
          <w:trHeight w:val="216"/>
        </w:trPr>
        <w:tc>
          <w:tcPr>
            <w:tcW w:w="920" w:type="dxa"/>
            <w:vAlign w:val="bottom"/>
          </w:tcPr>
          <w:p>
            <w:pPr>
              <w:spacing w:after="0" w:line="216" w:lineRule="exact"/>
              <w:rPr>
                <w:sz w:val="20"/>
                <w:szCs w:val="20"/>
                <w:color w:val="auto"/>
              </w:rPr>
            </w:pPr>
            <w:r>
              <w:rPr>
                <w:rFonts w:ascii="Arial" w:cs="Arial" w:eastAsia="Arial" w:hAnsi="Arial"/>
                <w:sz w:val="22"/>
                <w:szCs w:val="22"/>
                <w:color w:val="auto"/>
              </w:rPr>
              <w:t>Exhibit C</w:t>
            </w:r>
          </w:p>
        </w:tc>
        <w:tc>
          <w:tcPr>
            <w:tcW w:w="300" w:type="dxa"/>
            <w:vAlign w:val="bottom"/>
            <w:gridSpan w:val="2"/>
          </w:tcPr>
          <w:p>
            <w:pPr>
              <w:jc w:val="right"/>
              <w:ind w:right="20"/>
              <w:spacing w:after="0" w:line="216" w:lineRule="exact"/>
              <w:rPr>
                <w:sz w:val="20"/>
                <w:szCs w:val="20"/>
                <w:color w:val="auto"/>
              </w:rPr>
            </w:pPr>
            <w:r>
              <w:rPr>
                <w:rFonts w:ascii="Arial" w:cs="Arial" w:eastAsia="Arial" w:hAnsi="Arial"/>
                <w:sz w:val="22"/>
                <w:szCs w:val="22"/>
                <w:color w:val="auto"/>
              </w:rPr>
              <w:t>--</w:t>
            </w:r>
          </w:p>
        </w:tc>
        <w:tc>
          <w:tcPr>
            <w:tcW w:w="3860" w:type="dxa"/>
            <w:vAlign w:val="bottom"/>
          </w:tcPr>
          <w:p>
            <w:pPr>
              <w:ind w:left="200"/>
              <w:spacing w:after="0" w:line="216" w:lineRule="exact"/>
              <w:rPr>
                <w:sz w:val="20"/>
                <w:szCs w:val="20"/>
                <w:color w:val="auto"/>
              </w:rPr>
            </w:pPr>
            <w:r>
              <w:rPr>
                <w:rFonts w:ascii="Arial" w:cs="Arial" w:eastAsia="Arial" w:hAnsi="Arial"/>
                <w:sz w:val="22"/>
                <w:szCs w:val="22"/>
                <w:color w:val="auto"/>
              </w:rPr>
              <w:t>Form of Interest Election Request</w:t>
            </w:r>
          </w:p>
        </w:tc>
      </w:tr>
      <w:tr>
        <w:trPr>
          <w:trHeight w:val="216"/>
        </w:trPr>
        <w:tc>
          <w:tcPr>
            <w:tcW w:w="920" w:type="dxa"/>
            <w:vAlign w:val="bottom"/>
          </w:tcPr>
          <w:p>
            <w:pPr>
              <w:spacing w:after="0" w:line="216" w:lineRule="exact"/>
              <w:rPr>
                <w:sz w:val="20"/>
                <w:szCs w:val="20"/>
                <w:color w:val="auto"/>
              </w:rPr>
            </w:pPr>
            <w:r>
              <w:rPr>
                <w:rFonts w:ascii="Arial" w:cs="Arial" w:eastAsia="Arial" w:hAnsi="Arial"/>
                <w:sz w:val="22"/>
                <w:szCs w:val="22"/>
                <w:color w:val="auto"/>
              </w:rPr>
              <w:t>Exhibit D</w:t>
            </w:r>
          </w:p>
        </w:tc>
        <w:tc>
          <w:tcPr>
            <w:tcW w:w="300" w:type="dxa"/>
            <w:vAlign w:val="bottom"/>
            <w:gridSpan w:val="2"/>
          </w:tcPr>
          <w:p>
            <w:pPr>
              <w:jc w:val="right"/>
              <w:spacing w:after="0" w:line="216" w:lineRule="exact"/>
              <w:rPr>
                <w:sz w:val="20"/>
                <w:szCs w:val="20"/>
                <w:color w:val="auto"/>
              </w:rPr>
            </w:pPr>
            <w:r>
              <w:rPr>
                <w:rFonts w:ascii="Arial" w:cs="Arial" w:eastAsia="Arial" w:hAnsi="Arial"/>
                <w:sz w:val="22"/>
                <w:szCs w:val="22"/>
                <w:color w:val="auto"/>
              </w:rPr>
              <w:t>--</w:t>
            </w:r>
          </w:p>
        </w:tc>
        <w:tc>
          <w:tcPr>
            <w:tcW w:w="3860" w:type="dxa"/>
            <w:vAlign w:val="bottom"/>
          </w:tcPr>
          <w:p>
            <w:pPr>
              <w:ind w:left="220"/>
              <w:spacing w:after="0" w:line="216" w:lineRule="exact"/>
              <w:rPr>
                <w:sz w:val="20"/>
                <w:szCs w:val="20"/>
                <w:color w:val="auto"/>
              </w:rPr>
            </w:pPr>
            <w:r>
              <w:rPr>
                <w:rFonts w:ascii="Arial" w:cs="Arial" w:eastAsia="Arial" w:hAnsi="Arial"/>
                <w:sz w:val="22"/>
                <w:szCs w:val="22"/>
                <w:color w:val="auto"/>
              </w:rPr>
              <w:t>Form of Note</w:t>
            </w:r>
          </w:p>
        </w:tc>
      </w:tr>
      <w:tr>
        <w:trPr>
          <w:trHeight w:val="216"/>
        </w:trPr>
        <w:tc>
          <w:tcPr>
            <w:tcW w:w="920" w:type="dxa"/>
            <w:vAlign w:val="bottom"/>
          </w:tcPr>
          <w:p>
            <w:pPr>
              <w:spacing w:after="0" w:line="216" w:lineRule="exact"/>
              <w:rPr>
                <w:sz w:val="20"/>
                <w:szCs w:val="20"/>
                <w:color w:val="auto"/>
              </w:rPr>
            </w:pPr>
            <w:r>
              <w:rPr>
                <w:rFonts w:ascii="Arial" w:cs="Arial" w:eastAsia="Arial" w:hAnsi="Arial"/>
                <w:sz w:val="22"/>
                <w:szCs w:val="22"/>
                <w:color w:val="auto"/>
              </w:rPr>
              <w:t>Exhibit E</w:t>
            </w:r>
          </w:p>
        </w:tc>
        <w:tc>
          <w:tcPr>
            <w:tcW w:w="300" w:type="dxa"/>
            <w:vAlign w:val="bottom"/>
            <w:gridSpan w:val="2"/>
          </w:tcPr>
          <w:p>
            <w:pPr>
              <w:jc w:val="right"/>
              <w:ind w:right="20"/>
              <w:spacing w:after="0" w:line="216" w:lineRule="exact"/>
              <w:rPr>
                <w:sz w:val="20"/>
                <w:szCs w:val="20"/>
                <w:color w:val="auto"/>
              </w:rPr>
            </w:pPr>
            <w:r>
              <w:rPr>
                <w:rFonts w:ascii="Arial" w:cs="Arial" w:eastAsia="Arial" w:hAnsi="Arial"/>
                <w:sz w:val="22"/>
                <w:szCs w:val="22"/>
                <w:color w:val="auto"/>
              </w:rPr>
              <w:t>--</w:t>
            </w:r>
          </w:p>
        </w:tc>
        <w:tc>
          <w:tcPr>
            <w:tcW w:w="3860" w:type="dxa"/>
            <w:vAlign w:val="bottom"/>
          </w:tcPr>
          <w:p>
            <w:pPr>
              <w:ind w:left="180"/>
              <w:spacing w:after="0" w:line="216" w:lineRule="exact"/>
              <w:rPr>
                <w:sz w:val="20"/>
                <w:szCs w:val="20"/>
                <w:color w:val="auto"/>
              </w:rPr>
            </w:pPr>
            <w:r>
              <w:rPr>
                <w:rFonts w:ascii="Arial" w:cs="Arial" w:eastAsia="Arial" w:hAnsi="Arial"/>
                <w:sz w:val="22"/>
                <w:szCs w:val="22"/>
                <w:color w:val="auto"/>
              </w:rPr>
              <w:t>Form of Security Agreement</w:t>
            </w:r>
          </w:p>
        </w:tc>
      </w:tr>
      <w:tr>
        <w:trPr>
          <w:trHeight w:val="216"/>
        </w:trPr>
        <w:tc>
          <w:tcPr>
            <w:tcW w:w="920" w:type="dxa"/>
            <w:vAlign w:val="bottom"/>
          </w:tcPr>
          <w:p>
            <w:pPr>
              <w:spacing w:after="0" w:line="216" w:lineRule="exact"/>
              <w:rPr>
                <w:sz w:val="20"/>
                <w:szCs w:val="20"/>
                <w:color w:val="auto"/>
              </w:rPr>
            </w:pPr>
            <w:r>
              <w:rPr>
                <w:rFonts w:ascii="Arial" w:cs="Arial" w:eastAsia="Arial" w:hAnsi="Arial"/>
                <w:sz w:val="22"/>
                <w:szCs w:val="22"/>
                <w:color w:val="auto"/>
              </w:rPr>
              <w:t>Exhibit F</w:t>
            </w:r>
          </w:p>
        </w:tc>
        <w:tc>
          <w:tcPr>
            <w:tcW w:w="300" w:type="dxa"/>
            <w:vAlign w:val="bottom"/>
            <w:gridSpan w:val="2"/>
          </w:tcPr>
          <w:p>
            <w:pPr>
              <w:jc w:val="right"/>
              <w:ind w:right="40"/>
              <w:spacing w:after="0" w:line="216" w:lineRule="exact"/>
              <w:rPr>
                <w:sz w:val="20"/>
                <w:szCs w:val="20"/>
                <w:color w:val="auto"/>
              </w:rPr>
            </w:pPr>
            <w:r>
              <w:rPr>
                <w:rFonts w:ascii="Arial" w:cs="Arial" w:eastAsia="Arial" w:hAnsi="Arial"/>
                <w:sz w:val="22"/>
                <w:szCs w:val="22"/>
                <w:color w:val="auto"/>
              </w:rPr>
              <w:t>--</w:t>
            </w:r>
          </w:p>
        </w:tc>
        <w:tc>
          <w:tcPr>
            <w:tcW w:w="3860" w:type="dxa"/>
            <w:vAlign w:val="bottom"/>
          </w:tcPr>
          <w:p>
            <w:pPr>
              <w:ind w:left="180"/>
              <w:spacing w:after="0" w:line="216" w:lineRule="exact"/>
              <w:rPr>
                <w:sz w:val="20"/>
                <w:szCs w:val="20"/>
                <w:color w:val="auto"/>
              </w:rPr>
            </w:pPr>
            <w:r>
              <w:rPr>
                <w:rFonts w:ascii="Arial" w:cs="Arial" w:eastAsia="Arial" w:hAnsi="Arial"/>
                <w:sz w:val="22"/>
                <w:szCs w:val="22"/>
                <w:color w:val="auto"/>
              </w:rPr>
              <w:t>Form of Compliance Certificate</w:t>
            </w:r>
          </w:p>
        </w:tc>
      </w:tr>
      <w:tr>
        <w:trPr>
          <w:trHeight w:val="216"/>
        </w:trPr>
        <w:tc>
          <w:tcPr>
            <w:tcW w:w="920" w:type="dxa"/>
            <w:vAlign w:val="bottom"/>
          </w:tcPr>
          <w:p>
            <w:pPr>
              <w:spacing w:after="0" w:line="216" w:lineRule="exact"/>
              <w:rPr>
                <w:sz w:val="20"/>
                <w:szCs w:val="20"/>
                <w:color w:val="auto"/>
              </w:rPr>
            </w:pPr>
            <w:r>
              <w:rPr>
                <w:rFonts w:ascii="Arial" w:cs="Arial" w:eastAsia="Arial" w:hAnsi="Arial"/>
                <w:sz w:val="22"/>
                <w:szCs w:val="22"/>
                <w:color w:val="auto"/>
              </w:rPr>
              <w:t>Exhibit G</w:t>
            </w:r>
          </w:p>
        </w:tc>
        <w:tc>
          <w:tcPr>
            <w:tcW w:w="300" w:type="dxa"/>
            <w:vAlign w:val="bottom"/>
            <w:gridSpan w:val="2"/>
          </w:tcPr>
          <w:p>
            <w:pPr>
              <w:jc w:val="right"/>
              <w:spacing w:after="0" w:line="216" w:lineRule="exact"/>
              <w:rPr>
                <w:sz w:val="20"/>
                <w:szCs w:val="20"/>
                <w:color w:val="auto"/>
              </w:rPr>
            </w:pPr>
            <w:r>
              <w:rPr>
                <w:rFonts w:ascii="Arial" w:cs="Arial" w:eastAsia="Arial" w:hAnsi="Arial"/>
                <w:sz w:val="22"/>
                <w:szCs w:val="22"/>
                <w:color w:val="auto"/>
              </w:rPr>
              <w:t>--</w:t>
            </w:r>
          </w:p>
        </w:tc>
        <w:tc>
          <w:tcPr>
            <w:tcW w:w="3860" w:type="dxa"/>
            <w:vAlign w:val="bottom"/>
          </w:tcPr>
          <w:p>
            <w:pPr>
              <w:ind w:left="220"/>
              <w:spacing w:after="0" w:line="216" w:lineRule="exact"/>
              <w:rPr>
                <w:sz w:val="20"/>
                <w:szCs w:val="20"/>
                <w:color w:val="auto"/>
              </w:rPr>
            </w:pPr>
            <w:r>
              <w:rPr>
                <w:rFonts w:ascii="Arial" w:cs="Arial" w:eastAsia="Arial" w:hAnsi="Arial"/>
                <w:sz w:val="22"/>
                <w:szCs w:val="22"/>
                <w:color w:val="auto"/>
                <w:w w:val="89"/>
              </w:rPr>
              <w:t>Form of Maturity Date Extension Request</w:t>
            </w:r>
          </w:p>
        </w:tc>
      </w:tr>
      <w:tr>
        <w:trPr>
          <w:trHeight w:val="216"/>
        </w:trPr>
        <w:tc>
          <w:tcPr>
            <w:tcW w:w="920" w:type="dxa"/>
            <w:vAlign w:val="bottom"/>
          </w:tcPr>
          <w:p>
            <w:pPr>
              <w:spacing w:after="0" w:line="216" w:lineRule="exact"/>
              <w:rPr>
                <w:sz w:val="20"/>
                <w:szCs w:val="20"/>
                <w:color w:val="auto"/>
              </w:rPr>
            </w:pPr>
            <w:r>
              <w:rPr>
                <w:rFonts w:ascii="Arial" w:cs="Arial" w:eastAsia="Arial" w:hAnsi="Arial"/>
                <w:sz w:val="22"/>
                <w:szCs w:val="22"/>
                <w:color w:val="auto"/>
              </w:rPr>
              <w:t>Exhibit H</w:t>
            </w:r>
          </w:p>
        </w:tc>
        <w:tc>
          <w:tcPr>
            <w:tcW w:w="300" w:type="dxa"/>
            <w:vAlign w:val="bottom"/>
            <w:gridSpan w:val="2"/>
          </w:tcPr>
          <w:p>
            <w:pPr>
              <w:jc w:val="right"/>
              <w:spacing w:after="0" w:line="216" w:lineRule="exact"/>
              <w:rPr>
                <w:sz w:val="20"/>
                <w:szCs w:val="20"/>
                <w:color w:val="auto"/>
              </w:rPr>
            </w:pPr>
            <w:r>
              <w:rPr>
                <w:rFonts w:ascii="Arial" w:cs="Arial" w:eastAsia="Arial" w:hAnsi="Arial"/>
                <w:sz w:val="22"/>
                <w:szCs w:val="22"/>
                <w:color w:val="auto"/>
              </w:rPr>
              <w:t>--</w:t>
            </w:r>
          </w:p>
        </w:tc>
        <w:tc>
          <w:tcPr>
            <w:tcW w:w="3860" w:type="dxa"/>
            <w:vAlign w:val="bottom"/>
          </w:tcPr>
          <w:p>
            <w:pPr>
              <w:ind w:left="220"/>
              <w:spacing w:after="0" w:line="216" w:lineRule="exact"/>
              <w:rPr>
                <w:sz w:val="20"/>
                <w:szCs w:val="20"/>
                <w:color w:val="auto"/>
              </w:rPr>
            </w:pPr>
            <w:r>
              <w:rPr>
                <w:rFonts w:ascii="Arial" w:cs="Arial" w:eastAsia="Arial" w:hAnsi="Arial"/>
                <w:sz w:val="22"/>
                <w:szCs w:val="22"/>
                <w:color w:val="auto"/>
              </w:rPr>
              <w:t>Form of Counterpart Agreement</w:t>
            </w: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Exhibit I</w:t>
            </w:r>
          </w:p>
        </w:tc>
        <w:tc>
          <w:tcPr>
            <w:tcW w:w="30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c>
          <w:tcPr>
            <w:tcW w:w="3860" w:type="dxa"/>
            <w:vAlign w:val="bottom"/>
          </w:tcPr>
          <w:p>
            <w:pPr>
              <w:ind w:left="180"/>
              <w:spacing w:after="0"/>
              <w:rPr>
                <w:sz w:val="20"/>
                <w:szCs w:val="20"/>
                <w:color w:val="auto"/>
              </w:rPr>
            </w:pPr>
            <w:r>
              <w:rPr>
                <w:rFonts w:ascii="Arial" w:cs="Arial" w:eastAsia="Arial" w:hAnsi="Arial"/>
                <w:sz w:val="22"/>
                <w:szCs w:val="22"/>
                <w:color w:val="auto"/>
              </w:rPr>
              <w:t>Form of Solvency Certificate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ind w:right="4379"/>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0139"/>
          </w:cols>
          <w:pgMar w:left="320" w:top="1401" w:right="1440" w:bottom="1440" w:gutter="0" w:footer="0" w:header="0"/>
        </w:sectPr>
      </w:pPr>
    </w:p>
    <w:bookmarkStart w:id="53" w:name="page54"/>
    <w:bookmarkEnd w:id="53"/>
    <w:p>
      <w:pPr>
        <w:jc w:val="both"/>
        <w:ind w:firstLine="1296"/>
        <w:spacing w:after="0" w:line="229" w:lineRule="auto"/>
        <w:rPr>
          <w:sz w:val="20"/>
          <w:szCs w:val="20"/>
          <w:color w:val="auto"/>
        </w:rPr>
      </w:pPr>
      <w:r>
        <w:rPr>
          <w:rFonts w:ascii="Arial" w:cs="Arial" w:eastAsia="Arial" w:hAnsi="Arial"/>
          <w:sz w:val="21"/>
          <w:szCs w:val="21"/>
          <w:color w:val="auto"/>
        </w:rPr>
        <w:t>REVOLVING CREDIT AND GUARANTY AGREEMENT dated as of September 13, 2021, among REMITLY GLOBAL, INC., a Delaware corporation (“</w:t>
      </w:r>
      <w:r>
        <w:rPr>
          <w:rFonts w:ascii="Arial" w:cs="Arial" w:eastAsia="Arial" w:hAnsi="Arial"/>
          <w:sz w:val="21"/>
          <w:szCs w:val="21"/>
          <w:u w:val="single" w:color="auto"/>
          <w:color w:val="auto"/>
        </w:rPr>
        <w:t>Holdings</w:t>
      </w:r>
      <w:r>
        <w:rPr>
          <w:rFonts w:ascii="Arial" w:cs="Arial" w:eastAsia="Arial" w:hAnsi="Arial"/>
          <w:sz w:val="21"/>
          <w:szCs w:val="21"/>
          <w:color w:val="auto"/>
        </w:rPr>
        <w:t>”), and REMITLY, INC., a Delaware corporation (“</w:t>
      </w:r>
      <w:r>
        <w:rPr>
          <w:rFonts w:ascii="Arial" w:cs="Arial" w:eastAsia="Arial" w:hAnsi="Arial"/>
          <w:sz w:val="21"/>
          <w:szCs w:val="21"/>
          <w:u w:val="single" w:color="auto"/>
          <w:color w:val="auto"/>
        </w:rPr>
        <w:t>Remitly</w:t>
      </w:r>
      <w:r>
        <w:rPr>
          <w:rFonts w:ascii="Arial" w:cs="Arial" w:eastAsia="Arial" w:hAnsi="Arial"/>
          <w:sz w:val="21"/>
          <w:szCs w:val="21"/>
          <w:color w:val="auto"/>
        </w:rPr>
        <w:t>” and, together with Holdings, the “</w:t>
      </w:r>
      <w:r>
        <w:rPr>
          <w:rFonts w:ascii="Arial" w:cs="Arial" w:eastAsia="Arial" w:hAnsi="Arial"/>
          <w:sz w:val="21"/>
          <w:szCs w:val="21"/>
          <w:u w:val="single" w:color="auto"/>
          <w:color w:val="auto"/>
        </w:rPr>
        <w:t>Borrowers</w:t>
      </w:r>
      <w:r>
        <w:rPr>
          <w:rFonts w:ascii="Arial" w:cs="Arial" w:eastAsia="Arial" w:hAnsi="Arial"/>
          <w:sz w:val="21"/>
          <w:szCs w:val="21"/>
          <w:color w:val="auto"/>
        </w:rPr>
        <w:t>”), the GUARANTORS party hereto, the LENDERS and ISSUING BANKS party hereto and JPMORGAN CHASE BANK, N.A., as Administrative Agent and Collateral Agent.</w:t>
      </w:r>
    </w:p>
    <w:p>
      <w:pPr>
        <w:spacing w:after="0" w:line="15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The Borrowers (such term and each other capitalized term used and not otherwise defined herein having the meaning assigned to it in </w:t>
      </w:r>
      <w:r>
        <w:rPr>
          <w:rFonts w:ascii="Arial" w:cs="Arial" w:eastAsia="Arial" w:hAnsi="Arial"/>
          <w:sz w:val="19"/>
          <w:szCs w:val="19"/>
          <w:u w:val="single" w:color="auto"/>
          <w:color w:val="auto"/>
        </w:rPr>
        <w:t>Article I</w:t>
      </w:r>
      <w:r>
        <w:rPr>
          <w:rFonts w:ascii="Arial" w:cs="Arial" w:eastAsia="Arial" w:hAnsi="Arial"/>
          <w:sz w:val="19"/>
          <w:szCs w:val="19"/>
          <w:color w:val="auto"/>
        </w:rPr>
        <w:t>) requested that the Lenders make Loans to one or more of the Borrowers on a revolving credit basis and the Issuing Banks issue Letters of Credit at the request and for the account of one or more of the Borrowers, as applicable, on and after the Effective Date and at any time and from time to time prior to the Commitment Termination Date.</w:t>
      </w:r>
    </w:p>
    <w:p>
      <w:pPr>
        <w:spacing w:after="0" w:line="14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The proceeds of borrowings and Letters of Credit hereunder are to be used for the purposes described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5.9</w:t>
      </w:r>
      <w:r>
        <w:rPr>
          <w:rFonts w:ascii="Arial" w:cs="Arial" w:eastAsia="Arial" w:hAnsi="Arial"/>
          <w:sz w:val="22"/>
          <w:szCs w:val="22"/>
          <w:color w:val="auto"/>
        </w:rPr>
        <w:t>. On the Effective Date, the Lenders agreed to establish the credit facility referred to in the preceding paragraph upon the terms and subject to the conditions set forth herein.</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Accordingly, the parties hereto agree as follows:</w:t>
      </w:r>
    </w:p>
    <w:p>
      <w:pPr>
        <w:spacing w:after="0" w:line="179"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ARTICLE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3827780</wp:posOffset>
            </wp:positionH>
            <wp:positionV relativeFrom="paragraph">
              <wp:posOffset>-17780</wp:posOffset>
            </wp:positionV>
            <wp:extent cx="137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ind w:left="4960"/>
        <w:spacing w:after="0"/>
        <w:rPr>
          <w:sz w:val="20"/>
          <w:szCs w:val="20"/>
          <w:color w:val="auto"/>
        </w:rPr>
      </w:pPr>
      <w:r>
        <w:rPr>
          <w:rFonts w:ascii="Arial" w:cs="Arial" w:eastAsia="Arial" w:hAnsi="Arial"/>
          <w:sz w:val="22"/>
          <w:szCs w:val="22"/>
          <w:u w:val="single" w:color="auto"/>
          <w:color w:val="auto"/>
        </w:rPr>
        <w:t>DEFINITIONS</w:t>
      </w:r>
    </w:p>
    <w:p>
      <w:pPr>
        <w:spacing w:after="0" w:line="179"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Agreement, the following terms have the meanings specified below:</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w:t>
      </w:r>
      <w:r>
        <w:rPr>
          <w:rFonts w:ascii="Arial" w:cs="Arial" w:eastAsia="Arial" w:hAnsi="Arial"/>
          <w:sz w:val="22"/>
          <w:szCs w:val="22"/>
          <w:color w:val="auto"/>
        </w:rPr>
        <w:t>”, when used in reference to any Loan or Borrowing, refers to whether such Loan, or the Loans comprising such Borrowing, are bearing interest at a rate determined by reference to the Alternate Base Rate.</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u w:val="single" w:color="auto"/>
          <w:color w:val="0000FF"/>
          <w:highlight w:val="lightGray"/>
        </w:rPr>
        <w:t xml:space="preserve">“Adjusted Daily Simple SOFR” means an interest rate per annum equal to (a) the Daily Simple SOFR, </w:t>
      </w:r>
      <w:r>
        <w:rPr>
          <w:rFonts w:ascii="Arial" w:cs="Arial" w:eastAsia="Arial" w:hAnsi="Arial"/>
          <w:sz w:val="22"/>
          <w:szCs w:val="22"/>
          <w:i w:val="1"/>
          <w:iCs w:val="1"/>
          <w:u w:val="single" w:color="auto"/>
          <w:color w:val="0000FF"/>
          <w:highlight w:val="lightGray"/>
        </w:rPr>
        <w:t>plus</w:t>
      </w:r>
      <w:r>
        <w:rPr>
          <w:rFonts w:ascii="Arial" w:cs="Arial" w:eastAsia="Arial" w:hAnsi="Arial"/>
          <w:sz w:val="22"/>
          <w:szCs w:val="22"/>
          <w:u w:val="single" w:color="auto"/>
          <w:color w:val="0000FF"/>
          <w:highlight w:val="lightGray"/>
        </w:rPr>
        <w:t xml:space="preserve"> </w:t>
      </w:r>
      <w:r>
        <w:rPr>
          <w:rFonts w:ascii="Arial" w:cs="Arial" w:eastAsia="Arial" w:hAnsi="Arial"/>
          <w:sz w:val="22"/>
          <w:szCs w:val="22"/>
          <w:u w:val="single" w:color="auto"/>
          <w:color w:val="0000FF"/>
        </w:rPr>
        <w:t>(b)</w:t>
      </w:r>
      <w:r>
        <w:rPr>
          <w:rFonts w:ascii="Arial" w:cs="Arial" w:eastAsia="Arial" w:hAnsi="Arial"/>
          <w:sz w:val="22"/>
          <w:szCs w:val="22"/>
          <w:u w:val="single" w:color="auto"/>
          <w:color w:val="0000FF"/>
          <w:highlight w:val="lightGray"/>
        </w:rPr>
        <w:t xml:space="preserve"> 0.10%; </w:t>
      </w:r>
      <w:r>
        <w:rPr>
          <w:rFonts w:ascii="Arial" w:cs="Arial" w:eastAsia="Arial" w:hAnsi="Arial"/>
          <w:sz w:val="22"/>
          <w:szCs w:val="22"/>
          <w:i w:val="1"/>
          <w:iCs w:val="1"/>
          <w:u w:val="single" w:color="auto"/>
          <w:color w:val="0000FF"/>
          <w:highlight w:val="lightGray"/>
        </w:rPr>
        <w:t>provided that</w:t>
      </w:r>
      <w:r>
        <w:rPr>
          <w:rFonts w:ascii="Arial" w:cs="Arial" w:eastAsia="Arial" w:hAnsi="Arial"/>
          <w:sz w:val="22"/>
          <w:szCs w:val="22"/>
          <w:u w:val="single" w:color="auto"/>
          <w:color w:val="0000FF"/>
          <w:highlight w:val="lightGray"/>
        </w:rPr>
        <w:t xml:space="preserve"> </w:t>
      </w:r>
      <w:r>
        <w:rPr>
          <w:rFonts w:ascii="Arial" w:cs="Arial" w:eastAsia="Arial" w:hAnsi="Arial"/>
          <w:sz w:val="22"/>
          <w:szCs w:val="22"/>
          <w:u w:val="single" w:color="auto"/>
          <w:color w:val="0000FF"/>
        </w:rPr>
        <w:t>if the Adjusted Daily Simple SOFR Rate as so determined would be less than the Floor</w:t>
      </w:r>
      <w:r>
        <w:rPr>
          <w:rFonts w:ascii="Arial" w:cs="Arial" w:eastAsia="Arial" w:hAnsi="Arial"/>
          <w:sz w:val="22"/>
          <w:szCs w:val="22"/>
          <w:u w:val="single" w:color="auto"/>
          <w:color w:val="008000"/>
        </w:rPr>
        <w:t>, such rate shall be</w:t>
      </w:r>
      <w:r>
        <w:rPr>
          <w:rFonts w:ascii="Arial" w:cs="Arial" w:eastAsia="Arial" w:hAnsi="Arial"/>
          <w:sz w:val="22"/>
          <w:szCs w:val="22"/>
          <w:u w:val="single" w:color="auto"/>
          <w:color w:val="0000FF"/>
          <w:highlight w:val="lightGray"/>
        </w:rPr>
        <w:t xml:space="preserve"> </w:t>
      </w:r>
      <w:r>
        <w:rPr>
          <w:rFonts w:ascii="Arial" w:cs="Arial" w:eastAsia="Arial" w:hAnsi="Arial"/>
          <w:sz w:val="22"/>
          <w:szCs w:val="22"/>
          <w:u w:val="single" w:color="auto"/>
          <w:color w:val="008000"/>
        </w:rPr>
        <w:t xml:space="preserve">deemed to be </w:t>
      </w:r>
      <w:r>
        <w:rPr>
          <w:rFonts w:ascii="Arial" w:cs="Arial" w:eastAsia="Arial" w:hAnsi="Arial"/>
          <w:sz w:val="22"/>
          <w:szCs w:val="22"/>
          <w:u w:val="single" w:color="auto"/>
          <w:color w:val="0000FF"/>
          <w:highlight w:val="lightGray"/>
        </w:rPr>
        <w:t>equal to the Floor</w:t>
      </w:r>
      <w:r>
        <w:rPr>
          <w:rFonts w:ascii="Arial" w:cs="Arial" w:eastAsia="Arial" w:hAnsi="Arial"/>
          <w:sz w:val="22"/>
          <w:szCs w:val="22"/>
          <w:u w:val="single" w:color="auto"/>
          <w:color w:val="008000"/>
        </w:rPr>
        <w:t xml:space="preserve"> for the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-433705</wp:posOffset>
            </wp:positionV>
            <wp:extent cx="5958205" cy="2825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5958205" cy="282575"/>
                    </a:xfrm>
                    <a:prstGeom prst="rect">
                      <a:avLst/>
                    </a:prstGeom>
                    <a:noFill/>
                  </pic:spPr>
                </pic:pic>
              </a:graphicData>
            </a:graphic>
          </wp:anchor>
        </w:drawing>
      </w:r>
    </w:p>
    <w:p>
      <w:pPr>
        <w:spacing w:after="0" w:line="13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u w:val="single" w:color="auto"/>
          <w:color w:val="0000FF"/>
          <w:highlight w:val="lightGray"/>
        </w:rPr>
        <w:t xml:space="preserve">“Adjusted Term SOFR Rate” means, </w:t>
      </w:r>
      <w:r>
        <w:rPr>
          <w:rFonts w:ascii="Arial" w:cs="Arial" w:eastAsia="Arial" w:hAnsi="Arial"/>
          <w:sz w:val="19"/>
          <w:szCs w:val="19"/>
          <w:u w:val="single" w:color="auto"/>
          <w:color w:val="008000"/>
        </w:rPr>
        <w:t>for any Interest Period, an interest rate per annum</w:t>
      </w:r>
      <w:r>
        <w:rPr>
          <w:rFonts w:ascii="Arial" w:cs="Arial" w:eastAsia="Arial" w:hAnsi="Arial"/>
          <w:sz w:val="19"/>
          <w:szCs w:val="19"/>
          <w:u w:val="single" w:color="auto"/>
          <w:color w:val="0000FF"/>
          <w:highlight w:val="lightGray"/>
        </w:rPr>
        <w:t xml:space="preserve"> equal to (a) the Term SOFR Rate for such Interest Period,</w:t>
      </w:r>
      <w:r>
        <w:rPr>
          <w:rFonts w:ascii="Arial" w:cs="Arial" w:eastAsia="Arial" w:hAnsi="Arial"/>
          <w:sz w:val="19"/>
          <w:szCs w:val="19"/>
          <w:color w:val="0000FF"/>
          <w:highlight w:val="lightGray"/>
        </w:rPr>
        <w:t xml:space="preserve"> </w:t>
      </w:r>
      <w:r>
        <w:rPr>
          <w:rFonts w:ascii="Arial" w:cs="Arial" w:eastAsia="Arial" w:hAnsi="Arial"/>
          <w:sz w:val="19"/>
          <w:szCs w:val="19"/>
          <w:i w:val="1"/>
          <w:iCs w:val="1"/>
          <w:u w:val="single" w:color="auto"/>
          <w:color w:val="0000FF"/>
          <w:highlight w:val="lightGray"/>
        </w:rPr>
        <w:t>plus</w:t>
      </w:r>
      <w:r>
        <w:rPr>
          <w:rFonts w:ascii="Arial" w:cs="Arial" w:eastAsia="Arial" w:hAnsi="Arial"/>
          <w:sz w:val="19"/>
          <w:szCs w:val="19"/>
          <w:color w:val="0000FF"/>
          <w:highlight w:val="lightGray"/>
        </w:rPr>
        <w:t xml:space="preserve"> </w:t>
      </w:r>
      <w:r>
        <w:rPr>
          <w:rFonts w:ascii="Arial" w:cs="Arial" w:eastAsia="Arial" w:hAnsi="Arial"/>
          <w:sz w:val="19"/>
          <w:szCs w:val="19"/>
          <w:u w:val="single" w:color="auto"/>
          <w:color w:val="0000FF"/>
        </w:rPr>
        <w:t>(b) 0.10%;</w:t>
      </w:r>
      <w:r>
        <w:rPr>
          <w:rFonts w:ascii="Arial" w:cs="Arial" w:eastAsia="Arial" w:hAnsi="Arial"/>
          <w:sz w:val="19"/>
          <w:szCs w:val="19"/>
          <w:color w:val="0000FF"/>
          <w:highlight w:val="lightGray"/>
        </w:rPr>
        <w:t xml:space="preserve"> </w:t>
      </w:r>
      <w:r>
        <w:rPr>
          <w:rFonts w:ascii="Arial" w:cs="Arial" w:eastAsia="Arial" w:hAnsi="Arial"/>
          <w:sz w:val="19"/>
          <w:szCs w:val="19"/>
          <w:i w:val="1"/>
          <w:iCs w:val="1"/>
          <w:u w:val="single" w:color="auto"/>
          <w:color w:val="0000FF"/>
          <w:highlight w:val="lightGray"/>
        </w:rPr>
        <w:t>provided that</w:t>
      </w:r>
      <w:r>
        <w:rPr>
          <w:rFonts w:ascii="Arial" w:cs="Arial" w:eastAsia="Arial" w:hAnsi="Arial"/>
          <w:sz w:val="19"/>
          <w:szCs w:val="19"/>
          <w:color w:val="0000FF"/>
          <w:highlight w:val="lightGray"/>
        </w:rPr>
        <w:t xml:space="preserve"> </w:t>
      </w:r>
      <w:r>
        <w:rPr>
          <w:rFonts w:ascii="Arial" w:cs="Arial" w:eastAsia="Arial" w:hAnsi="Arial"/>
          <w:sz w:val="19"/>
          <w:szCs w:val="19"/>
          <w:color w:val="0000FF"/>
        </w:rPr>
        <w:t>if the Adjusted Term SOFR Rate as so determined would be</w:t>
      </w:r>
      <w:r>
        <w:rPr>
          <w:rFonts w:ascii="Arial" w:cs="Arial" w:eastAsia="Arial" w:hAnsi="Arial"/>
          <w:sz w:val="19"/>
          <w:szCs w:val="19"/>
          <w:color w:val="0000FF"/>
          <w:highlight w:val="lightGray"/>
        </w:rPr>
        <w:t xml:space="preserve"> </w:t>
      </w:r>
      <w:r>
        <w:rPr>
          <w:rFonts w:ascii="Arial" w:cs="Arial" w:eastAsia="Arial" w:hAnsi="Arial"/>
          <w:sz w:val="19"/>
          <w:szCs w:val="19"/>
          <w:u w:val="single" w:color="auto"/>
          <w:color w:val="0000FF"/>
          <w:highlight w:val="lightGray"/>
        </w:rPr>
        <w:t>less than the Floor</w:t>
      </w:r>
      <w:r>
        <w:rPr>
          <w:rFonts w:ascii="Arial" w:cs="Arial" w:eastAsia="Arial" w:hAnsi="Arial"/>
          <w:sz w:val="19"/>
          <w:szCs w:val="19"/>
          <w:u w:val="single" w:color="auto"/>
          <w:color w:val="008000"/>
        </w:rPr>
        <w:t>, such rate shall be deemed to be</w:t>
      </w:r>
      <w:r>
        <w:rPr>
          <w:rFonts w:ascii="Arial" w:cs="Arial" w:eastAsia="Arial" w:hAnsi="Arial"/>
          <w:sz w:val="19"/>
          <w:szCs w:val="19"/>
          <w:u w:val="single" w:color="auto"/>
          <w:color w:val="0000FF"/>
          <w:highlight w:val="lightGray"/>
        </w:rPr>
        <w:t xml:space="preserve"> equal to the Floor for the </w:t>
      </w:r>
      <w:r>
        <w:rPr>
          <w:rFonts w:ascii="Arial" w:cs="Arial" w:eastAsia="Arial" w:hAnsi="Arial"/>
          <w:sz w:val="19"/>
          <w:szCs w:val="19"/>
          <w:u w:val="single" w:color="auto"/>
          <w:color w:val="008000"/>
        </w:rPr>
        <w:t>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-313055</wp:posOffset>
            </wp:positionV>
            <wp:extent cx="483489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4834890" cy="146050"/>
                    </a:xfrm>
                    <a:prstGeom prst="rect">
                      <a:avLst/>
                    </a:prstGeom>
                    <a:noFill/>
                  </pic:spPr>
                </pic:pic>
              </a:graphicData>
            </a:graphic>
          </wp:anchor>
        </w:drawing>
      </w:r>
    </w:p>
    <w:p>
      <w:pPr>
        <w:spacing w:after="0" w:line="112"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Accounts</w:t>
      </w:r>
      <w:r>
        <w:rPr>
          <w:rFonts w:ascii="Arial" w:cs="Arial" w:eastAsia="Arial" w:hAnsi="Arial"/>
          <w:sz w:val="21"/>
          <w:szCs w:val="21"/>
          <w:color w:val="auto"/>
        </w:rPr>
        <w:t>” means all “accounts” (as defined in Article 9 of the UCC) of a Person, including, without limitation, accounts, accounts receivable, monies due or to become due and obligations in any form (whether arising in connection with contracts, contract rights, instruments, general intangibles, or chattel paper), in each case whether arising out of goods sold or services rendered or from any other transaction and whether or not earned by performance, now or hereafter in existence, and all documents of title or other documents representing any of the foregoing, and all collateral security and guaranties of any kind, now or hereafter in existence, given by any Person with respect to any of the foregoing. Unless otherwise stated, the term “Account,” when used herein, shall mean an Account of the Borrowers.</w:t>
      </w:r>
    </w:p>
    <w:p>
      <w:pPr>
        <w:spacing w:after="0" w:line="16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Acquisition</w:t>
      </w:r>
      <w:r>
        <w:rPr>
          <w:rFonts w:ascii="Arial" w:cs="Arial" w:eastAsia="Arial" w:hAnsi="Arial"/>
          <w:sz w:val="22"/>
          <w:szCs w:val="22"/>
          <w:color w:val="auto"/>
        </w:rPr>
        <w:t>” means any transaction or series of related transactions resulting in the acquisition by Holdings or any of its Restricted Subsidiaries, whether by purchase, merger or</w:t>
      </w:r>
    </w:p>
    <w:p>
      <w:pPr>
        <w:sectPr>
          <w:pgSz w:w="11900" w:h="16838" w:orient="portrait"/>
          <w:cols w:equalWidth="0" w:num="1">
            <w:col w:w="11240"/>
          </w:cols>
          <w:pgMar w:left="320" w:top="1401" w:right="339" w:bottom="1440" w:gutter="0" w:footer="0" w:header="0"/>
        </w:sectPr>
      </w:pPr>
    </w:p>
    <w:bookmarkStart w:id="54" w:name="page55"/>
    <w:bookmarkEnd w:id="54"/>
    <w:p>
      <w:pPr>
        <w:jc w:val="both"/>
        <w:spacing w:after="0" w:line="232" w:lineRule="auto"/>
        <w:rPr>
          <w:sz w:val="20"/>
          <w:szCs w:val="20"/>
          <w:color w:val="auto"/>
        </w:rPr>
      </w:pPr>
      <w:r>
        <w:rPr>
          <w:rFonts w:ascii="Arial" w:cs="Arial" w:eastAsia="Arial" w:hAnsi="Arial"/>
          <w:sz w:val="22"/>
          <w:szCs w:val="22"/>
          <w:color w:val="auto"/>
        </w:rPr>
        <w:t>otherwise, of all or substantially all of the assets of, all of the Equity Interests of, or a business line or unit or a division of, any Person.</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Adjusted LIBO Rate</w:t>
      </w:r>
      <w:r>
        <w:rPr>
          <w:rFonts w:ascii="Arial" w:cs="Arial" w:eastAsia="Arial" w:hAnsi="Arial"/>
          <w:sz w:val="22"/>
          <w:szCs w:val="22"/>
          <w:color w:val="FF0000"/>
          <w:strike w:val="1"/>
        </w:rPr>
        <w:t xml:space="preserve">” means, with respect to any Eurodollar Borrowing </w:t>
      </w:r>
      <w:r>
        <w:rPr>
          <w:rFonts w:ascii="Arial" w:cs="Arial" w:eastAsia="Arial" w:hAnsi="Arial"/>
          <w:sz w:val="22"/>
          <w:szCs w:val="22"/>
          <w:color w:val="008000"/>
          <w:strike w:val="1"/>
        </w:rPr>
        <w:t>for any Interest Period, an interest rate</w:t>
      </w:r>
      <w:r>
        <w:rPr>
          <w:rFonts w:ascii="Arial" w:cs="Arial" w:eastAsia="Arial" w:hAnsi="Arial"/>
          <w:sz w:val="22"/>
          <w:szCs w:val="22"/>
          <w:color w:val="FF0000"/>
          <w:strike w:val="1"/>
        </w:rPr>
        <w:t xml:space="preserve"> </w:t>
      </w:r>
      <w:r>
        <w:rPr>
          <w:rFonts w:ascii="Arial" w:cs="Arial" w:eastAsia="Arial" w:hAnsi="Arial"/>
          <w:sz w:val="22"/>
          <w:szCs w:val="22"/>
          <w:color w:val="008000"/>
          <w:strike w:val="1"/>
        </w:rPr>
        <w:t xml:space="preserve">per annum </w:t>
      </w:r>
      <w:r>
        <w:rPr>
          <w:rFonts w:ascii="Arial" w:cs="Arial" w:eastAsia="Arial" w:hAnsi="Arial"/>
          <w:sz w:val="22"/>
          <w:szCs w:val="22"/>
          <w:color w:val="FF0000"/>
          <w:strike w:val="1"/>
        </w:rPr>
        <w:t>(rounded upwards, if necessary, to the next 1/16 of 1%) equal to (a) the LIBO Rate for such Interest Period</w:t>
      </w:r>
      <w:r>
        <w:rPr>
          <w:rFonts w:ascii="Arial" w:cs="Arial" w:eastAsia="Arial" w:hAnsi="Arial"/>
          <w:sz w:val="22"/>
          <w:szCs w:val="22"/>
          <w:color w:val="008000"/>
          <w:strike w:val="1"/>
        </w:rPr>
        <w:t xml:space="preserve"> </w:t>
      </w:r>
      <w:r>
        <w:rPr>
          <w:rFonts w:ascii="Arial" w:cs="Arial" w:eastAsia="Arial" w:hAnsi="Arial"/>
          <w:sz w:val="22"/>
          <w:szCs w:val="22"/>
          <w:u w:val="single" w:color="auto"/>
          <w:color w:val="FF0000"/>
          <w:strike w:val="1"/>
        </w:rPr>
        <w:t>multiplied</w:t>
      </w:r>
      <w:r>
        <w:rPr>
          <w:rFonts w:ascii="Arial" w:cs="Arial" w:eastAsia="Arial" w:hAnsi="Arial"/>
          <w:sz w:val="22"/>
          <w:szCs w:val="22"/>
          <w:color w:val="008000"/>
          <w:strike w:val="1"/>
        </w:rPr>
        <w:t xml:space="preserve"> </w:t>
      </w:r>
      <w:r>
        <w:rPr>
          <w:rFonts w:ascii="Arial" w:cs="Arial" w:eastAsia="Arial" w:hAnsi="Arial"/>
          <w:sz w:val="22"/>
          <w:szCs w:val="22"/>
          <w:u w:val="single" w:color="auto"/>
          <w:color w:val="FF0000"/>
          <w:strike w:val="1"/>
        </w:rPr>
        <w:t xml:space="preserve">by </w:t>
      </w:r>
      <w:r>
        <w:rPr>
          <w:rFonts w:ascii="Arial" w:cs="Arial" w:eastAsia="Arial" w:hAnsi="Arial"/>
          <w:sz w:val="22"/>
          <w:szCs w:val="22"/>
          <w:color w:val="FF0000"/>
          <w:strike w:val="1"/>
        </w:rPr>
        <w:t>(b) the Statutory Reserve Rate.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Quick Ratio</w:t>
      </w:r>
      <w:r>
        <w:rPr>
          <w:rFonts w:ascii="Arial" w:cs="Arial" w:eastAsia="Arial" w:hAnsi="Arial"/>
          <w:sz w:val="19"/>
          <w:szCs w:val="19"/>
          <w:color w:val="auto"/>
        </w:rPr>
        <w:t>” means, as of any date of determination, the ratio of Quick Assets to Current Liabilities.</w:t>
      </w:r>
    </w:p>
    <w:p>
      <w:pPr>
        <w:spacing w:after="0" w:line="21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means JPMCB, in its capacity as administrative agent for the Lenders hereunder, or any successor administrative agent.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a form supplied by the Administrative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Agent.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Affected Financial Institution</w:t>
      </w:r>
      <w:r>
        <w:rPr>
          <w:rFonts w:ascii="Arial" w:cs="Arial" w:eastAsia="Arial" w:hAnsi="Arial"/>
          <w:sz w:val="21"/>
          <w:szCs w:val="21"/>
          <w:color w:val="auto"/>
        </w:rPr>
        <w:t>” means (a) any EEA Financial Institution or (b) any UK Financial Institution.</w:t>
      </w:r>
    </w:p>
    <w:p>
      <w:pPr>
        <w:spacing w:after="0" w:line="19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 specified Person, another Person that directly, or indirectly through one or more intermediaries, Controls or is Controlled by or is under common Control with the Person specified.</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w:t>
      </w:r>
      <w:r>
        <w:rPr>
          <w:rFonts w:ascii="Arial" w:cs="Arial" w:eastAsia="Arial" w:hAnsi="Arial"/>
          <w:sz w:val="22"/>
          <w:szCs w:val="22"/>
          <w:color w:val="auto"/>
        </w:rPr>
        <w:t>” means each of the Administrative Agent and the Collateral Agent.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means this Revolving Credit and Guaranty Agreement, as the same may hereafter be modified, supplemented, extended, amended, restated or amended and restated from time to time.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 Currency</w:t>
      </w:r>
      <w:r>
        <w:rPr>
          <w:rFonts w:ascii="Arial" w:cs="Arial" w:eastAsia="Arial" w:hAnsi="Arial"/>
          <w:sz w:val="22"/>
          <w:szCs w:val="22"/>
          <w:color w:val="auto"/>
        </w:rPr>
        <w:t>” has the meaning set forth in Section 10.19(b).</w:t>
      </w:r>
    </w:p>
    <w:p>
      <w:pPr>
        <w:spacing w:after="0" w:line="17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Alternate Base Rate</w:t>
      </w:r>
      <w:r>
        <w:rPr>
          <w:rFonts w:ascii="Arial" w:cs="Arial" w:eastAsia="Arial" w:hAnsi="Arial"/>
          <w:sz w:val="19"/>
          <w:szCs w:val="19"/>
          <w:color w:val="auto"/>
        </w:rPr>
        <w:t xml:space="preserve">” means, for any day, a rate per annum equal to the highest of (a) the Prime Rate in effect on such day, (b) the NYFRB Rate in effect on such day </w:t>
      </w:r>
      <w:r>
        <w:rPr>
          <w:rFonts w:ascii="Arial" w:cs="Arial" w:eastAsia="Arial" w:hAnsi="Arial"/>
          <w:sz w:val="19"/>
          <w:szCs w:val="19"/>
          <w:i w:val="1"/>
          <w:iCs w:val="1"/>
          <w:color w:val="auto"/>
        </w:rPr>
        <w:t>plus</w:t>
      </w:r>
      <w:r>
        <w:rPr>
          <w:rFonts w:ascii="Arial" w:cs="Arial" w:eastAsia="Arial" w:hAnsi="Arial"/>
          <w:sz w:val="19"/>
          <w:szCs w:val="19"/>
          <w:color w:val="auto"/>
        </w:rPr>
        <w:t xml:space="preserve"> ½ of 1% and (c) the Adjusted </w:t>
      </w:r>
      <w:r>
        <w:rPr>
          <w:rFonts w:ascii="Arial" w:cs="Arial" w:eastAsia="Arial" w:hAnsi="Arial"/>
          <w:sz w:val="19"/>
          <w:szCs w:val="19"/>
          <w:color w:val="FF0000"/>
          <w:strike w:val="1"/>
        </w:rPr>
        <w:t>LIBO</w:t>
      </w:r>
      <w:r>
        <w:rPr>
          <w:rFonts w:ascii="Arial" w:cs="Arial" w:eastAsia="Arial" w:hAnsi="Arial"/>
          <w:sz w:val="19"/>
          <w:szCs w:val="19"/>
          <w:u w:val="single" w:color="auto"/>
          <w:color w:val="0000FF"/>
          <w:highlight w:val="lightGray"/>
        </w:rPr>
        <w:t>Term SOFR</w:t>
      </w:r>
      <w:r>
        <w:rPr>
          <w:rFonts w:ascii="Arial" w:cs="Arial" w:eastAsia="Arial" w:hAnsi="Arial"/>
          <w:sz w:val="19"/>
          <w:szCs w:val="19"/>
          <w:color w:val="auto"/>
        </w:rPr>
        <w:t xml:space="preserve"> Rate for an Interest Period of 1 month </w:t>
      </w:r>
      <w:r>
        <w:rPr>
          <w:rFonts w:ascii="Arial" w:cs="Arial" w:eastAsia="Arial" w:hAnsi="Arial"/>
          <w:sz w:val="19"/>
          <w:szCs w:val="19"/>
          <w:color w:val="FF0000"/>
          <w:strike w:val="1"/>
        </w:rPr>
        <w:t>commencing on</w:t>
      </w:r>
      <w:r>
        <w:rPr>
          <w:rFonts w:ascii="Arial" w:cs="Arial" w:eastAsia="Arial" w:hAnsi="Arial"/>
          <w:sz w:val="19"/>
          <w:szCs w:val="19"/>
          <w:u w:val="single" w:color="auto"/>
          <w:color w:val="0000FF"/>
          <w:highlight w:val="lightGray"/>
        </w:rPr>
        <w:t>as published two U.S. Government Securities Business Days prior to</w:t>
      </w:r>
      <w:r>
        <w:rPr>
          <w:rFonts w:ascii="Arial" w:cs="Arial" w:eastAsia="Arial" w:hAnsi="Arial"/>
          <w:sz w:val="19"/>
          <w:szCs w:val="19"/>
          <w:color w:val="auto"/>
        </w:rPr>
        <w:t xml:space="preserve"> such day (or if such day is not a </w:t>
      </w:r>
      <w:r>
        <w:rPr>
          <w:rFonts w:ascii="Arial" w:cs="Arial" w:eastAsia="Arial" w:hAnsi="Arial"/>
          <w:sz w:val="19"/>
          <w:szCs w:val="19"/>
          <w:u w:val="single" w:color="auto"/>
          <w:color w:val="0000FF"/>
          <w:highlight w:val="lightGray"/>
        </w:rPr>
        <w:t>U.S. Government Securities</w:t>
      </w:r>
      <w:r>
        <w:rPr>
          <w:rFonts w:ascii="Arial" w:cs="Arial" w:eastAsia="Arial" w:hAnsi="Arial"/>
          <w:sz w:val="19"/>
          <w:szCs w:val="19"/>
          <w:color w:val="auto"/>
        </w:rPr>
        <w:t xml:space="preserve"> Business Day, the immediately preceding </w:t>
      </w:r>
      <w:r>
        <w:rPr>
          <w:rFonts w:ascii="Arial" w:cs="Arial" w:eastAsia="Arial" w:hAnsi="Arial"/>
          <w:sz w:val="19"/>
          <w:szCs w:val="19"/>
          <w:u w:val="single" w:color="auto"/>
          <w:color w:val="0000FF"/>
          <w:highlight w:val="lightGray"/>
        </w:rPr>
        <w:t>U.S. Government Securities</w:t>
      </w:r>
      <w:r>
        <w:rPr>
          <w:rFonts w:ascii="Arial" w:cs="Arial" w:eastAsia="Arial" w:hAnsi="Arial"/>
          <w:sz w:val="19"/>
          <w:szCs w:val="19"/>
          <w:color w:val="auto"/>
        </w:rPr>
        <w:t xml:space="preserve"> Business Day) </w:t>
      </w:r>
      <w:r>
        <w:rPr>
          <w:rFonts w:ascii="Arial" w:cs="Arial" w:eastAsia="Arial" w:hAnsi="Arial"/>
          <w:sz w:val="19"/>
          <w:szCs w:val="19"/>
          <w:i w:val="1"/>
          <w:iCs w:val="1"/>
          <w:color w:val="auto"/>
        </w:rPr>
        <w:t>plus</w:t>
      </w:r>
      <w:r>
        <w:rPr>
          <w:rFonts w:ascii="Arial" w:cs="Arial" w:eastAsia="Arial" w:hAnsi="Arial"/>
          <w:sz w:val="19"/>
          <w:szCs w:val="19"/>
          <w:color w:val="auto"/>
        </w:rPr>
        <w:t xml:space="preserve"> 1.00%. For purposes of this definition, the Adjusted </w:t>
      </w:r>
      <w:r>
        <w:rPr>
          <w:rFonts w:ascii="Arial" w:cs="Arial" w:eastAsia="Arial" w:hAnsi="Arial"/>
          <w:sz w:val="19"/>
          <w:szCs w:val="19"/>
          <w:color w:val="FF0000"/>
          <w:strike w:val="1"/>
        </w:rPr>
        <w:t>LIBO</w:t>
      </w:r>
      <w:r>
        <w:rPr>
          <w:rFonts w:ascii="Arial" w:cs="Arial" w:eastAsia="Arial" w:hAnsi="Arial"/>
          <w:sz w:val="19"/>
          <w:szCs w:val="19"/>
          <w:u w:val="single" w:color="auto"/>
          <w:color w:val="0000FF"/>
          <w:highlight w:val="lightGray"/>
        </w:rPr>
        <w:t>Term SOFR</w:t>
      </w:r>
      <w:r>
        <w:rPr>
          <w:rFonts w:ascii="Arial" w:cs="Arial" w:eastAsia="Arial" w:hAnsi="Arial"/>
          <w:sz w:val="19"/>
          <w:szCs w:val="19"/>
          <w:color w:val="auto"/>
        </w:rPr>
        <w:t xml:space="preserve"> Rate on any day shall be based on the </w:t>
      </w:r>
      <w:r>
        <w:rPr>
          <w:rFonts w:ascii="Arial" w:cs="Arial" w:eastAsia="Arial" w:hAnsi="Arial"/>
          <w:sz w:val="19"/>
          <w:szCs w:val="19"/>
          <w:color w:val="FF0000"/>
          <w:strike w:val="1"/>
        </w:rPr>
        <w:t>LIBO Screen Rate</w:t>
      </w:r>
      <w:r>
        <w:rPr>
          <w:rFonts w:ascii="Arial" w:cs="Arial" w:eastAsia="Arial" w:hAnsi="Arial"/>
          <w:sz w:val="19"/>
          <w:szCs w:val="19"/>
          <w:color w:val="auto"/>
        </w:rPr>
        <w:t xml:space="preserve"> </w:t>
      </w:r>
      <w:r>
        <w:rPr>
          <w:rFonts w:ascii="Arial" w:cs="Arial" w:eastAsia="Arial" w:hAnsi="Arial"/>
          <w:sz w:val="19"/>
          <w:szCs w:val="19"/>
          <w:color w:val="FF0000"/>
          <w:strike w:val="1"/>
        </w:rPr>
        <w:t>(or if the LIBO Screen Rate is not available for such one month Interest Period, the Interpolated Rate)</w:t>
      </w:r>
      <w:r>
        <w:rPr>
          <w:rFonts w:ascii="Arial" w:cs="Arial" w:eastAsia="Arial" w:hAnsi="Arial"/>
          <w:sz w:val="19"/>
          <w:szCs w:val="19"/>
          <w:u w:val="single" w:color="auto"/>
          <w:color w:val="0000FF"/>
          <w:highlight w:val="lightGray"/>
          <w:strike w:val="1"/>
        </w:rPr>
        <w:t>Term SOFR Reference Rate</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 xml:space="preserve">at approximately </w:t>
      </w:r>
      <w:r>
        <w:rPr>
          <w:rFonts w:ascii="Arial" w:cs="Arial" w:eastAsia="Arial" w:hAnsi="Arial"/>
          <w:sz w:val="19"/>
          <w:szCs w:val="19"/>
          <w:color w:val="FF0000"/>
          <w:strike w:val="1"/>
        </w:rPr>
        <w:t>11:00 a.m., London</w:t>
      </w:r>
      <w:r>
        <w:rPr>
          <w:rFonts w:ascii="Arial" w:cs="Arial" w:eastAsia="Arial" w:hAnsi="Arial"/>
          <w:sz w:val="19"/>
          <w:szCs w:val="19"/>
          <w:color w:val="000000"/>
          <w:strike w:val="1"/>
        </w:rPr>
        <w:t xml:space="preserve"> </w:t>
      </w:r>
      <w:r>
        <w:rPr>
          <w:rFonts w:ascii="Arial" w:cs="Arial" w:eastAsia="Arial" w:hAnsi="Arial"/>
          <w:sz w:val="19"/>
          <w:szCs w:val="19"/>
          <w:u w:val="single" w:color="auto"/>
          <w:color w:val="0000FF"/>
          <w:highlight w:val="lightGray"/>
          <w:strike w:val="1"/>
        </w:rPr>
        <w:t>5:00 a.m., Chicago</w:t>
      </w:r>
      <w:r>
        <w:rPr>
          <w:rFonts w:ascii="Arial" w:cs="Arial" w:eastAsia="Arial" w:hAnsi="Arial"/>
          <w:sz w:val="19"/>
          <w:szCs w:val="19"/>
          <w:color w:val="000000"/>
          <w:strike w:val="1"/>
        </w:rPr>
        <w:t xml:space="preserve"> time, on such day </w:t>
      </w:r>
      <w:r>
        <w:rPr>
          <w:rFonts w:ascii="Arial" w:cs="Arial" w:eastAsia="Arial" w:hAnsi="Arial"/>
          <w:sz w:val="19"/>
          <w:szCs w:val="19"/>
          <w:color w:val="0000FF"/>
          <w:strike w:val="1"/>
        </w:rPr>
        <w:t>(or any amended publication time for the Term SOFR</w:t>
      </w:r>
      <w:r>
        <w:rPr>
          <w:rFonts w:ascii="Arial" w:cs="Arial" w:eastAsia="Arial" w:hAnsi="Arial"/>
          <w:sz w:val="19"/>
          <w:szCs w:val="19"/>
          <w:color w:val="000000"/>
          <w:strike w:val="1"/>
        </w:rPr>
        <w:t xml:space="preserve"> </w:t>
      </w:r>
      <w:r>
        <w:rPr>
          <w:rFonts w:ascii="Arial" w:cs="Arial" w:eastAsia="Arial" w:hAnsi="Arial"/>
          <w:sz w:val="19"/>
          <w:szCs w:val="19"/>
          <w:u w:val="single" w:color="auto"/>
          <w:color w:val="0000FF"/>
          <w:highlight w:val="lightGray"/>
          <w:strike w:val="1"/>
        </w:rPr>
        <w:t>Reference Rate, as specified by the CME Term SOFR Administrator in the Term SOFR Reference Rate methodology)</w:t>
      </w:r>
      <w:r>
        <w:rPr>
          <w:rFonts w:ascii="Arial" w:cs="Arial" w:eastAsia="Arial" w:hAnsi="Arial"/>
          <w:sz w:val="19"/>
          <w:szCs w:val="19"/>
          <w:color w:val="000000"/>
          <w:strike w:val="1"/>
        </w:rPr>
        <w:t>. Any</w:t>
      </w:r>
      <w:r>
        <w:rPr>
          <w:rFonts w:ascii="Arial" w:cs="Arial" w:eastAsia="Arial" w:hAnsi="Arial"/>
          <w:sz w:val="19"/>
          <w:szCs w:val="19"/>
          <w:color w:val="0000FF"/>
          <w:highlight w:val="lightGray"/>
          <w:strike w:val="1"/>
        </w:rPr>
        <w:t xml:space="preserve"> </w:t>
      </w:r>
      <w:r>
        <w:rPr>
          <w:rFonts w:ascii="Arial" w:cs="Arial" w:eastAsia="Arial" w:hAnsi="Arial"/>
          <w:sz w:val="19"/>
          <w:szCs w:val="19"/>
          <w:color w:val="000000"/>
          <w:strike w:val="1"/>
        </w:rPr>
        <w:t xml:space="preserve">change in the Alternate Base Rate due to a change in the Prime Rate, the NYFRB Rate or the Adjusted </w:t>
      </w:r>
      <w:r>
        <w:rPr>
          <w:rFonts w:ascii="Arial" w:cs="Arial" w:eastAsia="Arial" w:hAnsi="Arial"/>
          <w:sz w:val="19"/>
          <w:szCs w:val="19"/>
          <w:color w:val="FF0000"/>
          <w:strike w:val="1"/>
        </w:rPr>
        <w:t>LIBO</w:t>
      </w:r>
      <w:r>
        <w:rPr>
          <w:rFonts w:ascii="Arial" w:cs="Arial" w:eastAsia="Arial" w:hAnsi="Arial"/>
          <w:sz w:val="19"/>
          <w:szCs w:val="19"/>
          <w:u w:val="single" w:color="auto"/>
          <w:color w:val="0000FF"/>
          <w:highlight w:val="lightGray"/>
          <w:strike w:val="1"/>
        </w:rPr>
        <w:t>Term SOFR</w:t>
      </w:r>
      <w:r>
        <w:rPr>
          <w:rFonts w:ascii="Arial" w:cs="Arial" w:eastAsia="Arial" w:hAnsi="Arial"/>
          <w:sz w:val="19"/>
          <w:szCs w:val="19"/>
          <w:color w:val="000000"/>
          <w:strike w:val="1"/>
        </w:rPr>
        <w:t xml:space="preserve"> Rate shall be effective from and including the effective date of such change in the Prime Rate, the NYFRB Rate or the Adjusted </w:t>
      </w:r>
      <w:r>
        <w:rPr>
          <w:rFonts w:ascii="Arial" w:cs="Arial" w:eastAsia="Arial" w:hAnsi="Arial"/>
          <w:sz w:val="19"/>
          <w:szCs w:val="19"/>
          <w:color w:val="FF0000"/>
          <w:strike w:val="1"/>
        </w:rPr>
        <w:t>LIBO</w:t>
      </w:r>
      <w:r>
        <w:rPr>
          <w:rFonts w:ascii="Arial" w:cs="Arial" w:eastAsia="Arial" w:hAnsi="Arial"/>
          <w:sz w:val="19"/>
          <w:szCs w:val="19"/>
          <w:u w:val="single" w:color="auto"/>
          <w:color w:val="0000FF"/>
          <w:highlight w:val="lightGray"/>
          <w:strike w:val="1"/>
        </w:rPr>
        <w:t>Term SOFR</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Rate, respectively. If the Alternate Base Rate is being used as an alternate rate of interest pursuant to</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00"/>
          <w:strike w:val="1"/>
        </w:rPr>
        <w:t>Section 2.13</w:t>
      </w:r>
      <w:r>
        <w:rPr>
          <w:rFonts w:ascii="Arial" w:cs="Arial" w:eastAsia="Arial" w:hAnsi="Arial"/>
          <w:sz w:val="19"/>
          <w:szCs w:val="19"/>
          <w:color w:val="000000"/>
          <w:strike w:val="1"/>
        </w:rPr>
        <w:t xml:space="preserve"> (for the avoidance of doubt, only until the Benchmark Replacement has been determined pursuant to </w:t>
      </w:r>
      <w:r>
        <w:rPr>
          <w:rFonts w:ascii="Arial" w:cs="Arial" w:eastAsia="Arial" w:hAnsi="Arial"/>
          <w:sz w:val="19"/>
          <w:szCs w:val="19"/>
          <w:u w:val="single" w:color="auto"/>
          <w:color w:val="000000"/>
          <w:strike w:val="1"/>
        </w:rPr>
        <w:t>Section 2.13(b)</w:t>
      </w:r>
      <w:r>
        <w:rPr>
          <w:rFonts w:ascii="Arial" w:cs="Arial" w:eastAsia="Arial" w:hAnsi="Arial"/>
          <w:sz w:val="19"/>
          <w:szCs w:val="19"/>
          <w:color w:val="000000"/>
          <w:strike w:val="1"/>
        </w:rPr>
        <w:t xml:space="preserve">), then the Alternate Base Rate shall be the greater of </w:t>
      </w:r>
      <w:r>
        <w:rPr>
          <w:rFonts w:ascii="Arial" w:cs="Arial" w:eastAsia="Arial" w:hAnsi="Arial"/>
          <w:sz w:val="19"/>
          <w:szCs w:val="19"/>
          <w:u w:val="single" w:color="auto"/>
          <w:color w:val="000000"/>
          <w:strike w:val="1"/>
        </w:rPr>
        <w:t>clauses (a)</w:t>
      </w:r>
      <w:r>
        <w:rPr>
          <w:rFonts w:ascii="Arial" w:cs="Arial" w:eastAsia="Arial" w:hAnsi="Arial"/>
          <w:sz w:val="19"/>
          <w:szCs w:val="19"/>
          <w:color w:val="000000"/>
          <w:strike w:val="1"/>
        </w:rPr>
        <w:t xml:space="preserve"> and </w:t>
      </w:r>
      <w:r>
        <w:rPr>
          <w:rFonts w:ascii="Arial" w:cs="Arial" w:eastAsia="Arial" w:hAnsi="Arial"/>
          <w:sz w:val="19"/>
          <w:szCs w:val="19"/>
          <w:u w:val="single" w:color="auto"/>
          <w:color w:val="000000"/>
          <w:strike w:val="1"/>
        </w:rPr>
        <w:t>(b)</w:t>
      </w:r>
      <w:r>
        <w:rPr>
          <w:rFonts w:ascii="Arial" w:cs="Arial" w:eastAsia="Arial" w:hAnsi="Arial"/>
          <w:sz w:val="19"/>
          <w:szCs w:val="19"/>
          <w:color w:val="000000"/>
          <w:strike w:val="1"/>
        </w:rPr>
        <w:t xml:space="preserve"> above and shall be determined without reference to </w:t>
      </w:r>
      <w:r>
        <w:rPr>
          <w:rFonts w:ascii="Arial" w:cs="Arial" w:eastAsia="Arial" w:hAnsi="Arial"/>
          <w:sz w:val="19"/>
          <w:szCs w:val="19"/>
          <w:u w:val="single" w:color="auto"/>
          <w:color w:val="000000"/>
          <w:strike w:val="1"/>
        </w:rPr>
        <w:t>clause (c)</w:t>
      </w:r>
      <w:r>
        <w:rPr>
          <w:rFonts w:ascii="Arial" w:cs="Arial" w:eastAsia="Arial" w:hAnsi="Arial"/>
          <w:sz w:val="19"/>
          <w:szCs w:val="19"/>
          <w:color w:val="000000"/>
          <w:strike w:val="1"/>
        </w:rPr>
        <w:t xml:space="preserve"> above. For the avoidance of doubt, if the Alternate Base Rate as determined pursuant to the foregoing would be less than 1.00%, such rate shall be deemed to be 1.00%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-1252855</wp:posOffset>
            </wp:positionV>
            <wp:extent cx="30175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3017520" cy="146050"/>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55" w:name="page56"/>
    <w:bookmarkEnd w:id="55"/>
    <w:p>
      <w:pPr>
        <w:jc w:val="both"/>
        <w:ind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Alternative Currency</w:t>
      </w:r>
      <w:r>
        <w:rPr>
          <w:rFonts w:ascii="Arial" w:cs="Arial" w:eastAsia="Arial" w:hAnsi="Arial"/>
          <w:sz w:val="19"/>
          <w:szCs w:val="19"/>
          <w:color w:val="auto"/>
        </w:rPr>
        <w:t xml:space="preserve">” means Euro, Sterling, Australian Dollars, Canadian Dollars, Singapore Dollars and any other currency (other than dollars) that (i) is freely available, freely transferable and freely convertible into dollars and (ii) unless otherwise consented to by each Lender, in which dealings in deposits are carried on in the </w:t>
      </w:r>
      <w:r>
        <w:rPr>
          <w:rFonts w:ascii="Arial" w:cs="Arial" w:eastAsia="Arial" w:hAnsi="Arial"/>
          <w:sz w:val="19"/>
          <w:szCs w:val="19"/>
          <w:color w:val="FF0000"/>
          <w:strike w:val="1"/>
        </w:rPr>
        <w:t>London</w:t>
      </w:r>
      <w:r>
        <w:rPr>
          <w:rFonts w:ascii="Arial" w:cs="Arial" w:eastAsia="Arial" w:hAnsi="Arial"/>
          <w:sz w:val="19"/>
          <w:szCs w:val="19"/>
          <w:u w:val="single" w:color="auto"/>
          <w:color w:val="0000FF"/>
          <w:highlight w:val="lightGray"/>
        </w:rPr>
        <w:t>international</w:t>
      </w:r>
      <w:r>
        <w:rPr>
          <w:rFonts w:ascii="Arial" w:cs="Arial" w:eastAsia="Arial" w:hAnsi="Arial"/>
          <w:sz w:val="19"/>
          <w:szCs w:val="19"/>
          <w:color w:val="auto"/>
        </w:rPr>
        <w:t xml:space="preserve"> interbank market; provided that at the time of the issuance, amendment, increase or extension of any Letter of Credit denominated in a currency other than dollars, Euro, Sterling, Australian Dollars, Canadian Dollars or Singapore Dollars, such other currency is reasonably acceptable to the Administrative Agent and the applicable Issuing Bank in respect of such Letter of Credit.</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Ancillary Document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10.15(b)</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means (i) the United States Foreign Corrupt Practices Act of 1977, as amended, and the rules and regulations thereunder, (ii) the Bribery Act 2010 of the United Kingdom, as amended, and (iii) all laws, rules and regulations of Canada and the European Union from time to time concerning or relating to bribery, corruption or money laundering.</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Creditor</w:t>
      </w:r>
      <w:r>
        <w:rPr>
          <w:rFonts w:ascii="Arial" w:cs="Arial" w:eastAsia="Arial" w:hAnsi="Arial"/>
          <w:sz w:val="22"/>
          <w:szCs w:val="22"/>
          <w:color w:val="auto"/>
        </w:rPr>
        <w:t>” has the meaning set forth in Section 10.19(b).</w:t>
      </w:r>
    </w:p>
    <w:p>
      <w:pPr>
        <w:spacing w:after="0" w:line="17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 xml:space="preserve">” means, with respect to any Lender, the percentage of the total Commitments represented by such Lender’s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Defaulting Lender exists at such time, the Applicable Percentage shall be calculated disregarding such Defaulting Lender’s Commitment. If the Commitments have terminated or expired, the Applicable Percentages shall be determined based upon the Commitments most recently in effect, giving effect to any assignments.</w:t>
      </w:r>
    </w:p>
    <w:p>
      <w:pPr>
        <w:spacing w:after="0" w:line="14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Rate</w:t>
      </w:r>
      <w:r>
        <w:rPr>
          <w:rFonts w:ascii="Arial" w:cs="Arial" w:eastAsia="Arial" w:hAnsi="Arial"/>
          <w:sz w:val="22"/>
          <w:szCs w:val="22"/>
          <w:color w:val="auto"/>
        </w:rPr>
        <w:t xml:space="preserve">” means, for any day, (a) with respect to any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highlight w:val="lightGray"/>
        </w:rPr>
        <w:t>Term Benchmark</w:t>
      </w:r>
      <w:r>
        <w:rPr>
          <w:rFonts w:ascii="Arial" w:cs="Arial" w:eastAsia="Arial" w:hAnsi="Arial"/>
          <w:sz w:val="22"/>
          <w:szCs w:val="22"/>
          <w:color w:val="auto"/>
        </w:rPr>
        <w:t xml:space="preserve"> Loan, 1.50% per annum, and (b) with respect to any ABR Loan, 0.50% per annum.</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Application</w:t>
      </w:r>
      <w:r>
        <w:rPr>
          <w:rFonts w:ascii="Arial" w:cs="Arial" w:eastAsia="Arial" w:hAnsi="Arial"/>
          <w:sz w:val="22"/>
          <w:szCs w:val="22"/>
          <w:color w:val="auto"/>
        </w:rPr>
        <w:t>” means an application or agreement, in a form as the applicable Issuing Bank may specify as the form for use by its customers from time to time, executed and delivered by the Borrowers to the Administrative Agent and the applicable Issuing Bank, requesting such Issuing Bank to issue a Letter of Credit.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10.4</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Arrangers</w:t>
      </w:r>
      <w:r>
        <w:rPr>
          <w:rFonts w:ascii="Arial" w:cs="Arial" w:eastAsia="Arial" w:hAnsi="Arial"/>
          <w:sz w:val="22"/>
          <w:szCs w:val="22"/>
          <w:color w:val="auto"/>
        </w:rPr>
        <w:t>” means JPMCB, Silicon Valley Bank and Goldman Sachs Lending Partners LLC, in their capacity as joint lead arrangers, and any successor thereto.</w:t>
      </w:r>
    </w:p>
    <w:p>
      <w:pPr>
        <w:spacing w:after="0" w:line="15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Sale</w:t>
      </w:r>
      <w:r>
        <w:rPr>
          <w:rFonts w:ascii="Arial" w:cs="Arial" w:eastAsia="Arial" w:hAnsi="Arial"/>
          <w:sz w:val="22"/>
          <w:szCs w:val="22"/>
          <w:color w:val="auto"/>
        </w:rPr>
        <w:t>” means a sale, lease (as lessor or sublessor), sale and leaseback, license (as licensor or sublicensor), exchange, transfer or other disposition to, any Person, in one transaction or a series of transactions, of all or any part of Holdings’ or any of its Restricted Subsidiaries’ businesses, assets or properties of any kind, whether real, personal, or mixed and whether tangible or intangible, whether now owned or hereafter acquired, including the Equity Interests of any of Holdings’ Subsidiaries, other than:</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 inventory (or other assets, including intangible assets) sold, leased or licensed out in the ordinary course of</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business,</w:t>
      </w:r>
    </w:p>
    <w:p>
      <w:pPr>
        <w:spacing w:after="0" w:line="161" w:lineRule="exact"/>
        <w:rPr>
          <w:sz w:val="20"/>
          <w:szCs w:val="20"/>
          <w:color w:val="auto"/>
        </w:rPr>
      </w:pPr>
    </w:p>
    <w:p>
      <w:pPr>
        <w:ind w:left="1600" w:hanging="296"/>
        <w:spacing w:after="0"/>
        <w:tabs>
          <w:tab w:leader="none" w:pos="16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obsolete, surplus or worn-out property,</w:t>
      </w:r>
    </w:p>
    <w:p>
      <w:pPr>
        <w:spacing w:after="0" w:line="179" w:lineRule="exact"/>
        <w:rPr>
          <w:rFonts w:ascii="Arial" w:cs="Arial" w:eastAsia="Arial" w:hAnsi="Arial"/>
          <w:sz w:val="22"/>
          <w:szCs w:val="22"/>
          <w:color w:val="auto"/>
        </w:rPr>
      </w:pPr>
    </w:p>
    <w:p>
      <w:pPr>
        <w:ind w:left="1600" w:hanging="296"/>
        <w:spacing w:after="0"/>
        <w:tabs>
          <w:tab w:leader="none" w:pos="16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sales or other dispositions of Cash Equivalents for the fair market value thereof,</w:t>
      </w:r>
    </w:p>
    <w:p>
      <w:pPr>
        <w:sectPr>
          <w:pgSz w:w="11900" w:h="16838" w:orient="portrait"/>
          <w:cols w:equalWidth="0" w:num="1">
            <w:col w:w="11240"/>
          </w:cols>
          <w:pgMar w:left="320" w:top="1401" w:right="339" w:bottom="1440" w:gutter="0" w:footer="0" w:header="0"/>
        </w:sectPr>
      </w:pPr>
    </w:p>
    <w:bookmarkStart w:id="56" w:name="page57"/>
    <w:bookmarkEnd w:id="56"/>
    <w:p>
      <w:pPr>
        <w:ind w:left="-1120" w:firstLine="1304"/>
        <w:spacing w:after="0" w:line="232" w:lineRule="auto"/>
        <w:tabs>
          <w:tab w:leader="none" w:pos="483" w:val="left"/>
        </w:tabs>
        <w:numPr>
          <w:ilvl w:val="0"/>
          <w:numId w:val="38"/>
        </w:numPr>
        <w:rPr>
          <w:rFonts w:ascii="Arial" w:cs="Arial" w:eastAsia="Arial" w:hAnsi="Arial"/>
          <w:sz w:val="22"/>
          <w:szCs w:val="22"/>
          <w:color w:val="auto"/>
        </w:rPr>
      </w:pPr>
      <w:r>
        <w:rPr>
          <w:rFonts w:ascii="Arial" w:cs="Arial" w:eastAsia="Arial" w:hAnsi="Arial"/>
          <w:sz w:val="22"/>
          <w:szCs w:val="22"/>
          <w:color w:val="auto"/>
        </w:rPr>
        <w:t>dispositions of property (including the sale of any Equity Interest owned by such Person) from Holdings or any of its Restricted Subsidiaries to Holdings or any of its Restricted Subsidiaries,</w:t>
      </w:r>
    </w:p>
    <w:p>
      <w:pPr>
        <w:spacing w:after="0" w:line="158" w:lineRule="exact"/>
        <w:rPr>
          <w:rFonts w:ascii="Arial" w:cs="Arial" w:eastAsia="Arial" w:hAnsi="Arial"/>
          <w:sz w:val="22"/>
          <w:szCs w:val="22"/>
          <w:color w:val="auto"/>
        </w:rPr>
      </w:pPr>
    </w:p>
    <w:p>
      <w:pPr>
        <w:ind w:left="480" w:hanging="296"/>
        <w:spacing w:after="0"/>
        <w:tabs>
          <w:tab w:leader="none" w:pos="4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dispositions of property in connection with casualty or condemnation events,</w:t>
      </w:r>
    </w:p>
    <w:p>
      <w:pPr>
        <w:spacing w:after="0" w:line="179" w:lineRule="exact"/>
        <w:rPr>
          <w:rFonts w:ascii="Arial" w:cs="Arial" w:eastAsia="Arial" w:hAnsi="Arial"/>
          <w:sz w:val="22"/>
          <w:szCs w:val="22"/>
          <w:color w:val="auto"/>
        </w:rPr>
      </w:pPr>
    </w:p>
    <w:p>
      <w:pPr>
        <w:ind w:left="-1120" w:firstLine="1304"/>
        <w:spacing w:after="0" w:line="232" w:lineRule="auto"/>
        <w:tabs>
          <w:tab w:leader="none" w:pos="476" w:val="left"/>
        </w:tabs>
        <w:numPr>
          <w:ilvl w:val="0"/>
          <w:numId w:val="38"/>
        </w:numPr>
        <w:rPr>
          <w:rFonts w:ascii="Arial" w:cs="Arial" w:eastAsia="Arial" w:hAnsi="Arial"/>
          <w:sz w:val="22"/>
          <w:szCs w:val="22"/>
          <w:color w:val="auto"/>
        </w:rPr>
      </w:pPr>
      <w:r>
        <w:rPr>
          <w:rFonts w:ascii="Arial" w:cs="Arial" w:eastAsia="Arial" w:hAnsi="Arial"/>
          <w:sz w:val="22"/>
          <w:szCs w:val="22"/>
          <w:color w:val="auto"/>
        </w:rPr>
        <w:t>sales, transfers, dispositions or discounts of past due accounts receivable in connection with the collection, write down or compromise thereof in the ordinary course of business,</w:t>
      </w:r>
    </w:p>
    <w:p>
      <w:pPr>
        <w:spacing w:after="0" w:line="158" w:lineRule="exact"/>
        <w:rPr>
          <w:rFonts w:ascii="Arial" w:cs="Arial" w:eastAsia="Arial" w:hAnsi="Arial"/>
          <w:sz w:val="22"/>
          <w:szCs w:val="22"/>
          <w:color w:val="auto"/>
        </w:rPr>
      </w:pPr>
    </w:p>
    <w:p>
      <w:pPr>
        <w:jc w:val="both"/>
        <w:ind w:left="-1120" w:firstLine="1304"/>
        <w:spacing w:after="0" w:line="223" w:lineRule="auto"/>
        <w:tabs>
          <w:tab w:leader="none" w:pos="494" w:val="left"/>
        </w:tabs>
        <w:numPr>
          <w:ilvl w:val="0"/>
          <w:numId w:val="38"/>
        </w:numPr>
        <w:rPr>
          <w:rFonts w:ascii="Arial" w:cs="Arial" w:eastAsia="Arial" w:hAnsi="Arial"/>
          <w:sz w:val="22"/>
          <w:szCs w:val="22"/>
          <w:color w:val="auto"/>
        </w:rPr>
      </w:pPr>
      <w:r>
        <w:rPr>
          <w:rFonts w:ascii="Arial" w:cs="Arial" w:eastAsia="Arial" w:hAnsi="Arial"/>
          <w:sz w:val="22"/>
          <w:szCs w:val="22"/>
          <w:color w:val="auto"/>
        </w:rPr>
        <w:t>dispositions of property to the extent that (x) such property is exchanged for credit against the purchase price of similar replacement property or (y) the proceeds of such disposition are promptly applied to the purchase price of such replacement property,</w:t>
      </w:r>
    </w:p>
    <w:p>
      <w:pPr>
        <w:spacing w:after="0" w:line="158" w:lineRule="exact"/>
        <w:rPr>
          <w:rFonts w:ascii="Arial" w:cs="Arial" w:eastAsia="Arial" w:hAnsi="Arial"/>
          <w:sz w:val="22"/>
          <w:szCs w:val="22"/>
          <w:color w:val="auto"/>
        </w:rPr>
      </w:pPr>
    </w:p>
    <w:p>
      <w:pPr>
        <w:ind w:left="480" w:hanging="296"/>
        <w:spacing w:after="0"/>
        <w:tabs>
          <w:tab w:leader="none" w:pos="4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 xml:space="preserve">dispositions permitted by clause (a) of </w:t>
      </w:r>
      <w:r>
        <w:rPr>
          <w:rFonts w:ascii="Arial" w:cs="Arial" w:eastAsia="Arial" w:hAnsi="Arial"/>
          <w:sz w:val="22"/>
          <w:szCs w:val="22"/>
          <w:u w:val="single" w:color="auto"/>
          <w:color w:val="auto"/>
        </w:rPr>
        <w:t>Section 6.3</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120" w:firstLine="1304"/>
        <w:spacing w:after="0" w:line="218" w:lineRule="auto"/>
        <w:tabs>
          <w:tab w:leader="none" w:pos="47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non-exclusive licensing or other use of patents, trademarks, copyrights, and other Intellectual Property rights in the ordinary course of business; and (ii) licensing of patents, trademarks, copyrights, and other Intellectual Property rights customary for companies of similar size and in the same industry as Borrower which would not result in a legal transfer of title of such licensed Intellectual Property, but that may be exclusive,</w:t>
      </w:r>
    </w:p>
    <w:p>
      <w:pPr>
        <w:spacing w:after="0" w:line="160" w:lineRule="exact"/>
        <w:rPr>
          <w:rFonts w:ascii="Arial" w:cs="Arial" w:eastAsia="Arial" w:hAnsi="Arial"/>
          <w:sz w:val="22"/>
          <w:szCs w:val="22"/>
          <w:color w:val="auto"/>
        </w:rPr>
      </w:pPr>
    </w:p>
    <w:p>
      <w:pPr>
        <w:ind w:left="-1120" w:firstLine="1304"/>
        <w:spacing w:after="0" w:line="232" w:lineRule="auto"/>
        <w:tabs>
          <w:tab w:leader="none" w:pos="436" w:val="left"/>
        </w:tabs>
        <w:numPr>
          <w:ilvl w:val="0"/>
          <w:numId w:val="38"/>
        </w:numPr>
        <w:rPr>
          <w:rFonts w:ascii="Arial" w:cs="Arial" w:eastAsia="Arial" w:hAnsi="Arial"/>
          <w:sz w:val="22"/>
          <w:szCs w:val="22"/>
          <w:color w:val="auto"/>
        </w:rPr>
      </w:pPr>
      <w:r>
        <w:rPr>
          <w:rFonts w:ascii="Arial" w:cs="Arial" w:eastAsia="Arial" w:hAnsi="Arial"/>
          <w:sz w:val="22"/>
          <w:szCs w:val="22"/>
          <w:color w:val="auto"/>
        </w:rPr>
        <w:t>dispositions of assets acquired in connection with (or owned by a Person that is acquired in connection with) an Acquisition for the fair market value thereof (as determined in good faith by Holdings),</w:t>
      </w:r>
    </w:p>
    <w:p>
      <w:pPr>
        <w:spacing w:after="0" w:line="158" w:lineRule="exact"/>
        <w:rPr>
          <w:rFonts w:ascii="Arial" w:cs="Arial" w:eastAsia="Arial" w:hAnsi="Arial"/>
          <w:sz w:val="22"/>
          <w:szCs w:val="22"/>
          <w:color w:val="auto"/>
        </w:rPr>
      </w:pPr>
    </w:p>
    <w:p>
      <w:pPr>
        <w:jc w:val="both"/>
        <w:ind w:left="-1120" w:firstLine="1304"/>
        <w:spacing w:after="0" w:line="247" w:lineRule="auto"/>
        <w:tabs>
          <w:tab w:leader="none" w:pos="488"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any other sale, lease, sale and leaseback, license, exchange, transfer or other disposition of assets or properties for fair market value (as determined in good faith by Holdings);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Default or Event of Default exists at the time of or would result from such disposition and (ii) the sum of (A) the aggregate consideration received or to be received in respect of such disposition plus (B) the aggregate consideration received or to be received in respect of all other dispositions effected in reliance on this clause (k) during such fiscal year prior to or concurrently with such disposition shall not exceed the greater of $10,000,000 and 2.5% of Consolidated Total Assets as of the last day of the most recently ended fiscal quarter for which financial statements have been or are required to be delivered pursuant to </w:t>
      </w:r>
      <w:r>
        <w:rPr>
          <w:rFonts w:ascii="Arial" w:cs="Arial" w:eastAsia="Arial" w:hAnsi="Arial"/>
          <w:sz w:val="19"/>
          <w:szCs w:val="19"/>
          <w:u w:val="single" w:color="auto"/>
          <w:color w:val="auto"/>
        </w:rPr>
        <w:t>Section 5.1(a)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in any fiscal year,</w:t>
      </w:r>
    </w:p>
    <w:p>
      <w:pPr>
        <w:spacing w:after="0" w:line="153" w:lineRule="exact"/>
        <w:rPr>
          <w:rFonts w:ascii="Arial" w:cs="Arial" w:eastAsia="Arial" w:hAnsi="Arial"/>
          <w:sz w:val="19"/>
          <w:szCs w:val="19"/>
          <w:color w:val="auto"/>
        </w:rPr>
      </w:pPr>
    </w:p>
    <w:p>
      <w:pPr>
        <w:ind w:left="-1120" w:firstLine="1304"/>
        <w:spacing w:after="0" w:line="247" w:lineRule="auto"/>
        <w:tabs>
          <w:tab w:leader="none" w:pos="497" w:val="left"/>
        </w:tabs>
        <w:numPr>
          <w:ilvl w:val="0"/>
          <w:numId w:val="38"/>
        </w:numPr>
        <w:rPr>
          <w:rFonts w:ascii="Arial" w:cs="Arial" w:eastAsia="Arial" w:hAnsi="Arial"/>
          <w:sz w:val="21"/>
          <w:szCs w:val="21"/>
          <w:color w:val="auto"/>
        </w:rPr>
      </w:pPr>
      <w:r>
        <w:rPr>
          <w:rFonts w:ascii="Arial" w:cs="Arial" w:eastAsia="Arial" w:hAnsi="Arial"/>
          <w:sz w:val="21"/>
          <w:szCs w:val="21"/>
          <w:color w:val="auto"/>
        </w:rPr>
        <w:t>the unwinding of any Swap Agreement permitted hereunder or any Permitted Call Spread Transaction permitted hereunder, in each case, to the extent that such unwinding otherwise constitutes an Asset Sale,</w:t>
      </w:r>
    </w:p>
    <w:p>
      <w:pPr>
        <w:spacing w:after="0" w:line="150" w:lineRule="exact"/>
        <w:rPr>
          <w:rFonts w:ascii="Arial" w:cs="Arial" w:eastAsia="Arial" w:hAnsi="Arial"/>
          <w:sz w:val="21"/>
          <w:szCs w:val="21"/>
          <w:color w:val="auto"/>
        </w:rPr>
      </w:pPr>
    </w:p>
    <w:p>
      <w:pPr>
        <w:ind w:left="-1120" w:firstLine="1304"/>
        <w:spacing w:after="0" w:line="232" w:lineRule="auto"/>
        <w:tabs>
          <w:tab w:leader="none" w:pos="5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Restricted Payments not prohibited by Section 6.4, Investments not prohibited by Section 6.7 and Liens not prohibited by Section 6.2,</w:t>
      </w:r>
    </w:p>
    <w:p>
      <w:pPr>
        <w:spacing w:after="0" w:line="158" w:lineRule="exact"/>
        <w:rPr>
          <w:rFonts w:ascii="Arial" w:cs="Arial" w:eastAsia="Arial" w:hAnsi="Arial"/>
          <w:sz w:val="22"/>
          <w:szCs w:val="22"/>
          <w:color w:val="auto"/>
        </w:rPr>
      </w:pPr>
    </w:p>
    <w:p>
      <w:pPr>
        <w:jc w:val="both"/>
        <w:ind w:left="-1120" w:firstLine="1304"/>
        <w:spacing w:after="0" w:line="223" w:lineRule="auto"/>
        <w:tabs>
          <w:tab w:leader="none" w:pos="495" w:val="left"/>
        </w:tabs>
        <w:numPr>
          <w:ilvl w:val="0"/>
          <w:numId w:val="38"/>
        </w:numPr>
        <w:rPr>
          <w:rFonts w:ascii="Arial" w:cs="Arial" w:eastAsia="Arial" w:hAnsi="Arial"/>
          <w:sz w:val="22"/>
          <w:szCs w:val="22"/>
          <w:color w:val="auto"/>
        </w:rPr>
      </w:pPr>
      <w:r>
        <w:rPr>
          <w:rFonts w:ascii="Arial" w:cs="Arial" w:eastAsia="Arial" w:hAnsi="Arial"/>
          <w:sz w:val="22"/>
          <w:szCs w:val="22"/>
          <w:color w:val="auto"/>
        </w:rPr>
        <w:t>any abandonment, cancellation, non-renewal or discontinuance of use or maintenance of Intellectual Property (or rights relating thereto) that a Borrower determines in good faith is desirable in the conduct of its business and not materially disadvantageous to the interests of the Lenders,</w:t>
      </w:r>
    </w:p>
    <w:p>
      <w:pPr>
        <w:spacing w:after="0" w:line="158" w:lineRule="exact"/>
        <w:rPr>
          <w:rFonts w:ascii="Arial" w:cs="Arial" w:eastAsia="Arial" w:hAnsi="Arial"/>
          <w:sz w:val="22"/>
          <w:szCs w:val="22"/>
          <w:color w:val="auto"/>
        </w:rPr>
      </w:pPr>
    </w:p>
    <w:p>
      <w:pPr>
        <w:ind w:left="480" w:hanging="296"/>
        <w:spacing w:after="0"/>
        <w:tabs>
          <w:tab w:leader="none" w:pos="4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leases or subleases of real property,</w:t>
      </w:r>
    </w:p>
    <w:p>
      <w:pPr>
        <w:spacing w:after="0" w:line="179" w:lineRule="exact"/>
        <w:rPr>
          <w:rFonts w:ascii="Arial" w:cs="Arial" w:eastAsia="Arial" w:hAnsi="Arial"/>
          <w:sz w:val="22"/>
          <w:szCs w:val="22"/>
          <w:color w:val="auto"/>
        </w:rPr>
      </w:pPr>
    </w:p>
    <w:p>
      <w:pPr>
        <w:jc w:val="both"/>
        <w:ind w:left="-1120" w:firstLine="1304"/>
        <w:spacing w:after="0" w:line="223" w:lineRule="auto"/>
        <w:tabs>
          <w:tab w:leader="none" w:pos="484" w:val="left"/>
        </w:tabs>
        <w:numPr>
          <w:ilvl w:val="0"/>
          <w:numId w:val="38"/>
        </w:numPr>
        <w:rPr>
          <w:rFonts w:ascii="Arial" w:cs="Arial" w:eastAsia="Arial" w:hAnsi="Arial"/>
          <w:sz w:val="22"/>
          <w:szCs w:val="22"/>
          <w:color w:val="auto"/>
        </w:rPr>
      </w:pPr>
      <w:r>
        <w:rPr>
          <w:rFonts w:ascii="Arial" w:cs="Arial" w:eastAsia="Arial" w:hAnsi="Arial"/>
          <w:sz w:val="22"/>
          <w:szCs w:val="22"/>
          <w:color w:val="auto"/>
        </w:rPr>
        <w:t>dispositions of property to the extent that (i) such property is exchanged for credit against the purchase price of similar replacement property or (ii) the proceeds of such disposition are promptly applied to the purchase price of such replacement property,</w:t>
      </w:r>
    </w:p>
    <w:p>
      <w:pPr>
        <w:sectPr>
          <w:pgSz w:w="11900" w:h="16838" w:orient="portrait"/>
          <w:cols w:equalWidth="0" w:num="1">
            <w:col w:w="10120"/>
          </w:cols>
          <w:pgMar w:left="1440" w:top="1401" w:right="339" w:bottom="1440" w:gutter="0" w:footer="0" w:header="0"/>
        </w:sectPr>
      </w:pPr>
    </w:p>
    <w:bookmarkStart w:id="57" w:name="page58"/>
    <w:bookmarkEnd w:id="57"/>
    <w:p>
      <w:pPr>
        <w:ind w:firstLine="1304"/>
        <w:spacing w:after="0" w:line="232" w:lineRule="auto"/>
        <w:tabs>
          <w:tab w:leader="none" w:pos="161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use or transfer of cash or Cash Equivalents in a manner that is not otherwise prohibited by this Agreement or the other Loan Documents, and</w:t>
      </w:r>
    </w:p>
    <w:p>
      <w:pPr>
        <w:spacing w:after="0" w:line="158" w:lineRule="exact"/>
        <w:rPr>
          <w:rFonts w:ascii="Arial" w:cs="Arial" w:eastAsia="Arial" w:hAnsi="Arial"/>
          <w:sz w:val="22"/>
          <w:szCs w:val="22"/>
          <w:color w:val="auto"/>
        </w:rPr>
      </w:pPr>
    </w:p>
    <w:p>
      <w:pPr>
        <w:ind w:firstLine="1304"/>
        <w:spacing w:after="0" w:line="232" w:lineRule="auto"/>
        <w:tabs>
          <w:tab w:leader="none" w:pos="1574" w:val="left"/>
        </w:tabs>
        <w:numPr>
          <w:ilvl w:val="0"/>
          <w:numId w:val="39"/>
        </w:numPr>
        <w:rPr>
          <w:rFonts w:ascii="Arial" w:cs="Arial" w:eastAsia="Arial" w:hAnsi="Arial"/>
          <w:sz w:val="22"/>
          <w:szCs w:val="22"/>
          <w:color w:val="auto"/>
        </w:rPr>
      </w:pPr>
      <w:r>
        <w:rPr>
          <w:rFonts w:ascii="Arial" w:cs="Arial" w:eastAsia="Arial" w:hAnsi="Arial"/>
          <w:sz w:val="22"/>
          <w:szCs w:val="22"/>
          <w:color w:val="auto"/>
        </w:rPr>
        <w:t>any other sale, lease, sale and leaseback, license, exchange, transfer or other disposition of assets or properties by a Foreign Subsidiary to a Loan Party or another Foreign Subsidiary.</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xml:space="preserve">” means an assignment and assumption entered into by a Lender and an assignee (with the consent of any party whose consent is required by </w:t>
      </w:r>
      <w:r>
        <w:rPr>
          <w:rFonts w:ascii="Arial" w:cs="Arial" w:eastAsia="Arial" w:hAnsi="Arial"/>
          <w:sz w:val="22"/>
          <w:szCs w:val="22"/>
          <w:u w:val="single" w:color="auto"/>
          <w:color w:val="auto"/>
        </w:rPr>
        <w:t>Section 10.4</w:t>
      </w:r>
      <w:r>
        <w:rPr>
          <w:rFonts w:ascii="Arial" w:cs="Arial" w:eastAsia="Arial" w:hAnsi="Arial"/>
          <w:sz w:val="22"/>
          <w:szCs w:val="22"/>
          <w:color w:val="auto"/>
        </w:rPr>
        <w:t xml:space="preserve">), and accepted by the Administrative Agent,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or any other form (including electronic records generated by use of an electronic platform) approved by the Administrative Agent.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Assuming Lender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2.19(c)</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ASU 842</w:t>
      </w:r>
      <w:r>
        <w:rPr>
          <w:rFonts w:ascii="Arial" w:cs="Arial" w:eastAsia="Arial" w:hAnsi="Arial"/>
          <w:sz w:val="22"/>
          <w:szCs w:val="22"/>
          <w:color w:val="auto"/>
        </w:rPr>
        <w:t>” has the meaning set forth in the definition of “Capital Lease Obligations”.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Australian Dollar</w:t>
      </w:r>
      <w:r>
        <w:rPr>
          <w:rFonts w:ascii="Arial" w:cs="Arial" w:eastAsia="Arial" w:hAnsi="Arial"/>
          <w:sz w:val="22"/>
          <w:szCs w:val="22"/>
          <w:color w:val="auto"/>
        </w:rPr>
        <w:t>” means the lawful currency of Australia.</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Auto-Extension Letter of Credit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2.4(a)</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Availability Period</w:t>
      </w:r>
      <w:r>
        <w:rPr>
          <w:rFonts w:ascii="Arial" w:cs="Arial" w:eastAsia="Arial" w:hAnsi="Arial"/>
          <w:sz w:val="22"/>
          <w:szCs w:val="22"/>
          <w:color w:val="auto"/>
        </w:rPr>
        <w:t>” means the period from and including the Effective Date to but excluding the Commitment Termination Date.</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Revolving Commitments</w:t>
      </w:r>
      <w:r>
        <w:rPr>
          <w:rFonts w:ascii="Arial" w:cs="Arial" w:eastAsia="Arial" w:hAnsi="Arial"/>
          <w:sz w:val="22"/>
          <w:szCs w:val="22"/>
          <w:color w:val="auto"/>
        </w:rPr>
        <w:t>” mean, as of any date, the aggregate amount of Commitments then in effect minus the aggregate amount of Revolving Exposure then outstanding.</w:t>
      </w:r>
    </w:p>
    <w:p>
      <w:pPr>
        <w:spacing w:after="0" w:line="15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Tenor</w:t>
      </w:r>
      <w:r>
        <w:rPr>
          <w:rFonts w:ascii="Arial" w:cs="Arial" w:eastAsia="Arial" w:hAnsi="Arial"/>
          <w:sz w:val="19"/>
          <w:szCs w:val="19"/>
          <w:color w:val="auto"/>
        </w:rPr>
        <w:t>” means, as of any date of determination and with respect to the then-current Benchmark (or component thereof),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w:t>
      </w:r>
      <w:r>
        <w:rPr>
          <w:rFonts w:ascii="Arial" w:cs="Arial" w:eastAsia="Arial" w:hAnsi="Arial"/>
          <w:sz w:val="19"/>
          <w:szCs w:val="19"/>
          <w:color w:val="FF0000"/>
          <w:strike w:val="1"/>
        </w:rPr>
        <w:t>f</w:t>
      </w:r>
      <w:r>
        <w:rPr>
          <w:rFonts w:ascii="Arial" w:cs="Arial" w:eastAsia="Arial" w:hAnsi="Arial"/>
          <w:sz w:val="19"/>
          <w:szCs w:val="19"/>
          <w:u w:val="single" w:color="auto"/>
          <w:color w:val="0000FF"/>
          <w:highlight w:val="lightGray"/>
        </w:rPr>
        <w:t>e</w:t>
      </w:r>
      <w:r>
        <w:rPr>
          <w:rFonts w:ascii="Arial" w:cs="Arial" w:eastAsia="Arial" w:hAnsi="Arial"/>
          <w:sz w:val="19"/>
          <w:szCs w:val="19"/>
          <w:color w:val="auto"/>
        </w:rPr>
        <w:t>) of Section 2.13.</w:t>
      </w:r>
    </w:p>
    <w:p>
      <w:pPr>
        <w:spacing w:after="0" w:line="152"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firstLine="1296"/>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ectPr>
          <w:pgSz w:w="11900" w:h="16838" w:orient="portrait"/>
          <w:cols w:equalWidth="0" w:num="1">
            <w:col w:w="11240"/>
          </w:cols>
          <w:pgMar w:left="320" w:top="1401" w:right="339" w:bottom="1440" w:gutter="0" w:footer="0" w:header="0"/>
        </w:sectPr>
      </w:pPr>
    </w:p>
    <w:bookmarkStart w:id="58" w:name="page59"/>
    <w:bookmarkEnd w:id="58"/>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xml:space="preserve"> ” means Chapter 11 of Title 11 of the United States Code, as amended from time to time and any successor statute and all rules and regulations promulgated thereunder.</w:t>
      </w:r>
    </w:p>
    <w:p>
      <w:pPr>
        <w:spacing w:after="0" w:line="159"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w:t>
      </w:r>
      <w:r>
        <w:rPr>
          <w:rFonts w:ascii="Arial" w:cs="Arial" w:eastAsia="Arial" w:hAnsi="Arial"/>
          <w:sz w:val="21"/>
          <w:szCs w:val="21"/>
          <w:color w:val="auto"/>
        </w:rPr>
        <w:t xml:space="preserve">” means, initially, </w:t>
      </w:r>
      <w:r>
        <w:rPr>
          <w:rFonts w:ascii="Arial" w:cs="Arial" w:eastAsia="Arial" w:hAnsi="Arial"/>
          <w:sz w:val="21"/>
          <w:szCs w:val="21"/>
          <w:color w:val="FF0000"/>
          <w:strike w:val="1"/>
        </w:rPr>
        <w:t>LIBO</w:t>
      </w:r>
      <w:r>
        <w:rPr>
          <w:rFonts w:ascii="Arial" w:cs="Arial" w:eastAsia="Arial" w:hAnsi="Arial"/>
          <w:sz w:val="21"/>
          <w:szCs w:val="21"/>
          <w:u w:val="single" w:color="auto"/>
          <w:color w:val="0000FF"/>
          <w:highlight w:val="lightGray"/>
        </w:rPr>
        <w:t>the Term SOFR</w:t>
      </w:r>
      <w:r>
        <w:rPr>
          <w:rFonts w:ascii="Arial" w:cs="Arial" w:eastAsia="Arial" w:hAnsi="Arial"/>
          <w:sz w:val="21"/>
          <w:szCs w:val="21"/>
          <w:color w:val="auto"/>
        </w:rPr>
        <w:t xml:space="preserve"> Rate;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 Benchmark Transition Event</w:t>
      </w:r>
      <w:r>
        <w:rPr>
          <w:rFonts w:ascii="Arial" w:cs="Arial" w:eastAsia="Arial" w:hAnsi="Arial"/>
          <w:sz w:val="21"/>
          <w:szCs w:val="21"/>
          <w:color w:val="FF0000"/>
          <w:strike w:val="1"/>
        </w:rPr>
        <w:t>, a Term</w:t>
      </w:r>
      <w:r>
        <w:rPr>
          <w:rFonts w:ascii="Arial" w:cs="Arial" w:eastAsia="Arial" w:hAnsi="Arial"/>
          <w:sz w:val="21"/>
          <w:szCs w:val="21"/>
          <w:color w:val="auto"/>
        </w:rPr>
        <w:t xml:space="preserve"> </w:t>
      </w:r>
      <w:r>
        <w:rPr>
          <w:rFonts w:ascii="Arial" w:cs="Arial" w:eastAsia="Arial" w:hAnsi="Arial"/>
          <w:sz w:val="21"/>
          <w:szCs w:val="21"/>
          <w:color w:val="FF0000"/>
          <w:strike w:val="1"/>
        </w:rPr>
        <w:t>SOFR Transition Event, an Early Opt-in Election or an Other Benchmark Rate Election, as applicable, and its</w:t>
      </w:r>
      <w:r>
        <w:rPr>
          <w:rFonts w:ascii="Arial" w:cs="Arial" w:eastAsia="Arial" w:hAnsi="Arial"/>
          <w:sz w:val="21"/>
          <w:szCs w:val="21"/>
          <w:color w:val="FF0000"/>
        </w:rPr>
        <w:t xml:space="preserve"> </w:t>
      </w:r>
      <w:r>
        <w:rPr>
          <w:rFonts w:ascii="Arial" w:cs="Arial" w:eastAsia="Arial" w:hAnsi="Arial"/>
          <w:sz w:val="21"/>
          <w:szCs w:val="21"/>
          <w:u w:val="single" w:color="auto"/>
          <w:color w:val="0000FF"/>
          <w:highlight w:val="lightGray"/>
        </w:rPr>
        <w:t>and the</w:t>
      </w:r>
      <w:r>
        <w:rPr>
          <w:rFonts w:ascii="Arial" w:cs="Arial" w:eastAsia="Arial" w:hAnsi="Arial"/>
          <w:sz w:val="21"/>
          <w:szCs w:val="21"/>
          <w:color w:val="FF0000"/>
        </w:rPr>
        <w:t xml:space="preserve"> </w:t>
      </w:r>
      <w:r>
        <w:rPr>
          <w:rFonts w:ascii="Arial" w:cs="Arial" w:eastAsia="Arial" w:hAnsi="Arial"/>
          <w:sz w:val="21"/>
          <w:szCs w:val="21"/>
          <w:color w:val="000000"/>
        </w:rPr>
        <w:t>related</w:t>
      </w:r>
      <w:r>
        <w:rPr>
          <w:rFonts w:ascii="Arial" w:cs="Arial" w:eastAsia="Arial" w:hAnsi="Arial"/>
          <w:sz w:val="21"/>
          <w:szCs w:val="21"/>
          <w:color w:val="FF0000"/>
        </w:rPr>
        <w:t xml:space="preserve"> </w:t>
      </w:r>
      <w:r>
        <w:rPr>
          <w:rFonts w:ascii="Arial" w:cs="Arial" w:eastAsia="Arial" w:hAnsi="Arial"/>
          <w:sz w:val="21"/>
          <w:szCs w:val="21"/>
          <w:color w:val="000000"/>
        </w:rPr>
        <w:t xml:space="preserve">Benchmark Replacement Date have occurred with respect to </w:t>
      </w:r>
      <w:r>
        <w:rPr>
          <w:rFonts w:ascii="Arial" w:cs="Arial" w:eastAsia="Arial" w:hAnsi="Arial"/>
          <w:sz w:val="21"/>
          <w:szCs w:val="21"/>
          <w:color w:val="FF0000"/>
          <w:strike w:val="1"/>
        </w:rPr>
        <w:t>LIBO</w:t>
      </w:r>
      <w:r>
        <w:rPr>
          <w:rFonts w:ascii="Arial" w:cs="Arial" w:eastAsia="Arial" w:hAnsi="Arial"/>
          <w:sz w:val="21"/>
          <w:szCs w:val="21"/>
          <w:u w:val="single" w:color="auto"/>
          <w:color w:val="0000FF"/>
          <w:highlight w:val="lightGray"/>
        </w:rPr>
        <w:t>the Term SOFR</w:t>
      </w:r>
      <w:r>
        <w:rPr>
          <w:rFonts w:ascii="Arial" w:cs="Arial" w:eastAsia="Arial" w:hAnsi="Arial"/>
          <w:sz w:val="21"/>
          <w:szCs w:val="21"/>
          <w:color w:val="000000"/>
        </w:rPr>
        <w:t xml:space="preserve"> Rate or the then-current Benchmark, then “Benchmark” means the applicable Benchmark Replacement to the extent that such Benchmark Replacement has replaced such prior benchmark rate pursuant to clause (b) </w:t>
      </w:r>
      <w:r>
        <w:rPr>
          <w:rFonts w:ascii="Arial" w:cs="Arial" w:eastAsia="Arial" w:hAnsi="Arial"/>
          <w:sz w:val="21"/>
          <w:szCs w:val="21"/>
          <w:color w:val="FF0000"/>
          <w:strike w:val="1"/>
        </w:rPr>
        <w:t>or clause (c)</w:t>
      </w:r>
      <w:r>
        <w:rPr>
          <w:rFonts w:ascii="Arial" w:cs="Arial" w:eastAsia="Arial" w:hAnsi="Arial"/>
          <w:sz w:val="21"/>
          <w:szCs w:val="21"/>
          <w:color w:val="000000"/>
        </w:rPr>
        <w:t xml:space="preserve"> of Section 2.13.</w:t>
      </w:r>
    </w:p>
    <w:p>
      <w:pPr>
        <w:spacing w:after="0" w:line="15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w:t>
      </w:r>
      <w:r>
        <w:rPr>
          <w:rFonts w:ascii="Arial" w:cs="Arial" w:eastAsia="Arial" w:hAnsi="Arial"/>
          <w:sz w:val="19"/>
          <w:szCs w:val="19"/>
          <w:color w:val="auto"/>
        </w:rPr>
        <w:t>” means, for any Available Tenor, the first alternative set forth in the order below that can be determined by the Administrative Agent for the applicable Benchmark Replacement Date</w:t>
      </w:r>
      <w:r>
        <w:rPr>
          <w:rFonts w:ascii="Arial" w:cs="Arial" w:eastAsia="Arial" w:hAnsi="Arial"/>
          <w:sz w:val="19"/>
          <w:szCs w:val="19"/>
          <w:color w:val="FF0000"/>
          <w:strike w:val="1"/>
        </w:rPr>
        <w:t>; provided that, in the case of an</w:t>
      </w:r>
      <w:r>
        <w:rPr>
          <w:rFonts w:ascii="Arial" w:cs="Arial" w:eastAsia="Arial" w:hAnsi="Arial"/>
          <w:sz w:val="19"/>
          <w:szCs w:val="19"/>
          <w:color w:val="auto"/>
        </w:rPr>
        <w:t xml:space="preserve"> </w:t>
      </w:r>
      <w:r>
        <w:rPr>
          <w:rFonts w:ascii="Arial" w:cs="Arial" w:eastAsia="Arial" w:hAnsi="Arial"/>
          <w:sz w:val="19"/>
          <w:szCs w:val="19"/>
          <w:color w:val="FF0000"/>
          <w:strike w:val="1"/>
        </w:rPr>
        <w:t>Other Benchmark Rate Election, “Benchmark Replacement” shall mean the alternative set forth in (3) below</w:t>
      </w:r>
      <w:r>
        <w:rPr>
          <w:rFonts w:ascii="Arial" w:cs="Arial" w:eastAsia="Arial" w:hAnsi="Arial"/>
          <w:sz w:val="19"/>
          <w:szCs w:val="19"/>
          <w:color w:val="000000"/>
        </w:rPr>
        <w:t>:</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22"/>
          <w:szCs w:val="22"/>
          <w:color w:val="FF0000"/>
          <w:strike w:val="1"/>
        </w:rPr>
        <w:t>(1) the sum of: (a) Term SOFR and (b) the related Benchmark Replacement Adjustment;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color w:val="FF0000"/>
          <w:strike w:val="1"/>
        </w:rPr>
        <w:t>2</w:t>
      </w:r>
      <w:r>
        <w:rPr>
          <w:rFonts w:ascii="Arial" w:cs="Arial" w:eastAsia="Arial" w:hAnsi="Arial"/>
          <w:sz w:val="19"/>
          <w:szCs w:val="19"/>
          <w:u w:val="single" w:color="auto"/>
          <w:color w:val="0000FF"/>
          <w:highlight w:val="lightGray"/>
        </w:rPr>
        <w:t>1</w:t>
      </w:r>
      <w:r>
        <w:rPr>
          <w:rFonts w:ascii="Arial" w:cs="Arial" w:eastAsia="Arial" w:hAnsi="Arial"/>
          <w:sz w:val="19"/>
          <w:szCs w:val="19"/>
          <w:color w:val="auto"/>
        </w:rPr>
        <w:t xml:space="preserve">) the </w:t>
      </w:r>
      <w:r>
        <w:rPr>
          <w:rFonts w:ascii="Arial" w:cs="Arial" w:eastAsia="Arial" w:hAnsi="Arial"/>
          <w:sz w:val="19"/>
          <w:szCs w:val="19"/>
          <w:color w:val="FF0000"/>
          <w:strike w:val="1"/>
        </w:rPr>
        <w:t>sum of: (a)</w:t>
      </w:r>
      <w:r>
        <w:rPr>
          <w:rFonts w:ascii="Arial" w:cs="Arial" w:eastAsia="Arial" w:hAnsi="Arial"/>
          <w:sz w:val="19"/>
          <w:szCs w:val="19"/>
          <w:u w:val="single" w:color="auto"/>
          <w:color w:val="0000FF"/>
          <w:highlight w:val="lightGray"/>
        </w:rPr>
        <w:t>Adjusted</w:t>
      </w:r>
      <w:r>
        <w:rPr>
          <w:rFonts w:ascii="Arial" w:cs="Arial" w:eastAsia="Arial" w:hAnsi="Arial"/>
          <w:sz w:val="19"/>
          <w:szCs w:val="19"/>
          <w:color w:val="auto"/>
        </w:rPr>
        <w:t xml:space="preserve"> Daily Simple SOFR </w:t>
      </w:r>
      <w:r>
        <w:rPr>
          <w:rFonts w:ascii="Arial" w:cs="Arial" w:eastAsia="Arial" w:hAnsi="Arial"/>
          <w:sz w:val="19"/>
          <w:szCs w:val="19"/>
          <w:color w:val="FF0000"/>
        </w:rPr>
        <w:t>and (b) the related Benchmark Replacement Adjustment</w:t>
      </w:r>
      <w:r>
        <w:rPr>
          <w:rFonts w:ascii="Arial" w:cs="Arial" w:eastAsia="Arial" w:hAnsi="Arial"/>
          <w:sz w:val="19"/>
          <w:szCs w:val="19"/>
          <w:color w:val="auto"/>
        </w:rPr>
        <w:t xml:space="preserve">; </w:t>
      </w:r>
      <w:r>
        <w:rPr>
          <w:rFonts w:ascii="Arial" w:cs="Arial" w:eastAsia="Arial" w:hAnsi="Arial"/>
          <w:sz w:val="19"/>
          <w:szCs w:val="19"/>
          <w:color w:val="0000FF"/>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-124460</wp:posOffset>
            </wp:positionV>
            <wp:extent cx="330835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3308350" cy="145415"/>
                    </a:xfrm>
                    <a:prstGeom prst="rect">
                      <a:avLst/>
                    </a:prstGeom>
                    <a:noFill/>
                  </pic:spPr>
                </pic:pic>
              </a:graphicData>
            </a:graphic>
          </wp:anchor>
        </w:drawing>
      </w:r>
    </w:p>
    <w:p>
      <w:pPr>
        <w:spacing w:after="0" w:line="194"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color w:val="FF0000"/>
          <w:strike w:val="1"/>
        </w:rPr>
        <w:t>3</w:t>
      </w:r>
      <w:r>
        <w:rPr>
          <w:rFonts w:ascii="Arial" w:cs="Arial" w:eastAsia="Arial" w:hAnsi="Arial"/>
          <w:sz w:val="19"/>
          <w:szCs w:val="19"/>
          <w:u w:val="single" w:color="auto"/>
          <w:color w:val="0000FF"/>
          <w:highlight w:val="lightGray"/>
        </w:rPr>
        <w:t>2</w:t>
      </w:r>
      <w:r>
        <w:rPr>
          <w:rFonts w:ascii="Arial" w:cs="Arial" w:eastAsia="Arial" w:hAnsi="Arial"/>
          <w:sz w:val="19"/>
          <w:szCs w:val="19"/>
          <w:color w:val="auto"/>
        </w:rPr>
        <w:t>) the sum of: (a) the alternate benchmark rate that has been selected by the Administrative Agent and the Borrowers as the replacement for the then-current Benchmark for the applicable Corresponding Tenor giving due consideration to</w:t>
      </w:r>
    </w:p>
    <w:p>
      <w:pPr>
        <w:jc w:val="both"/>
        <w:ind w:firstLine="8"/>
        <w:spacing w:after="0" w:line="214" w:lineRule="auto"/>
        <w:tabs>
          <w:tab w:leader="none" w:pos="293" w:val="left"/>
        </w:tabs>
        <w:numPr>
          <w:ilvl w:val="0"/>
          <w:numId w:val="40"/>
        </w:numPr>
        <w:rPr>
          <w:rFonts w:ascii="Arial" w:cs="Arial" w:eastAsia="Arial" w:hAnsi="Arial"/>
          <w:sz w:val="22"/>
          <w:szCs w:val="22"/>
          <w:color w:val="auto"/>
        </w:rPr>
      </w:pPr>
      <w:r>
        <w:rPr>
          <w:rFonts w:ascii="Arial" w:cs="Arial" w:eastAsia="Arial" w:hAnsi="Arial"/>
          <w:sz w:val="22"/>
          <w:szCs w:val="22"/>
          <w:color w:val="auto"/>
        </w:rPr>
        <w:t>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r>
        <w:rPr>
          <w:rFonts w:ascii="Arial" w:cs="Arial" w:eastAsia="Arial" w:hAnsi="Arial"/>
          <w:sz w:val="22"/>
          <w:szCs w:val="22"/>
          <w:color w:val="FF0000"/>
          <w:strike w:val="1"/>
        </w:rPr>
        <w:t>;</w:t>
      </w:r>
      <w:r>
        <w:rPr>
          <w:rFonts w:ascii="Arial" w:cs="Arial" w:eastAsia="Arial" w:hAnsi="Arial"/>
          <w:sz w:val="22"/>
          <w:szCs w:val="22"/>
          <w:u w:val="single" w:color="auto"/>
          <w:color w:val="0000FF"/>
          <w:highlight w:val="lightGray"/>
        </w:rPr>
        <w:t>.</w:t>
      </w:r>
    </w:p>
    <w:p>
      <w:pPr>
        <w:spacing w:after="0" w:line="160"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1"/>
          <w:szCs w:val="21"/>
          <w:u w:val="single" w:color="auto"/>
          <w:color w:val="FF0000"/>
          <w:strike w:val="1"/>
        </w:rPr>
        <w:t>provided that</w:t>
      </w:r>
      <w:r>
        <w:rPr>
          <w:rFonts w:ascii="Arial" w:cs="Arial" w:eastAsia="Arial" w:hAnsi="Arial"/>
          <w:sz w:val="21"/>
          <w:szCs w:val="21"/>
          <w:color w:val="FF0000"/>
          <w:strike w:val="1"/>
        </w:rPr>
        <w:t>, in the case of clause (1), such Unadjusted Benchmark Replacement is displayed on a screen or other</w:t>
      </w:r>
      <w:r>
        <w:rPr>
          <w:rFonts w:ascii="Arial" w:cs="Arial" w:eastAsia="Arial" w:hAnsi="Arial"/>
          <w:sz w:val="21"/>
          <w:szCs w:val="21"/>
          <w:u w:val="single" w:color="auto"/>
          <w:color w:val="FF0000"/>
          <w:strike w:val="1"/>
        </w:rPr>
        <w:t xml:space="preserve"> </w:t>
      </w:r>
      <w:r>
        <w:rPr>
          <w:rFonts w:ascii="Arial" w:cs="Arial" w:eastAsia="Arial" w:hAnsi="Arial"/>
          <w:sz w:val="21"/>
          <w:szCs w:val="21"/>
          <w:color w:val="FF0000"/>
          <w:strike w:val="1"/>
        </w:rPr>
        <w:t xml:space="preserve">information service that publishes such rate from time to time as selected by the Administrative Agent in its reasonable discretion; </w:t>
      </w:r>
      <w:r>
        <w:rPr>
          <w:rFonts w:ascii="Arial" w:cs="Arial" w:eastAsia="Arial" w:hAnsi="Arial"/>
          <w:sz w:val="21"/>
          <w:szCs w:val="21"/>
          <w:u w:val="single" w:color="auto"/>
          <w:color w:val="FF0000"/>
          <w:strike w:val="1"/>
        </w:rPr>
        <w:t>provided further</w:t>
      </w:r>
      <w:r>
        <w:rPr>
          <w:rFonts w:ascii="Arial" w:cs="Arial" w:eastAsia="Arial" w:hAnsi="Arial"/>
          <w:sz w:val="21"/>
          <w:szCs w:val="21"/>
          <w:color w:val="FF0000"/>
          <w:strike w:val="1"/>
        </w:rPr>
        <w:t xml:space="preserve"> that, in the case of clause (3), when such clause is used to determine the Benchmark Replacement in connection with the occurrence of an Other Benchmark Rate Election, the alternate benchmark rate selected by the Administrative Agent and the Borrowers shall be the term benchmark rate that is used in lieu of a LIBOR-based rate in the relevant other dollar-denominated syndicated credit facilities; </w:t>
      </w:r>
      <w:r>
        <w:rPr>
          <w:rFonts w:ascii="Arial" w:cs="Arial" w:eastAsia="Arial" w:hAnsi="Arial"/>
          <w:sz w:val="21"/>
          <w:szCs w:val="21"/>
          <w:u w:val="single" w:color="auto"/>
          <w:color w:val="FF0000"/>
          <w:strike w:val="1"/>
        </w:rPr>
        <w:t>provided further</w:t>
      </w:r>
      <w:r>
        <w:rPr>
          <w:rFonts w:ascii="Arial" w:cs="Arial" w:eastAsia="Arial" w:hAnsi="Arial"/>
          <w:sz w:val="21"/>
          <w:szCs w:val="21"/>
          <w:color w:val="FF0000"/>
          <w:strike w:val="1"/>
        </w:rPr>
        <w:t xml:space="preserve"> that, notwithstanding anything 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 of this definition (subject to the first proviso above).</w:t>
      </w:r>
    </w:p>
    <w:p>
      <w:pPr>
        <w:spacing w:after="0" w:line="162"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If the Benchmark Replacement as determined pursuant to clause (1)</w:t>
      </w:r>
      <w:r>
        <w:rPr>
          <w:rFonts w:ascii="Arial" w:cs="Arial" w:eastAsia="Arial" w:hAnsi="Arial"/>
          <w:sz w:val="22"/>
          <w:szCs w:val="22"/>
          <w:color w:val="FF0000"/>
          <w:strike w:val="1"/>
        </w:rPr>
        <w:t>,</w:t>
      </w:r>
      <w:r>
        <w:rPr>
          <w:rFonts w:ascii="Arial" w:cs="Arial" w:eastAsia="Arial" w:hAnsi="Arial"/>
          <w:sz w:val="22"/>
          <w:szCs w:val="22"/>
          <w:color w:val="auto"/>
        </w:rPr>
        <w:t xml:space="preserve"> </w:t>
      </w:r>
      <w:r>
        <w:rPr>
          <w:rFonts w:ascii="Arial" w:cs="Arial" w:eastAsia="Arial" w:hAnsi="Arial"/>
          <w:sz w:val="22"/>
          <w:szCs w:val="22"/>
          <w:u w:val="single" w:color="auto"/>
          <w:color w:val="0000FF"/>
          <w:highlight w:val="lightGray"/>
        </w:rPr>
        <w:t>or</w:t>
      </w:r>
      <w:r>
        <w:rPr>
          <w:rFonts w:ascii="Arial" w:cs="Arial" w:eastAsia="Arial" w:hAnsi="Arial"/>
          <w:sz w:val="22"/>
          <w:szCs w:val="22"/>
          <w:color w:val="auto"/>
        </w:rPr>
        <w:t xml:space="preserve"> (2</w:t>
      </w:r>
      <w:r>
        <w:rPr>
          <w:rFonts w:ascii="Arial" w:cs="Arial" w:eastAsia="Arial" w:hAnsi="Arial"/>
          <w:sz w:val="22"/>
          <w:szCs w:val="22"/>
          <w:color w:val="FF0000"/>
          <w:strike w:val="1"/>
        </w:rPr>
        <w:t>) or (3</w:t>
      </w:r>
      <w:r>
        <w:rPr>
          <w:rFonts w:ascii="Arial" w:cs="Arial" w:eastAsia="Arial" w:hAnsi="Arial"/>
          <w:sz w:val="22"/>
          <w:szCs w:val="22"/>
          <w:color w:val="auto"/>
        </w:rPr>
        <w:t>) above would be less than the Floor, the Benchmark Replacement will be deemed to be the Floor for the purposes of this Agreement and the other Loan Documents.</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Adjustment</w:t>
      </w:r>
      <w:r>
        <w:rPr>
          <w:rFonts w:ascii="Arial" w:cs="Arial" w:eastAsia="Arial" w:hAnsi="Arial"/>
          <w:sz w:val="22"/>
          <w:szCs w:val="22"/>
          <w:color w:val="auto"/>
        </w:rPr>
        <w:t>” means, with respect to any replacement of the then-current Benchmark with an Unadjusted Benchmark Replacement for any applicable Interest Period and Available Tenor for any setting of such Unadjusted Benchmark Replacement</w:t>
      </w:r>
      <w:r>
        <w:rPr>
          <w:rFonts w:ascii="Arial" w:cs="Arial" w:eastAsia="Arial" w:hAnsi="Arial"/>
          <w:sz w:val="22"/>
          <w:szCs w:val="22"/>
          <w:color w:val="FF0000"/>
          <w:strike w:val="1"/>
        </w:rPr>
        <w:t>:</w:t>
      </w:r>
    </w:p>
    <w:p>
      <w:pPr>
        <w:sectPr>
          <w:pgSz w:w="11900" w:h="16838" w:orient="portrait"/>
          <w:cols w:equalWidth="0" w:num="1">
            <w:col w:w="11240"/>
          </w:cols>
          <w:pgMar w:left="320" w:top="1401" w:right="339" w:bottom="1440" w:gutter="0" w:footer="0" w:header="0"/>
        </w:sectPr>
      </w:pPr>
    </w:p>
    <w:bookmarkStart w:id="59" w:name="page60"/>
    <w:bookmarkEnd w:id="59"/>
    <w:p>
      <w:pPr>
        <w:jc w:val="both"/>
        <w:ind w:firstLine="1304"/>
        <w:spacing w:after="0" w:line="268" w:lineRule="auto"/>
        <w:tabs>
          <w:tab w:leader="none" w:pos="1448" w:val="left"/>
        </w:tabs>
        <w:numPr>
          <w:ilvl w:val="0"/>
          <w:numId w:val="41"/>
        </w:numPr>
        <w:rPr>
          <w:rFonts w:ascii="Arial" w:cs="Arial" w:eastAsia="Arial" w:hAnsi="Arial"/>
          <w:sz w:val="19"/>
          <w:szCs w:val="19"/>
          <w:u w:val="single" w:color="auto"/>
          <w:color w:val="0000FF"/>
          <w:highlight w:val="lightGray"/>
        </w:rPr>
      </w:pPr>
      <w:r>
        <w:rPr>
          <w:rFonts w:ascii="Arial" w:cs="Arial" w:eastAsia="Arial" w:hAnsi="Arial"/>
          <w:sz w:val="19"/>
          <w:szCs w:val="19"/>
          <w:u w:val="single" w:color="auto"/>
          <w:color w:val="008000"/>
        </w:rPr>
        <w:t xml:space="preserve">the spread adjustment, or method for calculating or determining such spread adjustment, (which may be a positive or negative value or zero) that has been selected by </w:t>
      </w:r>
      <w:r>
        <w:rPr>
          <w:rFonts w:ascii="Arial" w:cs="Arial" w:eastAsia="Arial" w:hAnsi="Arial"/>
          <w:sz w:val="19"/>
          <w:szCs w:val="19"/>
          <w:color w:val="FF0000"/>
          <w:strike w:val="1"/>
        </w:rPr>
        <w:t>(1) for purposes of clauses (1) and (2) of the definition of</w:t>
      </w:r>
      <w:r>
        <w:rPr>
          <w:rFonts w:ascii="Arial" w:cs="Arial" w:eastAsia="Arial" w:hAnsi="Arial"/>
          <w:sz w:val="19"/>
          <w:szCs w:val="19"/>
          <w:u w:val="single" w:color="auto"/>
          <w:color w:val="008000"/>
        </w:rPr>
        <w:t xml:space="preserve"> </w:t>
      </w:r>
      <w:r>
        <w:rPr>
          <w:rFonts w:ascii="Arial" w:cs="Arial" w:eastAsia="Arial" w:hAnsi="Arial"/>
          <w:sz w:val="19"/>
          <w:szCs w:val="19"/>
          <w:color w:val="FF0000"/>
          <w:strike w:val="1"/>
        </w:rPr>
        <w:t>“Benchmark Replacement,” the first alternative set forth in the order below that can be determined by the Administrative Agent:</w:t>
      </w:r>
    </w:p>
    <w:p>
      <w:pPr>
        <w:spacing w:after="0" w:line="132" w:lineRule="exact"/>
        <w:rPr>
          <w:sz w:val="20"/>
          <w:szCs w:val="20"/>
          <w:color w:val="auto"/>
        </w:rPr>
      </w:pPr>
    </w:p>
    <w:p>
      <w:pPr>
        <w:jc w:val="both"/>
        <w:ind w:firstLine="1304"/>
        <w:spacing w:after="0" w:line="229" w:lineRule="auto"/>
        <w:tabs>
          <w:tab w:leader="none" w:pos="1622" w:val="left"/>
        </w:tabs>
        <w:numPr>
          <w:ilvl w:val="0"/>
          <w:numId w:val="42"/>
        </w:numPr>
        <w:rPr>
          <w:rFonts w:ascii="Arial" w:cs="Arial" w:eastAsia="Arial" w:hAnsi="Arial"/>
          <w:sz w:val="21"/>
          <w:szCs w:val="21"/>
          <w:color w:val="FF0000"/>
          <w:strike w:val="1"/>
        </w:rPr>
      </w:pPr>
      <w:r>
        <w:rPr>
          <w:rFonts w:ascii="Arial" w:cs="Arial" w:eastAsia="Arial" w:hAnsi="Arial"/>
          <w:sz w:val="21"/>
          <w:szCs w:val="21"/>
          <w:color w:val="FF0000"/>
          <w:strike w:val="1"/>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58" w:lineRule="exact"/>
        <w:rPr>
          <w:rFonts w:ascii="Arial" w:cs="Arial" w:eastAsia="Arial" w:hAnsi="Arial"/>
          <w:sz w:val="21"/>
          <w:szCs w:val="21"/>
          <w:color w:val="FF0000"/>
          <w:strike w:val="1"/>
        </w:rPr>
      </w:pPr>
    </w:p>
    <w:p>
      <w:pPr>
        <w:jc w:val="both"/>
        <w:ind w:firstLine="1304"/>
        <w:spacing w:after="0" w:line="218" w:lineRule="auto"/>
        <w:tabs>
          <w:tab w:leader="none" w:pos="1633" w:val="left"/>
        </w:tabs>
        <w:numPr>
          <w:ilvl w:val="0"/>
          <w:numId w:val="42"/>
        </w:numPr>
        <w:rPr>
          <w:rFonts w:ascii="Arial" w:cs="Arial" w:eastAsia="Arial" w:hAnsi="Arial"/>
          <w:sz w:val="22"/>
          <w:szCs w:val="22"/>
          <w:color w:val="FF0000"/>
          <w:strike w:val="1"/>
        </w:rPr>
      </w:pPr>
      <w:r>
        <w:rPr>
          <w:rFonts w:ascii="Arial" w:cs="Arial" w:eastAsia="Arial" w:hAnsi="Arial"/>
          <w:sz w:val="22"/>
          <w:szCs w:val="22"/>
          <w:color w:val="FF0000"/>
          <w:strike w:val="1"/>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61" w:lineRule="exact"/>
        <w:rPr>
          <w:sz w:val="20"/>
          <w:szCs w:val="20"/>
          <w:color w:val="auto"/>
        </w:rPr>
      </w:pPr>
    </w:p>
    <w:p>
      <w:pPr>
        <w:jc w:val="both"/>
        <w:ind w:firstLine="1304"/>
        <w:spacing w:after="0" w:line="246" w:lineRule="auto"/>
        <w:tabs>
          <w:tab w:leader="none" w:pos="1604" w:val="left"/>
        </w:tabs>
        <w:numPr>
          <w:ilvl w:val="0"/>
          <w:numId w:val="43"/>
        </w:numPr>
        <w:rPr>
          <w:rFonts w:ascii="Arial" w:cs="Arial" w:eastAsia="Arial" w:hAnsi="Arial"/>
          <w:sz w:val="19"/>
          <w:szCs w:val="19"/>
          <w:color w:val="FF0000"/>
          <w:strike w:val="1"/>
        </w:rPr>
      </w:pPr>
      <w:r>
        <w:rPr>
          <w:rFonts w:ascii="Arial" w:cs="Arial" w:eastAsia="Arial" w:hAnsi="Arial"/>
          <w:sz w:val="19"/>
          <w:szCs w:val="19"/>
          <w:color w:val="FF0000"/>
          <w:strike w:val="1"/>
        </w:rPr>
        <w:t xml:space="preserve">for purposes of clause (3) of the definition of “Benchmark Replacement,” </w:t>
      </w:r>
      <w:r>
        <w:rPr>
          <w:rFonts w:ascii="Arial" w:cs="Arial" w:eastAsia="Arial" w:hAnsi="Arial"/>
          <w:sz w:val="19"/>
          <w:szCs w:val="19"/>
          <w:color w:val="008000"/>
          <w:strike w:val="1"/>
        </w:rPr>
        <w:t>the spread adjustment, or method for</w:t>
      </w:r>
      <w:r>
        <w:rPr>
          <w:rFonts w:ascii="Arial" w:cs="Arial" w:eastAsia="Arial" w:hAnsi="Arial"/>
          <w:sz w:val="19"/>
          <w:szCs w:val="19"/>
          <w:color w:val="FF0000"/>
          <w:strike w:val="1"/>
        </w:rPr>
        <w:t xml:space="preserve"> </w:t>
      </w:r>
      <w:r>
        <w:rPr>
          <w:rFonts w:ascii="Arial" w:cs="Arial" w:eastAsia="Arial" w:hAnsi="Arial"/>
          <w:sz w:val="19"/>
          <w:szCs w:val="19"/>
          <w:color w:val="008000"/>
          <w:strike w:val="1"/>
        </w:rPr>
        <w:t xml:space="preserve">calculating or determining such spread adjustment, (which may be a positive or negative value or zero) that has been selected by </w:t>
      </w:r>
      <w:r>
        <w:rPr>
          <w:rFonts w:ascii="Arial" w:cs="Arial" w:eastAsia="Arial" w:hAnsi="Arial"/>
          <w:sz w:val="19"/>
          <w:szCs w:val="19"/>
          <w:color w:val="FF0000"/>
          <w:strike w:val="1"/>
        </w:rPr>
        <w:t>the</w:t>
      </w:r>
      <w:r>
        <w:rPr>
          <w:rFonts w:ascii="Arial" w:cs="Arial" w:eastAsia="Arial" w:hAnsi="Arial"/>
          <w:sz w:val="19"/>
          <w:szCs w:val="19"/>
          <w:u w:val="single" w:color="auto"/>
          <w:color w:val="0000FF"/>
          <w:highlight w:val="lightGray"/>
          <w:strike w:val="1"/>
        </w:rPr>
        <w:t>the</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Administrative Agent and the Borrowers for the applicable Corresponding Tenor giving due consideration to (i) any</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r>
        <w:rPr>
          <w:rFonts w:ascii="Arial" w:cs="Arial" w:eastAsia="Arial" w:hAnsi="Arial"/>
          <w:sz w:val="19"/>
          <w:szCs w:val="19"/>
          <w:color w:val="FF0000"/>
          <w:strike w:val="1"/>
        </w:rPr>
        <w:t>;</w:t>
      </w:r>
      <w:r>
        <w:rPr>
          <w:rFonts w:ascii="Arial" w:cs="Arial" w:eastAsia="Arial" w:hAnsi="Arial"/>
          <w:sz w:val="19"/>
          <w:szCs w:val="19"/>
          <w:u w:val="single" w:color="auto"/>
          <w:color w:val="0000FF"/>
          <w:highlight w:val="lightGray"/>
          <w:strike w:val="1"/>
        </w:rPr>
        <w:t>.</w:t>
      </w:r>
    </w:p>
    <w:p>
      <w:pPr>
        <w:spacing w:after="0" w:line="152"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u w:val="single" w:color="auto"/>
          <w:color w:val="FF0000"/>
          <w:strike w:val="1"/>
        </w:rPr>
        <w:t xml:space="preserve">provided </w:t>
      </w:r>
      <w:r>
        <w:rPr>
          <w:rFonts w:ascii="Arial" w:cs="Arial" w:eastAsia="Arial" w:hAnsi="Arial"/>
          <w:sz w:val="22"/>
          <w:szCs w:val="22"/>
          <w:color w:val="FF0000"/>
          <w:strike w:val="1"/>
        </w:rPr>
        <w:t>that, in the case of clause (1) above, such adjustment is displayed on a screen or other information</w:t>
      </w:r>
      <w:r>
        <w:rPr>
          <w:rFonts w:ascii="Arial" w:cs="Arial" w:eastAsia="Arial" w:hAnsi="Arial"/>
          <w:sz w:val="22"/>
          <w:szCs w:val="22"/>
          <w:u w:val="single" w:color="auto"/>
          <w:color w:val="FF0000"/>
          <w:strike w:val="1"/>
        </w:rPr>
        <w:t xml:space="preserve"> </w:t>
      </w:r>
      <w:r>
        <w:rPr>
          <w:rFonts w:ascii="Arial" w:cs="Arial" w:eastAsia="Arial" w:hAnsi="Arial"/>
          <w:sz w:val="22"/>
          <w:szCs w:val="22"/>
          <w:color w:val="FF0000"/>
          <w:strike w:val="1"/>
        </w:rPr>
        <w:t>service that publishes such Benchmark Replacement Adjustment from time to time as selected by the Administrative Agent in its reasonable discretion.</w:t>
      </w:r>
    </w:p>
    <w:p>
      <w:pPr>
        <w:spacing w:after="0" w:line="159"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Conforming Changes</w:t>
      </w:r>
      <w:r>
        <w:rPr>
          <w:rFonts w:ascii="Arial" w:cs="Arial" w:eastAsia="Arial" w:hAnsi="Arial"/>
          <w:sz w:val="19"/>
          <w:szCs w:val="19"/>
          <w:color w:val="auto"/>
        </w:rPr>
        <w:t xml:space="preserve">” means, with respect to any Benchmark Replacement </w:t>
      </w:r>
      <w:r>
        <w:rPr>
          <w:rFonts w:ascii="Arial" w:cs="Arial" w:eastAsia="Arial" w:hAnsi="Arial"/>
          <w:sz w:val="19"/>
          <w:szCs w:val="19"/>
          <w:u w:val="single" w:color="auto"/>
          <w:color w:val="0000FF"/>
          <w:highlight w:val="lightGray"/>
        </w:rPr>
        <w:t>and/or any</w:t>
      </w:r>
      <w:r>
        <w:rPr>
          <w:rFonts w:ascii="Arial" w:cs="Arial" w:eastAsia="Arial" w:hAnsi="Arial"/>
          <w:sz w:val="19"/>
          <w:szCs w:val="19"/>
          <w:color w:val="auto"/>
        </w:rPr>
        <w:t xml:space="preserve"> </w:t>
      </w:r>
      <w:r>
        <w:rPr>
          <w:rFonts w:ascii="Arial" w:cs="Arial" w:eastAsia="Arial" w:hAnsi="Arial"/>
          <w:sz w:val="19"/>
          <w:szCs w:val="19"/>
          <w:u w:val="single" w:color="auto"/>
          <w:color w:val="0000FF"/>
          <w:highlight w:val="lightGray"/>
        </w:rPr>
        <w:t>Term Benchmark Loans</w:t>
      </w:r>
      <w:r>
        <w:rPr>
          <w:rFonts w:ascii="Arial" w:cs="Arial" w:eastAsia="Arial" w:hAnsi="Arial"/>
          <w:sz w:val="19"/>
          <w:szCs w:val="19"/>
          <w:color w:val="000000"/>
        </w:rPr>
        <w:t>, any technical, administrative or operational changes (including changes to the definition of “Alternate</w:t>
      </w:r>
      <w:r>
        <w:rPr>
          <w:rFonts w:ascii="Arial" w:cs="Arial" w:eastAsia="Arial" w:hAnsi="Arial"/>
          <w:sz w:val="19"/>
          <w:szCs w:val="19"/>
          <w:color w:val="0000FF"/>
          <w:highlight w:val="lightGray"/>
        </w:rPr>
        <w:t xml:space="preserve"> </w:t>
      </w:r>
      <w:r>
        <w:rPr>
          <w:rFonts w:ascii="Arial" w:cs="Arial" w:eastAsia="Arial" w:hAnsi="Arial"/>
          <w:sz w:val="19"/>
          <w:szCs w:val="19"/>
          <w:color w:val="000000"/>
        </w:rPr>
        <w:t>Base Rate,” the definition of “</w:t>
      </w:r>
      <w:r>
        <w:rPr>
          <w:rFonts w:ascii="Arial" w:cs="Arial" w:eastAsia="Arial" w:hAnsi="Arial"/>
          <w:sz w:val="19"/>
          <w:szCs w:val="19"/>
          <w:u w:val="single" w:color="auto"/>
          <w:color w:val="0000FF"/>
          <w:highlight w:val="lightGray"/>
        </w:rPr>
        <w:t>Business Day,” the definition of “U.S. Government Securities</w:t>
      </w:r>
      <w:r>
        <w:rPr>
          <w:rFonts w:ascii="Arial" w:cs="Arial" w:eastAsia="Arial" w:hAnsi="Arial"/>
          <w:sz w:val="19"/>
          <w:szCs w:val="19"/>
          <w:color w:val="000000"/>
        </w:rPr>
        <w:t xml:space="preserve">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after consultation with the Borrower, in its reasonable discretion is appropriate to reflect the adoption and implementation of such Benchmark </w:t>
      </w:r>
      <w:r>
        <w:rPr>
          <w:rFonts w:ascii="Arial" w:cs="Arial" w:eastAsia="Arial" w:hAnsi="Arial"/>
          <w:sz w:val="19"/>
          <w:szCs w:val="19"/>
          <w:color w:val="FF0000"/>
          <w:strike w:val="1"/>
        </w:rPr>
        <w:t>Replacement</w:t>
      </w:r>
      <w:r>
        <w:rPr>
          <w:rFonts w:ascii="Arial" w:cs="Arial" w:eastAsia="Arial" w:hAnsi="Arial"/>
          <w:sz w:val="19"/>
          <w:szCs w:val="19"/>
          <w:color w:val="000000"/>
        </w:rPr>
        <w:t xml:space="preserve"> and to permit the administration thereof by the Administrative Agent in a manner substantially consistent with market practice (or, if the Administrative Agent decides in its reasonable discretion that adoption of any portion of such market practice is not administratively feasible or if the Administrative Agent determines that no market practice for the administration of such Benchmark </w:t>
      </w:r>
      <w:r>
        <w:rPr>
          <w:rFonts w:ascii="Arial" w:cs="Arial" w:eastAsia="Arial" w:hAnsi="Arial"/>
          <w:sz w:val="19"/>
          <w:szCs w:val="19"/>
          <w:color w:val="FF0000"/>
          <w:strike w:val="1"/>
        </w:rPr>
        <w:t>Replacement</w:t>
      </w:r>
      <w:r>
        <w:rPr>
          <w:rFonts w:ascii="Arial" w:cs="Arial" w:eastAsia="Arial" w:hAnsi="Arial"/>
          <w:sz w:val="19"/>
          <w:szCs w:val="19"/>
          <w:color w:val="000000"/>
        </w:rPr>
        <w:t xml:space="preserve"> exists, in such other manner of administration as the Administrative Agent decides in its reasonable discretion is reasonably necessary in connection with the administration of this Agreement and the other Loan Documents).</w:t>
      </w:r>
    </w:p>
    <w:p>
      <w:pPr>
        <w:spacing w:after="0" w:line="16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Date</w:t>
      </w:r>
      <w:r>
        <w:rPr>
          <w:rFonts w:ascii="Arial" w:cs="Arial" w:eastAsia="Arial" w:hAnsi="Arial"/>
          <w:sz w:val="22"/>
          <w:szCs w:val="22"/>
          <w:color w:val="auto"/>
        </w:rPr>
        <w:t>” means, with respect to any Benchmark, the earliest to occur of the following events with respect to such then-current Benchmark:</w:t>
      </w:r>
    </w:p>
    <w:p>
      <w:pPr>
        <w:sectPr>
          <w:pgSz w:w="11900" w:h="16838" w:orient="portrait"/>
          <w:cols w:equalWidth="0" w:num="1">
            <w:col w:w="11240"/>
          </w:cols>
          <w:pgMar w:left="320" w:top="1401" w:right="339" w:bottom="1440" w:gutter="0" w:footer="0" w:header="0"/>
        </w:sectPr>
      </w:pPr>
    </w:p>
    <w:bookmarkStart w:id="60" w:name="page61"/>
    <w:bookmarkEnd w:id="60"/>
    <w:p>
      <w:pPr>
        <w:jc w:val="both"/>
        <w:ind w:firstLine="1304"/>
        <w:spacing w:after="0" w:line="218" w:lineRule="auto"/>
        <w:tabs>
          <w:tab w:leader="none" w:pos="1603"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w:t>
      </w:r>
      <w:r>
        <w:rPr>
          <w:rFonts w:ascii="Arial" w:cs="Arial" w:eastAsia="Arial" w:hAnsi="Arial"/>
          <w:sz w:val="22"/>
          <w:szCs w:val="22"/>
          <w:color w:val="0000FF"/>
        </w:rPr>
        <w:t>or</w:t>
      </w:r>
    </w:p>
    <w:p>
      <w:pPr>
        <w:spacing w:after="0" w:line="160" w:lineRule="exact"/>
        <w:rPr>
          <w:rFonts w:ascii="Arial" w:cs="Arial" w:eastAsia="Arial" w:hAnsi="Arial"/>
          <w:sz w:val="22"/>
          <w:szCs w:val="22"/>
          <w:color w:val="auto"/>
        </w:rPr>
      </w:pPr>
    </w:p>
    <w:p>
      <w:pPr>
        <w:jc w:val="both"/>
        <w:ind w:firstLine="1304"/>
        <w:spacing w:after="0" w:line="222" w:lineRule="auto"/>
        <w:tabs>
          <w:tab w:leader="none" w:pos="1638" w:val="left"/>
        </w:tabs>
        <w:numPr>
          <w:ilvl w:val="0"/>
          <w:numId w:val="44"/>
        </w:numPr>
        <w:rPr>
          <w:rFonts w:ascii="Arial" w:cs="Arial" w:eastAsia="Arial" w:hAnsi="Arial"/>
          <w:sz w:val="21"/>
          <w:szCs w:val="21"/>
          <w:color w:val="auto"/>
        </w:rPr>
      </w:pPr>
      <w:r>
        <w:rPr>
          <w:rFonts w:ascii="Arial" w:cs="Arial" w:eastAsia="Arial" w:hAnsi="Arial"/>
          <w:sz w:val="21"/>
          <w:szCs w:val="21"/>
          <w:color w:val="auto"/>
        </w:rPr>
        <w:t xml:space="preserve">in the case of clause (3) of the definition of “Benchmark Transition Event,” the first date on which such Benchmark (or the published component used in the calculation thereof) has been </w:t>
      </w:r>
      <w:r>
        <w:rPr>
          <w:rFonts w:ascii="Arial" w:cs="Arial" w:eastAsia="Arial" w:hAnsi="Arial"/>
          <w:sz w:val="21"/>
          <w:szCs w:val="21"/>
          <w:u w:val="single" w:color="auto"/>
          <w:color w:val="0000FF"/>
          <w:highlight w:val="lightGray"/>
        </w:rPr>
        <w:t>or, if such Benchmark is a term rate, all</w:t>
      </w:r>
      <w:r>
        <w:rPr>
          <w:rFonts w:ascii="Arial" w:cs="Arial" w:eastAsia="Arial" w:hAnsi="Arial"/>
          <w:sz w:val="21"/>
          <w:szCs w:val="21"/>
          <w:color w:val="auto"/>
        </w:rPr>
        <w:t xml:space="preserve"> </w:t>
      </w:r>
      <w:r>
        <w:rPr>
          <w:rFonts w:ascii="Arial" w:cs="Arial" w:eastAsia="Arial" w:hAnsi="Arial"/>
          <w:sz w:val="21"/>
          <w:szCs w:val="21"/>
          <w:u w:val="single" w:color="auto"/>
          <w:color w:val="0000FF"/>
          <w:highlight w:val="lightGray"/>
        </w:rPr>
        <w:t>Available Tenors of such Benchmark (or component thereof) have been</w:t>
      </w:r>
      <w:r>
        <w:rPr>
          <w:rFonts w:ascii="Arial" w:cs="Arial" w:eastAsia="Arial" w:hAnsi="Arial"/>
          <w:sz w:val="21"/>
          <w:szCs w:val="21"/>
          <w:color w:val="0000FF"/>
          <w:highlight w:val="lightGray"/>
        </w:rPr>
        <w:t xml:space="preserve"> </w:t>
      </w:r>
      <w:r>
        <w:rPr>
          <w:rFonts w:ascii="Arial" w:cs="Arial" w:eastAsia="Arial" w:hAnsi="Arial"/>
          <w:sz w:val="21"/>
          <w:szCs w:val="21"/>
          <w:color w:val="000000"/>
        </w:rPr>
        <w:t>determined and announced by the regulatory supervisor</w:t>
      </w:r>
      <w:r>
        <w:rPr>
          <w:rFonts w:ascii="Arial" w:cs="Arial" w:eastAsia="Arial" w:hAnsi="Arial"/>
          <w:sz w:val="21"/>
          <w:szCs w:val="21"/>
          <w:color w:val="0000FF"/>
          <w:highlight w:val="lightGray"/>
        </w:rPr>
        <w:t xml:space="preserve"> </w:t>
      </w:r>
      <w:r>
        <w:rPr>
          <w:rFonts w:ascii="Arial" w:cs="Arial" w:eastAsia="Arial" w:hAnsi="Arial"/>
          <w:sz w:val="21"/>
          <w:szCs w:val="21"/>
          <w:color w:val="000000"/>
        </w:rPr>
        <w:t xml:space="preserve">for the administrator of such Benchmark (or such component thereof) to be no longer representative; provided, that such non-representativeness will be determined by reference to the most recent statement or publication referenced in such clause (3) and even if </w:t>
      </w:r>
      <w:r>
        <w:rPr>
          <w:rFonts w:ascii="Arial" w:cs="Arial" w:eastAsia="Arial" w:hAnsi="Arial"/>
          <w:sz w:val="21"/>
          <w:szCs w:val="21"/>
          <w:u w:val="single" w:color="auto"/>
          <w:color w:val="0000FF"/>
          <w:highlight w:val="lightGray"/>
        </w:rPr>
        <w:t>such Benchmark (or component thereof) or, if such Benchmark is a term rate,</w:t>
      </w:r>
      <w:r>
        <w:rPr>
          <w:rFonts w:ascii="Arial" w:cs="Arial" w:eastAsia="Arial" w:hAnsi="Arial"/>
          <w:sz w:val="21"/>
          <w:szCs w:val="21"/>
          <w:color w:val="000000"/>
        </w:rPr>
        <w:t xml:space="preserve"> any Available Tenor of such Benchmark (or such component thereof) continues to be provided on such date</w:t>
      </w:r>
      <w:r>
        <w:rPr>
          <w:rFonts w:ascii="Arial" w:cs="Arial" w:eastAsia="Arial" w:hAnsi="Arial"/>
          <w:sz w:val="21"/>
          <w:szCs w:val="21"/>
          <w:color w:val="FF0000"/>
          <w:strike w:val="1"/>
        </w:rPr>
        <w:t>; or</w:t>
      </w:r>
      <w:r>
        <w:rPr>
          <w:rFonts w:ascii="Arial" w:cs="Arial" w:eastAsia="Arial" w:hAnsi="Arial"/>
          <w:sz w:val="21"/>
          <w:szCs w:val="21"/>
          <w:u w:val="single" w:color="auto"/>
          <w:color w:val="0000FF"/>
          <w:highlight w:val="lightGray"/>
        </w:rPr>
        <w:t>.</w:t>
      </w:r>
    </w:p>
    <w:p>
      <w:pPr>
        <w:spacing w:after="0" w:line="164" w:lineRule="exact"/>
        <w:rPr>
          <w:rFonts w:ascii="Arial" w:cs="Arial" w:eastAsia="Arial" w:hAnsi="Arial"/>
          <w:sz w:val="21"/>
          <w:szCs w:val="21"/>
          <w:color w:val="auto"/>
        </w:rPr>
      </w:pPr>
    </w:p>
    <w:p>
      <w:pPr>
        <w:ind w:firstLine="1304"/>
        <w:spacing w:after="0" w:line="232" w:lineRule="auto"/>
        <w:tabs>
          <w:tab w:leader="none" w:pos="1628" w:val="left"/>
        </w:tabs>
        <w:numPr>
          <w:ilvl w:val="0"/>
          <w:numId w:val="44"/>
        </w:numPr>
        <w:rPr>
          <w:rFonts w:ascii="Arial" w:cs="Arial" w:eastAsia="Arial" w:hAnsi="Arial"/>
          <w:sz w:val="22"/>
          <w:szCs w:val="22"/>
          <w:color w:val="FF0000"/>
          <w:strike w:val="1"/>
        </w:rPr>
      </w:pPr>
      <w:r>
        <w:rPr>
          <w:rFonts w:ascii="Arial" w:cs="Arial" w:eastAsia="Arial" w:hAnsi="Arial"/>
          <w:sz w:val="22"/>
          <w:szCs w:val="22"/>
          <w:color w:val="FF0000"/>
          <w:strike w:val="1"/>
        </w:rPr>
        <w:t>in the case of a Term SOFR Transition Event, the date that is thirty (30) days after the date a Term SOFR Notice is provided to the Lenders and the Borrowers pursuant to Section 2.13(c); or</w:t>
      </w:r>
    </w:p>
    <w:p>
      <w:pPr>
        <w:spacing w:after="0" w:line="158" w:lineRule="exact"/>
        <w:rPr>
          <w:rFonts w:ascii="Arial" w:cs="Arial" w:eastAsia="Arial" w:hAnsi="Arial"/>
          <w:sz w:val="22"/>
          <w:szCs w:val="22"/>
          <w:color w:val="FF0000"/>
          <w:strike w:val="1"/>
        </w:rPr>
      </w:pPr>
    </w:p>
    <w:p>
      <w:pPr>
        <w:jc w:val="both"/>
        <w:ind w:firstLine="1304"/>
        <w:spacing w:after="0" w:line="214" w:lineRule="auto"/>
        <w:tabs>
          <w:tab w:leader="none" w:pos="1610" w:val="left"/>
        </w:tabs>
        <w:numPr>
          <w:ilvl w:val="0"/>
          <w:numId w:val="44"/>
        </w:numPr>
        <w:rPr>
          <w:rFonts w:ascii="Arial" w:cs="Arial" w:eastAsia="Arial" w:hAnsi="Arial"/>
          <w:sz w:val="22"/>
          <w:szCs w:val="22"/>
          <w:color w:val="FF0000"/>
          <w:strike w:val="1"/>
        </w:rPr>
      </w:pPr>
      <w:r>
        <w:rPr>
          <w:rFonts w:ascii="Arial" w:cs="Arial" w:eastAsia="Arial" w:hAnsi="Arial"/>
          <w:sz w:val="22"/>
          <w:szCs w:val="22"/>
          <w:color w:val="FF0000"/>
          <w:strike w:val="1"/>
        </w:rPr>
        <w:t xml:space="preserve">in the case of an Early Opt-in Election or an Other Benchmark Rate Election, the sixth Business Day after the date notice of such Early Opt-in Election or Other Benchmark Rate Election, as applicable, is provided to the Lenders, so long as the Administrative Agent has not received, </w:t>
      </w:r>
      <w:r>
        <w:rPr>
          <w:rFonts w:ascii="Arial" w:cs="Arial" w:eastAsia="Arial" w:hAnsi="Arial"/>
          <w:sz w:val="22"/>
          <w:szCs w:val="22"/>
          <w:color w:val="008000"/>
          <w:strike w:val="1"/>
        </w:rPr>
        <w:t>by 5:00 p.m. (New York City time) on the</w:t>
      </w:r>
      <w:r>
        <w:rPr>
          <w:rFonts w:ascii="Arial" w:cs="Arial" w:eastAsia="Arial" w:hAnsi="Arial"/>
          <w:sz w:val="22"/>
          <w:szCs w:val="22"/>
          <w:color w:val="FF0000"/>
          <w:strike w:val="1"/>
        </w:rPr>
        <w:t xml:space="preserve"> fifth Business Day after the date notice of such Early Opt-in Election or Other Benchmark Rate Election, as applicable, is provided to the Lenders, written notice of objection to such Early Opt-in Election or Other Benchmark Rate Election, as applicable, from Lenders comprising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-2628265</wp:posOffset>
            </wp:positionV>
            <wp:extent cx="154305"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154305" cy="145415"/>
                    </a:xfrm>
                    <a:prstGeom prst="rect">
                      <a:avLst/>
                    </a:prstGeom>
                    <a:noFill/>
                  </pic:spPr>
                </pic:pic>
              </a:graphicData>
            </a:graphic>
          </wp:anchor>
        </w:drawing>
      </w:r>
    </w:p>
    <w:p>
      <w:pPr>
        <w:spacing w:after="0" w:line="139"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Transition Event</w:t>
      </w:r>
      <w:r>
        <w:rPr>
          <w:rFonts w:ascii="Arial" w:cs="Arial" w:eastAsia="Arial" w:hAnsi="Arial"/>
          <w:sz w:val="22"/>
          <w:szCs w:val="22"/>
          <w:color w:val="auto"/>
        </w:rPr>
        <w:t>” means, with respect to any Benchmark, the occurrence of one or more of the following events with respect to such then-current Benchmark:</w:t>
      </w:r>
    </w:p>
    <w:p>
      <w:pPr>
        <w:spacing w:after="0" w:line="159" w:lineRule="exact"/>
        <w:rPr>
          <w:sz w:val="20"/>
          <w:szCs w:val="20"/>
          <w:color w:val="auto"/>
        </w:rPr>
      </w:pPr>
    </w:p>
    <w:p>
      <w:pPr>
        <w:jc w:val="both"/>
        <w:ind w:firstLine="1304"/>
        <w:spacing w:after="0" w:line="252" w:lineRule="auto"/>
        <w:tabs>
          <w:tab w:leader="none" w:pos="1602"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such statement or publication, there is no successor administrator that will continue to provide </w:t>
      </w:r>
      <w:r>
        <w:rPr>
          <w:rFonts w:ascii="Arial" w:cs="Arial" w:eastAsia="Arial" w:hAnsi="Arial"/>
          <w:sz w:val="19"/>
          <w:szCs w:val="19"/>
          <w:u w:val="single" w:color="auto"/>
          <w:color w:val="0000FF"/>
          <w:highlight w:val="lightGray"/>
        </w:rPr>
        <w:t>such Benchmark (or such component</w:t>
      </w:r>
      <w:r>
        <w:rPr>
          <w:rFonts w:ascii="Arial" w:cs="Arial" w:eastAsia="Arial" w:hAnsi="Arial"/>
          <w:sz w:val="19"/>
          <w:szCs w:val="19"/>
          <w:color w:val="auto"/>
        </w:rPr>
        <w:t xml:space="preserve"> </w:t>
      </w:r>
      <w:r>
        <w:rPr>
          <w:rFonts w:ascii="Arial" w:cs="Arial" w:eastAsia="Arial" w:hAnsi="Arial"/>
          <w:sz w:val="19"/>
          <w:szCs w:val="19"/>
          <w:u w:val="single" w:color="auto"/>
          <w:color w:val="0000FF"/>
          <w:highlight w:val="lightGray"/>
        </w:rPr>
        <w:t>thereof) or, if such Benchmark is a term rate,</w:t>
      </w:r>
      <w:r>
        <w:rPr>
          <w:rFonts w:ascii="Arial" w:cs="Arial" w:eastAsia="Arial" w:hAnsi="Arial"/>
          <w:sz w:val="19"/>
          <w:szCs w:val="19"/>
          <w:color w:val="0000FF"/>
          <w:highlight w:val="lightGray"/>
        </w:rPr>
        <w:t xml:space="preserve"> </w:t>
      </w:r>
      <w:r>
        <w:rPr>
          <w:rFonts w:ascii="Arial" w:cs="Arial" w:eastAsia="Arial" w:hAnsi="Arial"/>
          <w:sz w:val="19"/>
          <w:szCs w:val="19"/>
          <w:color w:val="000000"/>
        </w:rPr>
        <w:t>any Available Tenor of such Benchmark (or such component thereof);</w:t>
      </w:r>
    </w:p>
    <w:p>
      <w:pPr>
        <w:spacing w:after="0" w:line="148" w:lineRule="exact"/>
        <w:rPr>
          <w:rFonts w:ascii="Arial" w:cs="Arial" w:eastAsia="Arial" w:hAnsi="Arial"/>
          <w:sz w:val="19"/>
          <w:szCs w:val="19"/>
          <w:color w:val="auto"/>
        </w:rPr>
      </w:pPr>
    </w:p>
    <w:p>
      <w:pPr>
        <w:jc w:val="both"/>
        <w:ind w:firstLine="1304"/>
        <w:spacing w:after="0" w:line="216" w:lineRule="auto"/>
        <w:tabs>
          <w:tab w:leader="none" w:pos="1633"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a public statement or publication of information by the regulatory supervisor for the administrator of such Benchmark (or the published component used in the calculation thereof), the Federal Reserve Board, the NYFRB, the </w:t>
      </w:r>
      <w:r>
        <w:rPr>
          <w:rFonts w:ascii="Arial" w:cs="Arial" w:eastAsia="Arial" w:hAnsi="Arial"/>
          <w:sz w:val="22"/>
          <w:szCs w:val="22"/>
          <w:color w:val="FF0000"/>
          <w:strike w:val="1"/>
        </w:rPr>
        <w:t>central</w:t>
      </w:r>
      <w:r>
        <w:rPr>
          <w:rFonts w:ascii="Arial" w:cs="Arial" w:eastAsia="Arial" w:hAnsi="Arial"/>
          <w:sz w:val="22"/>
          <w:szCs w:val="22"/>
          <w:color w:val="auto"/>
        </w:rPr>
        <w:t xml:space="preserve"> </w:t>
      </w:r>
      <w:r>
        <w:rPr>
          <w:rFonts w:ascii="Arial" w:cs="Arial" w:eastAsia="Arial" w:hAnsi="Arial"/>
          <w:sz w:val="22"/>
          <w:szCs w:val="22"/>
          <w:color w:val="FF0000"/>
          <w:strike w:val="1"/>
        </w:rPr>
        <w:t>bank applicable to such Benchmark</w:t>
      </w:r>
      <w:r>
        <w:rPr>
          <w:rFonts w:ascii="Arial" w:cs="Arial" w:eastAsia="Arial" w:hAnsi="Arial"/>
          <w:sz w:val="22"/>
          <w:szCs w:val="22"/>
          <w:u w:val="single" w:color="auto"/>
          <w:color w:val="0000FF"/>
          <w:highlight w:val="lightGray"/>
        </w:rPr>
        <w:t>CME Term SOFR Administrator</w:t>
      </w:r>
      <w:r>
        <w:rPr>
          <w:rFonts w:ascii="Arial" w:cs="Arial" w:eastAsia="Arial" w:hAnsi="Arial"/>
          <w:sz w:val="22"/>
          <w:szCs w:val="22"/>
          <w:color w:val="000000"/>
        </w:rPr>
        <w:t>, an insolvency official with jurisdiction over the</w:t>
      </w:r>
      <w:r>
        <w:rPr>
          <w:rFonts w:ascii="Arial" w:cs="Arial" w:eastAsia="Arial" w:hAnsi="Arial"/>
          <w:sz w:val="22"/>
          <w:szCs w:val="22"/>
          <w:color w:val="FF0000"/>
        </w:rPr>
        <w:t xml:space="preserve"> </w:t>
      </w:r>
      <w:r>
        <w:rPr>
          <w:rFonts w:ascii="Arial" w:cs="Arial" w:eastAsia="Arial" w:hAnsi="Arial"/>
          <w:sz w:val="22"/>
          <w:szCs w:val="22"/>
          <w:color w:val="000000"/>
        </w:rPr>
        <w:t>administrator for such Benchmark (or such component), a resolution authority with jurisdiction over the administrator for such Benchmark (or such component) or a court or an entity with</w:t>
      </w:r>
    </w:p>
    <w:p>
      <w:pPr>
        <w:sectPr>
          <w:pgSz w:w="11900" w:h="16838" w:orient="portrait"/>
          <w:cols w:equalWidth="0" w:num="1">
            <w:col w:w="11240"/>
          </w:cols>
          <w:pgMar w:left="320" w:top="1401" w:right="339" w:bottom="1440" w:gutter="0" w:footer="0" w:header="0"/>
        </w:sectPr>
      </w:pPr>
    </w:p>
    <w:bookmarkStart w:id="61" w:name="page62"/>
    <w:bookmarkEnd w:id="61"/>
    <w:p>
      <w:pPr>
        <w:jc w:val="both"/>
        <w:spacing w:after="0" w:line="224" w:lineRule="auto"/>
        <w:rPr>
          <w:sz w:val="20"/>
          <w:szCs w:val="20"/>
          <w:color w:val="auto"/>
        </w:rPr>
      </w:pPr>
      <w:r>
        <w:rPr>
          <w:rFonts w:ascii="Arial" w:cs="Arial" w:eastAsia="Arial" w:hAnsi="Arial"/>
          <w:sz w:val="21"/>
          <w:szCs w:val="21"/>
          <w:color w:val="auto"/>
        </w:rPr>
        <w:t xml:space="preserve">similar insolvency or resolution authority over the administrator for such Benchmark (or such component), in each case, which states that the administrator of such Benchmark (or such component) has ceased or will cease to provide </w:t>
      </w:r>
      <w:r>
        <w:rPr>
          <w:rFonts w:ascii="Arial" w:cs="Arial" w:eastAsia="Arial" w:hAnsi="Arial"/>
          <w:sz w:val="21"/>
          <w:szCs w:val="21"/>
          <w:u w:val="single" w:color="auto"/>
          <w:color w:val="0000FF"/>
          <w:highlight w:val="lightGray"/>
        </w:rPr>
        <w:t>such Benchmark (or</w:t>
      </w:r>
      <w:r>
        <w:rPr>
          <w:rFonts w:ascii="Arial" w:cs="Arial" w:eastAsia="Arial" w:hAnsi="Arial"/>
          <w:sz w:val="21"/>
          <w:szCs w:val="21"/>
          <w:color w:val="auto"/>
        </w:rPr>
        <w:t xml:space="preserve"> </w:t>
      </w:r>
      <w:r>
        <w:rPr>
          <w:rFonts w:ascii="Arial" w:cs="Arial" w:eastAsia="Arial" w:hAnsi="Arial"/>
          <w:sz w:val="21"/>
          <w:szCs w:val="21"/>
          <w:u w:val="single" w:color="auto"/>
          <w:color w:val="0000FF"/>
          <w:highlight w:val="lightGray"/>
        </w:rPr>
        <w:t>such component thereof) or, if such Benchmark is a term rate,</w:t>
      </w:r>
      <w:r>
        <w:rPr>
          <w:rFonts w:ascii="Arial" w:cs="Arial" w:eastAsia="Arial" w:hAnsi="Arial"/>
          <w:sz w:val="21"/>
          <w:szCs w:val="21"/>
          <w:color w:val="0000FF"/>
          <w:highlight w:val="lightGray"/>
        </w:rPr>
        <w:t xml:space="preserve"> </w:t>
      </w:r>
      <w:r>
        <w:rPr>
          <w:rFonts w:ascii="Arial" w:cs="Arial" w:eastAsia="Arial" w:hAnsi="Arial"/>
          <w:sz w:val="21"/>
          <w:szCs w:val="21"/>
          <w:color w:val="000000"/>
        </w:rPr>
        <w:t>all Available Tenors of such Benchmark (or such component</w:t>
      </w:r>
      <w:r>
        <w:rPr>
          <w:rFonts w:ascii="Arial" w:cs="Arial" w:eastAsia="Arial" w:hAnsi="Arial"/>
          <w:sz w:val="21"/>
          <w:szCs w:val="21"/>
          <w:color w:val="0000FF"/>
          <w:highlight w:val="lightGray"/>
        </w:rPr>
        <w:t xml:space="preserve"> </w:t>
      </w:r>
      <w:r>
        <w:rPr>
          <w:rFonts w:ascii="Arial" w:cs="Arial" w:eastAsia="Arial" w:hAnsi="Arial"/>
          <w:sz w:val="21"/>
          <w:szCs w:val="21"/>
          <w:color w:val="000000"/>
        </w:rPr>
        <w:t xml:space="preserve">thereof) permanently or indefinitely,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that, at the time of such statement or publication, there is no successor administrator that will continue to provide </w:t>
      </w:r>
      <w:r>
        <w:rPr>
          <w:rFonts w:ascii="Arial" w:cs="Arial" w:eastAsia="Arial" w:hAnsi="Arial"/>
          <w:sz w:val="21"/>
          <w:szCs w:val="21"/>
          <w:u w:val="single" w:color="auto"/>
          <w:color w:val="0000FF"/>
          <w:highlight w:val="lightGray"/>
        </w:rPr>
        <w:t>such Benchmark (or such component thereof) or, if such Benchmark is a term rate,</w:t>
      </w:r>
      <w:r>
        <w:rPr>
          <w:rFonts w:ascii="Arial" w:cs="Arial" w:eastAsia="Arial" w:hAnsi="Arial"/>
          <w:sz w:val="21"/>
          <w:szCs w:val="21"/>
          <w:color w:val="000000"/>
        </w:rPr>
        <w:t xml:space="preserve"> any Available Tenor of such Benchmark (or such component thereof); or</w:t>
      </w:r>
    </w:p>
    <w:p>
      <w:pPr>
        <w:spacing w:after="0" w:line="160" w:lineRule="exact"/>
        <w:rPr>
          <w:sz w:val="20"/>
          <w:szCs w:val="20"/>
          <w:color w:val="auto"/>
        </w:rPr>
      </w:pPr>
    </w:p>
    <w:p>
      <w:pPr>
        <w:jc w:val="both"/>
        <w:ind w:firstLine="1304"/>
        <w:spacing w:after="0" w:line="218" w:lineRule="auto"/>
        <w:tabs>
          <w:tab w:leader="none" w:pos="1633"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a public statement or publication of information by the regulatory supervisor for the administrator of such Benchmark (or the published component used in the calculation thereof) announcing that </w:t>
      </w:r>
      <w:r>
        <w:rPr>
          <w:rFonts w:ascii="Arial" w:cs="Arial" w:eastAsia="Arial" w:hAnsi="Arial"/>
          <w:sz w:val="22"/>
          <w:szCs w:val="22"/>
          <w:u w:val="single" w:color="auto"/>
          <w:color w:val="0000FF"/>
          <w:highlight w:val="lightGray"/>
        </w:rPr>
        <w:t>such Benchmark (or such component</w:t>
      </w:r>
      <w:r>
        <w:rPr>
          <w:rFonts w:ascii="Arial" w:cs="Arial" w:eastAsia="Arial" w:hAnsi="Arial"/>
          <w:sz w:val="22"/>
          <w:szCs w:val="22"/>
          <w:color w:val="auto"/>
        </w:rPr>
        <w:t xml:space="preserve"> </w:t>
      </w:r>
      <w:r>
        <w:rPr>
          <w:rFonts w:ascii="Arial" w:cs="Arial" w:eastAsia="Arial" w:hAnsi="Arial"/>
          <w:sz w:val="22"/>
          <w:szCs w:val="22"/>
          <w:u w:val="single" w:color="auto"/>
          <w:color w:val="0000FF"/>
          <w:highlight w:val="lightGray"/>
        </w:rPr>
        <w:t>thereof) or, if such Benchmark is a term rate,</w:t>
      </w:r>
      <w:r>
        <w:rPr>
          <w:rFonts w:ascii="Arial" w:cs="Arial" w:eastAsia="Arial" w:hAnsi="Arial"/>
          <w:sz w:val="22"/>
          <w:szCs w:val="22"/>
          <w:color w:val="0000FF"/>
          <w:highlight w:val="lightGray"/>
        </w:rPr>
        <w:t xml:space="preserve"> </w:t>
      </w:r>
      <w:r>
        <w:rPr>
          <w:rFonts w:ascii="Arial" w:cs="Arial" w:eastAsia="Arial" w:hAnsi="Arial"/>
          <w:sz w:val="22"/>
          <w:szCs w:val="22"/>
          <w:color w:val="000000"/>
        </w:rPr>
        <w:t>all Available Tenors of such Benchmark (or such component thereof) are no longer,</w:t>
      </w:r>
      <w:r>
        <w:rPr>
          <w:rFonts w:ascii="Arial" w:cs="Arial" w:eastAsia="Arial" w:hAnsi="Arial"/>
          <w:sz w:val="22"/>
          <w:szCs w:val="22"/>
          <w:color w:val="0000FF"/>
          <w:highlight w:val="lightGray"/>
        </w:rPr>
        <w:t xml:space="preserve"> </w:t>
      </w:r>
      <w:r>
        <w:rPr>
          <w:rFonts w:ascii="Arial" w:cs="Arial" w:eastAsia="Arial" w:hAnsi="Arial"/>
          <w:sz w:val="22"/>
          <w:szCs w:val="22"/>
          <w:color w:val="000000"/>
        </w:rPr>
        <w:t>or as of a specified future date will no longer be, representative.</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For the avoidance of doubt, a “Benchmark Transition Event” will be deemed to have occurred with respect to any</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Benchmark if a public statement or publication of information set forth above has occurred with respect to each then-current</w:t>
      </w:r>
    </w:p>
    <w:p>
      <w:pPr>
        <w:spacing w:after="0"/>
        <w:rPr>
          <w:sz w:val="20"/>
          <w:szCs w:val="20"/>
          <w:color w:val="auto"/>
        </w:rPr>
      </w:pPr>
      <w:r>
        <w:rPr>
          <w:rFonts w:ascii="Arial" w:cs="Arial" w:eastAsia="Arial" w:hAnsi="Arial"/>
          <w:sz w:val="22"/>
          <w:szCs w:val="22"/>
          <w:color w:val="auto"/>
        </w:rPr>
        <w:t>Available Tenor of such Benchmark (or the published component used in the calculation thereof).</w:t>
      </w:r>
    </w:p>
    <w:p>
      <w:pPr>
        <w:spacing w:after="0" w:line="161"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Unavailability Period</w:t>
      </w:r>
      <w:r>
        <w:rPr>
          <w:rFonts w:ascii="Arial" w:cs="Arial" w:eastAsia="Arial" w:hAnsi="Arial"/>
          <w:sz w:val="19"/>
          <w:szCs w:val="19"/>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2.13 and (y) ending at the time that a Benchmark Replacement has replaced such then-current Benchmark for all purposes hereunder and under any Loan Document in accordance with Section 2.13.</w:t>
      </w:r>
    </w:p>
    <w:p>
      <w:pPr>
        <w:spacing w:after="0" w:line="14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means a certification regarding beneficial ownership or control as required by the Beneficial Ownership Regulation.</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means 31 C.F.R. § 1010.230.</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Beneficiary</w:t>
      </w:r>
      <w:r>
        <w:rPr>
          <w:rFonts w:ascii="Arial" w:cs="Arial" w:eastAsia="Arial" w:hAnsi="Arial"/>
          <w:sz w:val="22"/>
          <w:szCs w:val="22"/>
          <w:color w:val="auto"/>
        </w:rPr>
        <w:t>” means each Agent, Issuing Bank, Lender and Lender Counterparty.</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Plans</w:t>
      </w:r>
      <w:r>
        <w:rPr>
          <w:rFonts w:ascii="Arial" w:cs="Arial" w:eastAsia="Arial" w:hAnsi="Arial"/>
          <w:sz w:val="22"/>
          <w:szCs w:val="22"/>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BHC Act Affiliate</w:t>
      </w:r>
      <w:r>
        <w:rPr>
          <w:rFonts w:ascii="Arial" w:cs="Arial" w:eastAsia="Arial" w:hAnsi="Arial"/>
          <w:sz w:val="22"/>
          <w:szCs w:val="22"/>
          <w:color w:val="auto"/>
        </w:rPr>
        <w:t>” of a party means an “affiliate” (as such term is defined under, and interpreted in accordance with, 12 U.S.C. § 1841(k)) of such party.</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Governors of the Federal Reserve System of the United States of America (or any</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successor).</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means the board of directors or comparable governing body of Holdings, or any committee thereof duly authorized to act on its behalf.</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Bona Fide Debt Fund</w:t>
      </w:r>
      <w:r>
        <w:rPr>
          <w:rFonts w:ascii="Arial" w:cs="Arial" w:eastAsia="Arial" w:hAnsi="Arial"/>
          <w:sz w:val="21"/>
          <w:szCs w:val="21"/>
          <w:color w:val="auto"/>
        </w:rPr>
        <w:t>” means any fund or investment vehicle that is engaged in the making, purchasing, holding or otherwise investing in commercial loans, bonds and other similar extensions of credit in the ordinary course.</w:t>
      </w:r>
    </w:p>
    <w:p>
      <w:pPr>
        <w:sectPr>
          <w:pgSz w:w="11900" w:h="16838" w:orient="portrait"/>
          <w:cols w:equalWidth="0" w:num="1">
            <w:col w:w="11240"/>
          </w:cols>
          <w:pgMar w:left="320" w:top="1401" w:right="339" w:bottom="1440" w:gutter="0" w:footer="0" w:header="0"/>
        </w:sectPr>
      </w:pPr>
    </w:p>
    <w:bookmarkStart w:id="62" w:name="page63"/>
    <w:bookmarkEnd w:id="62"/>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Bookrunner</w:t>
      </w:r>
      <w:r>
        <w:rPr>
          <w:rFonts w:ascii="Arial" w:cs="Arial" w:eastAsia="Arial" w:hAnsi="Arial"/>
          <w:sz w:val="22"/>
          <w:szCs w:val="22"/>
          <w:color w:val="auto"/>
        </w:rPr>
        <w:t>” means JPMCB, in its capacity as sole bookrunner, and any successor thereto.</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Borrowers</w:t>
      </w:r>
      <w:r>
        <w:rPr>
          <w:rFonts w:ascii="Arial" w:cs="Arial" w:eastAsia="Arial" w:hAnsi="Arial"/>
          <w:sz w:val="22"/>
          <w:szCs w:val="22"/>
          <w:color w:val="auto"/>
        </w:rPr>
        <w:t>” has the meaning set forth in the preamble of this Agreement.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Borrowing</w:t>
      </w:r>
      <w:r>
        <w:rPr>
          <w:rFonts w:ascii="Arial" w:cs="Arial" w:eastAsia="Arial" w:hAnsi="Arial"/>
          <w:sz w:val="22"/>
          <w:szCs w:val="22"/>
          <w:color w:val="auto"/>
        </w:rPr>
        <w:t xml:space="preserve">” means Loans of the same Type, made, converted or continued on the same date and, in the case of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highlight w:val="lightGray"/>
        </w:rPr>
        <w:t>Term Benchmark</w:t>
      </w:r>
      <w:r>
        <w:rPr>
          <w:rFonts w:ascii="Arial" w:cs="Arial" w:eastAsia="Arial" w:hAnsi="Arial"/>
          <w:sz w:val="22"/>
          <w:szCs w:val="22"/>
          <w:color w:val="FF0000"/>
        </w:rPr>
        <w:t xml:space="preserve"> </w:t>
      </w:r>
      <w:r>
        <w:rPr>
          <w:rFonts w:ascii="Arial" w:cs="Arial" w:eastAsia="Arial" w:hAnsi="Arial"/>
          <w:sz w:val="22"/>
          <w:szCs w:val="22"/>
          <w:color w:val="000000"/>
        </w:rPr>
        <w:t>Loans, as to which a single Interest Period is in effect.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Borrowing Request</w:t>
      </w:r>
      <w:r>
        <w:rPr>
          <w:rFonts w:ascii="Arial" w:cs="Arial" w:eastAsia="Arial" w:hAnsi="Arial"/>
          <w:sz w:val="21"/>
          <w:szCs w:val="21"/>
          <w:color w:val="auto"/>
        </w:rPr>
        <w:t xml:space="preserve">” means a request by the Borrowers for a Borrowing in accordance with </w:t>
      </w:r>
      <w:r>
        <w:rPr>
          <w:rFonts w:ascii="Arial" w:cs="Arial" w:eastAsia="Arial" w:hAnsi="Arial"/>
          <w:sz w:val="21"/>
          <w:szCs w:val="21"/>
          <w:u w:val="single" w:color="auto"/>
          <w:color w:val="auto"/>
        </w:rPr>
        <w:t>Section 2.5</w:t>
      </w:r>
      <w:r>
        <w:rPr>
          <w:rFonts w:ascii="Arial" w:cs="Arial" w:eastAsia="Arial" w:hAnsi="Arial"/>
          <w:sz w:val="21"/>
          <w:szCs w:val="21"/>
          <w:color w:val="auto"/>
        </w:rPr>
        <w:t>.</w:t>
      </w:r>
    </w:p>
    <w:p>
      <w:pPr>
        <w:spacing w:after="0" w:line="191"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xml:space="preserve">” means any day that is not a Saturday, Sunday or other day on which commercial banks in New York City are authorized or required by law to remain closed;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r>
        <w:rPr>
          <w:rFonts w:ascii="Arial" w:cs="Arial" w:eastAsia="Arial" w:hAnsi="Arial"/>
          <w:sz w:val="19"/>
          <w:szCs w:val="19"/>
          <w:color w:val="FF0000"/>
          <w:strike w:val="1"/>
        </w:rPr>
        <w:t>, when used in connection with a Eurodollar Loan, the</w:t>
      </w:r>
      <w:r>
        <w:rPr>
          <w:rFonts w:ascii="Arial" w:cs="Arial" w:eastAsia="Arial" w:hAnsi="Arial"/>
          <w:sz w:val="19"/>
          <w:szCs w:val="19"/>
          <w:color w:val="auto"/>
        </w:rPr>
        <w:t xml:space="preserve"> </w:t>
      </w:r>
      <w:r>
        <w:rPr>
          <w:rFonts w:ascii="Arial" w:cs="Arial" w:eastAsia="Arial" w:hAnsi="Arial"/>
          <w:sz w:val="19"/>
          <w:szCs w:val="19"/>
          <w:color w:val="FF0000"/>
          <w:strike w:val="1"/>
        </w:rPr>
        <w:t>term “</w:t>
      </w:r>
      <w:r>
        <w:rPr>
          <w:rFonts w:ascii="Arial" w:cs="Arial" w:eastAsia="Arial" w:hAnsi="Arial"/>
          <w:sz w:val="19"/>
          <w:szCs w:val="19"/>
          <w:u w:val="single" w:color="auto"/>
          <w:color w:val="FF0000"/>
          <w:strike w:val="1"/>
        </w:rPr>
        <w:t>Business Day</w:t>
      </w:r>
      <w:r>
        <w:rPr>
          <w:rFonts w:ascii="Arial" w:cs="Arial" w:eastAsia="Arial" w:hAnsi="Arial"/>
          <w:sz w:val="19"/>
          <w:szCs w:val="19"/>
          <w:color w:val="FF0000"/>
          <w:strike w:val="1"/>
        </w:rPr>
        <w:t xml:space="preserve">” shall also exclude any day on which banks are not open for dealings in dollar deposits in the London interbank market. </w:t>
      </w:r>
      <w:r>
        <w:rPr>
          <w:rFonts w:ascii="Arial" w:cs="Arial" w:eastAsia="Arial" w:hAnsi="Arial"/>
          <w:sz w:val="19"/>
          <w:szCs w:val="19"/>
          <w:u w:val="single" w:color="auto"/>
          <w:color w:val="0000FF"/>
          <w:highlight w:val="lightGray"/>
          <w:strike w:val="1"/>
        </w:rPr>
        <w:t>only a U.S. Government Securities Business Day shall be a Business Day in relation to Loans referencing the</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highlight w:val="lightGray"/>
          <w:strike w:val="1"/>
        </w:rPr>
        <w:t>Adjusted Term SOFR Rate and any interest rate settings, fundings, disbursements, settlements or payments of any such Loans referencing the Adjusted Term SOFR Rate or any other dealings of such Loans referencing the Adjusted Term SOFR Rate.</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Dollar</w:t>
      </w:r>
      <w:r>
        <w:rPr>
          <w:rFonts w:ascii="Arial" w:cs="Arial" w:eastAsia="Arial" w:hAnsi="Arial"/>
          <w:sz w:val="22"/>
          <w:szCs w:val="22"/>
          <w:color w:val="auto"/>
        </w:rPr>
        <w:t>” means the lawful currency of Canada.</w:t>
      </w:r>
    </w:p>
    <w:p>
      <w:pPr>
        <w:spacing w:after="0" w:line="17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Capital Lease Obligations</w:t>
      </w:r>
      <w:r>
        <w:rPr>
          <w:rFonts w:ascii="Arial" w:cs="Arial" w:eastAsia="Arial" w:hAnsi="Arial"/>
          <w:sz w:val="19"/>
          <w:szCs w:val="19"/>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obligations relating to a lease that was accounted for by such Person as an operating lease for purposes of GAAP prior to the implementation of Financial Accounting Standards Board ASU No. 2016-02, Leases (Topic 842) and any interpretations thereof (“</w:t>
      </w:r>
      <w:r>
        <w:rPr>
          <w:rFonts w:ascii="Arial" w:cs="Arial" w:eastAsia="Arial" w:hAnsi="Arial"/>
          <w:sz w:val="19"/>
          <w:szCs w:val="19"/>
          <w:u w:val="single" w:color="auto"/>
          <w:color w:val="auto"/>
        </w:rPr>
        <w:t>ASU 842</w:t>
      </w:r>
      <w:r>
        <w:rPr>
          <w:rFonts w:ascii="Arial" w:cs="Arial" w:eastAsia="Arial" w:hAnsi="Arial"/>
          <w:sz w:val="19"/>
          <w:szCs w:val="19"/>
          <w:color w:val="auto"/>
        </w:rPr>
        <w:t xml:space="preserve">”) shall continue to be accounted for as operating leases and not as Capital Lease Obligations for purposes of all financial definitions, calculations and covenants for purpose of this Agreement notwithstanding the fact that such obligations are required in accordance with ASU 842 to be treated as capitalized lease obligations in accordance with GAAP in the financial statements to be delivered pursuant to the Loan Documents. For purposes of </w:t>
      </w:r>
      <w:r>
        <w:rPr>
          <w:rFonts w:ascii="Arial" w:cs="Arial" w:eastAsia="Arial" w:hAnsi="Arial"/>
          <w:sz w:val="19"/>
          <w:szCs w:val="19"/>
          <w:u w:val="single" w:color="auto"/>
          <w:color w:val="auto"/>
        </w:rPr>
        <w:t>Section 6.2</w:t>
      </w:r>
      <w:r>
        <w:rPr>
          <w:rFonts w:ascii="Arial" w:cs="Arial" w:eastAsia="Arial" w:hAnsi="Arial"/>
          <w:sz w:val="19"/>
          <w:szCs w:val="19"/>
          <w:color w:val="auto"/>
        </w:rPr>
        <w:t>, a Capital Lease Obligation shall be deemed to be secured by a Lien on the property being leased and such property shall be deemed to be owned by the lessee.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Equivalents</w:t>
      </w:r>
      <w:r>
        <w:rPr>
          <w:rFonts w:ascii="Arial" w:cs="Arial" w:eastAsia="Arial" w:hAnsi="Arial"/>
          <w:sz w:val="22"/>
          <w:szCs w:val="22"/>
          <w:color w:val="auto"/>
        </w:rPr>
        <w:t>” means</w:t>
      </w:r>
    </w:p>
    <w:p>
      <w:pPr>
        <w:spacing w:after="0" w:line="179" w:lineRule="exact"/>
        <w:rPr>
          <w:sz w:val="20"/>
          <w:szCs w:val="20"/>
          <w:color w:val="auto"/>
        </w:rPr>
      </w:pPr>
    </w:p>
    <w:p>
      <w:pPr>
        <w:ind w:left="1780" w:hanging="476"/>
        <w:spacing w:after="0"/>
        <w:tabs>
          <w:tab w:leader="none" w:pos="1780" w:val="left"/>
        </w:tabs>
        <w:numPr>
          <w:ilvl w:val="0"/>
          <w:numId w:val="47"/>
        </w:numPr>
        <w:rPr>
          <w:rFonts w:ascii="Arial" w:cs="Arial" w:eastAsia="Arial" w:hAnsi="Arial"/>
          <w:sz w:val="22"/>
          <w:szCs w:val="22"/>
          <w:color w:val="auto"/>
        </w:rPr>
      </w:pPr>
      <w:r>
        <w:rPr>
          <w:rFonts w:ascii="Arial" w:cs="Arial" w:eastAsia="Arial" w:hAnsi="Arial"/>
          <w:sz w:val="22"/>
          <w:szCs w:val="22"/>
          <w:color w:val="auto"/>
        </w:rPr>
        <w:t>United States dollars, or money in other currencies received in the ordinary course of business,</w:t>
      </w:r>
    </w:p>
    <w:p>
      <w:pPr>
        <w:spacing w:after="0" w:line="179" w:lineRule="exact"/>
        <w:rPr>
          <w:rFonts w:ascii="Arial" w:cs="Arial" w:eastAsia="Arial" w:hAnsi="Arial"/>
          <w:sz w:val="22"/>
          <w:szCs w:val="22"/>
          <w:color w:val="auto"/>
        </w:rPr>
      </w:pPr>
    </w:p>
    <w:p>
      <w:pPr>
        <w:ind w:firstLine="1304"/>
        <w:spacing w:after="0" w:line="232" w:lineRule="auto"/>
        <w:tabs>
          <w:tab w:leader="none" w:pos="1987" w:val="left"/>
        </w:tabs>
        <w:numPr>
          <w:ilvl w:val="0"/>
          <w:numId w:val="47"/>
        </w:numPr>
        <w:rPr>
          <w:rFonts w:ascii="Arial" w:cs="Arial" w:eastAsia="Arial" w:hAnsi="Arial"/>
          <w:sz w:val="22"/>
          <w:szCs w:val="22"/>
          <w:color w:val="auto"/>
        </w:rPr>
      </w:pPr>
      <w:r>
        <w:rPr>
          <w:rFonts w:ascii="Arial" w:cs="Arial" w:eastAsia="Arial" w:hAnsi="Arial"/>
          <w:sz w:val="22"/>
          <w:szCs w:val="22"/>
          <w:color w:val="auto"/>
        </w:rPr>
        <w:t>U.S. Government Obligations or certificates representing an ownership interest in U.S. Government Obligations with maturities not exceeding one year from the date of acquisition,</w:t>
      </w:r>
    </w:p>
    <w:p>
      <w:pPr>
        <w:spacing w:after="0" w:line="158" w:lineRule="exact"/>
        <w:rPr>
          <w:rFonts w:ascii="Arial" w:cs="Arial" w:eastAsia="Arial" w:hAnsi="Arial"/>
          <w:sz w:val="22"/>
          <w:szCs w:val="22"/>
          <w:color w:val="auto"/>
        </w:rPr>
      </w:pPr>
    </w:p>
    <w:p>
      <w:pPr>
        <w:jc w:val="both"/>
        <w:ind w:firstLine="1304"/>
        <w:spacing w:after="0" w:line="268" w:lineRule="auto"/>
        <w:tabs>
          <w:tab w:leader="none" w:pos="1791" w:val="left"/>
        </w:tabs>
        <w:numPr>
          <w:ilvl w:val="0"/>
          <w:numId w:val="47"/>
        </w:numPr>
        <w:rPr>
          <w:rFonts w:ascii="Arial" w:cs="Arial" w:eastAsia="Arial" w:hAnsi="Arial"/>
          <w:sz w:val="19"/>
          <w:szCs w:val="19"/>
          <w:color w:val="auto"/>
        </w:rPr>
      </w:pPr>
      <w:r>
        <w:rPr>
          <w:rFonts w:ascii="Arial" w:cs="Arial" w:eastAsia="Arial" w:hAnsi="Arial"/>
          <w:sz w:val="19"/>
          <w:szCs w:val="19"/>
          <w:color w:val="auto"/>
        </w:rPr>
        <w:t>(i) demand deposits, (ii) time deposits, eurodollar time deposits and certificates of deposit with maturities of one year or less from the date of acquisition, (iii) bankers’ acceptances with maturities not exceeding one year from the date of acquisition, and (iv) overnight bank deposits, in each case with any Lender or any bank or trust company</w:t>
      </w:r>
    </w:p>
    <w:p>
      <w:pPr>
        <w:sectPr>
          <w:pgSz w:w="11900" w:h="16838" w:orient="portrait"/>
          <w:cols w:equalWidth="0" w:num="1">
            <w:col w:w="11240"/>
          </w:cols>
          <w:pgMar w:left="320" w:top="1401" w:right="339" w:bottom="1440" w:gutter="0" w:footer="0" w:header="0"/>
        </w:sectPr>
      </w:pPr>
    </w:p>
    <w:bookmarkStart w:id="63" w:name="page64"/>
    <w:bookmarkEnd w:id="63"/>
    <w:p>
      <w:pPr>
        <w:spacing w:after="0" w:line="232" w:lineRule="auto"/>
        <w:rPr>
          <w:sz w:val="20"/>
          <w:szCs w:val="20"/>
          <w:color w:val="auto"/>
        </w:rPr>
      </w:pPr>
      <w:r>
        <w:rPr>
          <w:rFonts w:ascii="Arial" w:cs="Arial" w:eastAsia="Arial" w:hAnsi="Arial"/>
          <w:sz w:val="22"/>
          <w:szCs w:val="22"/>
          <w:color w:val="auto"/>
        </w:rPr>
        <w:t>organized or licensed under the laws of the United States or any State thereof having capital, surplus and undivided profits in excess of $250 million,</w:t>
      </w:r>
    </w:p>
    <w:p>
      <w:pPr>
        <w:spacing w:after="0" w:line="159" w:lineRule="exact"/>
        <w:rPr>
          <w:sz w:val="20"/>
          <w:szCs w:val="20"/>
          <w:color w:val="auto"/>
        </w:rPr>
      </w:pPr>
    </w:p>
    <w:p>
      <w:pPr>
        <w:jc w:val="both"/>
        <w:ind w:firstLine="1304"/>
        <w:spacing w:after="0" w:line="247" w:lineRule="auto"/>
        <w:tabs>
          <w:tab w:leader="none" w:pos="1769" w:val="left"/>
        </w:tabs>
        <w:numPr>
          <w:ilvl w:val="1"/>
          <w:numId w:val="48"/>
        </w:numPr>
        <w:rPr>
          <w:rFonts w:ascii="Arial" w:cs="Arial" w:eastAsia="Arial" w:hAnsi="Arial"/>
          <w:sz w:val="19"/>
          <w:szCs w:val="19"/>
          <w:color w:val="auto"/>
        </w:rPr>
      </w:pPr>
      <w:r>
        <w:rPr>
          <w:rFonts w:ascii="Arial" w:cs="Arial" w:eastAsia="Arial" w:hAnsi="Arial"/>
          <w:sz w:val="19"/>
          <w:szCs w:val="19"/>
          <w:color w:val="auto"/>
        </w:rPr>
        <w:t>repurchase obligations with a term of not more than 30 days for underlying securities of the type described in clauses (2) and (3) above entered into with any Lender or other financial institution meeting the qualifications specified in clause</w:t>
      </w:r>
    </w:p>
    <w:p>
      <w:pPr>
        <w:ind w:left="320" w:hanging="312"/>
        <w:spacing w:after="0"/>
        <w:tabs>
          <w:tab w:leader="none" w:pos="32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above,</w:t>
      </w:r>
    </w:p>
    <w:p>
      <w:pPr>
        <w:spacing w:after="0" w:line="161" w:lineRule="exact"/>
        <w:rPr>
          <w:rFonts w:ascii="Arial" w:cs="Arial" w:eastAsia="Arial" w:hAnsi="Arial"/>
          <w:sz w:val="22"/>
          <w:szCs w:val="22"/>
          <w:color w:val="auto"/>
        </w:rPr>
      </w:pPr>
    </w:p>
    <w:p>
      <w:pPr>
        <w:ind w:left="1800" w:hanging="496"/>
        <w:spacing w:after="0"/>
        <w:tabs>
          <w:tab w:leader="none" w:pos="1800" w:val="left"/>
        </w:tabs>
        <w:numPr>
          <w:ilvl w:val="1"/>
          <w:numId w:val="49"/>
        </w:numPr>
        <w:rPr>
          <w:rFonts w:ascii="Arial" w:cs="Arial" w:eastAsia="Arial" w:hAnsi="Arial"/>
          <w:sz w:val="19"/>
          <w:szCs w:val="19"/>
          <w:color w:val="auto"/>
        </w:rPr>
      </w:pPr>
      <w:r>
        <w:rPr>
          <w:rFonts w:ascii="Arial" w:cs="Arial" w:eastAsia="Arial" w:hAnsi="Arial"/>
          <w:sz w:val="19"/>
          <w:szCs w:val="19"/>
          <w:color w:val="auto"/>
        </w:rPr>
        <w:t>commercial paper rated at least P-1 by Moody’s or A-1 by S&amp;P and maturing within one year after the date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acquisition,</w:t>
      </w:r>
    </w:p>
    <w:p>
      <w:pPr>
        <w:spacing w:after="0" w:line="161" w:lineRule="exact"/>
        <w:rPr>
          <w:rFonts w:ascii="Arial" w:cs="Arial" w:eastAsia="Arial" w:hAnsi="Arial"/>
          <w:sz w:val="19"/>
          <w:szCs w:val="19"/>
          <w:color w:val="auto"/>
        </w:rPr>
      </w:pPr>
    </w:p>
    <w:p>
      <w:pPr>
        <w:ind w:firstLine="1304"/>
        <w:spacing w:after="0" w:line="232" w:lineRule="auto"/>
        <w:tabs>
          <w:tab w:leader="none" w:pos="1807" w:val="left"/>
        </w:tabs>
        <w:numPr>
          <w:ilvl w:val="1"/>
          <w:numId w:val="49"/>
        </w:numPr>
        <w:rPr>
          <w:rFonts w:ascii="Arial" w:cs="Arial" w:eastAsia="Arial" w:hAnsi="Arial"/>
          <w:sz w:val="22"/>
          <w:szCs w:val="22"/>
          <w:color w:val="auto"/>
        </w:rPr>
      </w:pPr>
      <w:r>
        <w:rPr>
          <w:rFonts w:ascii="Arial" w:cs="Arial" w:eastAsia="Arial" w:hAnsi="Arial"/>
          <w:sz w:val="22"/>
          <w:szCs w:val="22"/>
          <w:color w:val="auto"/>
        </w:rPr>
        <w:t>securities with maturities of one year or less from the date of acquisition which (or the issuer of which) are rated at least A or A-1 by S&amp;P or A2 or P-1 by Moody’s,</w:t>
      </w:r>
    </w:p>
    <w:p>
      <w:pPr>
        <w:spacing w:after="0" w:line="158" w:lineRule="exact"/>
        <w:rPr>
          <w:rFonts w:ascii="Arial" w:cs="Arial" w:eastAsia="Arial" w:hAnsi="Arial"/>
          <w:sz w:val="22"/>
          <w:szCs w:val="22"/>
          <w:color w:val="auto"/>
        </w:rPr>
      </w:pPr>
    </w:p>
    <w:p>
      <w:pPr>
        <w:ind w:firstLine="1304"/>
        <w:spacing w:after="0" w:line="247" w:lineRule="auto"/>
        <w:tabs>
          <w:tab w:leader="none" w:pos="1866" w:val="left"/>
        </w:tabs>
        <w:numPr>
          <w:ilvl w:val="1"/>
          <w:numId w:val="49"/>
        </w:numPr>
        <w:rPr>
          <w:rFonts w:ascii="Arial" w:cs="Arial" w:eastAsia="Arial" w:hAnsi="Arial"/>
          <w:sz w:val="21"/>
          <w:szCs w:val="21"/>
          <w:color w:val="auto"/>
        </w:rPr>
      </w:pPr>
      <w:r>
        <w:rPr>
          <w:rFonts w:ascii="Arial" w:cs="Arial" w:eastAsia="Arial" w:hAnsi="Arial"/>
          <w:sz w:val="21"/>
          <w:szCs w:val="21"/>
          <w:color w:val="auto"/>
        </w:rPr>
        <w:t>securities with maturities of six months or less from the date of acquisition backed by standby letters of credit issued by any Lender or other financial institution meeting the qualifications specified in clause (3) above,</w:t>
      </w:r>
    </w:p>
    <w:p>
      <w:pPr>
        <w:spacing w:after="0" w:line="150" w:lineRule="exact"/>
        <w:rPr>
          <w:rFonts w:ascii="Arial" w:cs="Arial" w:eastAsia="Arial" w:hAnsi="Arial"/>
          <w:sz w:val="21"/>
          <w:szCs w:val="21"/>
          <w:color w:val="auto"/>
        </w:rPr>
      </w:pPr>
    </w:p>
    <w:p>
      <w:pPr>
        <w:ind w:firstLine="1304"/>
        <w:spacing w:after="0" w:line="232" w:lineRule="auto"/>
        <w:tabs>
          <w:tab w:leader="none" w:pos="1873" w:val="left"/>
        </w:tabs>
        <w:numPr>
          <w:ilvl w:val="1"/>
          <w:numId w:val="49"/>
        </w:numPr>
        <w:rPr>
          <w:rFonts w:ascii="Arial" w:cs="Arial" w:eastAsia="Arial" w:hAnsi="Arial"/>
          <w:sz w:val="22"/>
          <w:szCs w:val="22"/>
          <w:color w:val="auto"/>
        </w:rPr>
      </w:pPr>
      <w:r>
        <w:rPr>
          <w:rFonts w:ascii="Arial" w:cs="Arial" w:eastAsia="Arial" w:hAnsi="Arial"/>
          <w:sz w:val="22"/>
          <w:szCs w:val="22"/>
          <w:color w:val="auto"/>
        </w:rPr>
        <w:t>money market funds at least 90% of the assets of which consist of investments of the type described in clauses (1) through (7) above,</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00" w:val="left"/>
        </w:tabs>
        <w:numPr>
          <w:ilvl w:val="1"/>
          <w:numId w:val="49"/>
        </w:numPr>
        <w:rPr>
          <w:rFonts w:ascii="Arial" w:cs="Arial" w:eastAsia="Arial" w:hAnsi="Arial"/>
          <w:sz w:val="22"/>
          <w:szCs w:val="22"/>
          <w:color w:val="auto"/>
        </w:rPr>
      </w:pPr>
      <w:r>
        <w:rPr>
          <w:rFonts w:ascii="Arial" w:cs="Arial" w:eastAsia="Arial" w:hAnsi="Arial"/>
          <w:sz w:val="22"/>
          <w:szCs w:val="22"/>
          <w:color w:val="auto"/>
        </w:rPr>
        <w:t>money market funds that (i) comply with the criteria set forth in SEC Rule 2a-7 under the Investment Company Act of 1940, as amended, (ii) are rated AAA by S&amp;P and Aaa by Moody’s and (iii) have portfolio assets of at least $5,000,000,000,</w:t>
      </w:r>
    </w:p>
    <w:p>
      <w:pPr>
        <w:spacing w:after="0" w:line="158" w:lineRule="exact"/>
        <w:rPr>
          <w:rFonts w:ascii="Arial" w:cs="Arial" w:eastAsia="Arial" w:hAnsi="Arial"/>
          <w:sz w:val="22"/>
          <w:szCs w:val="22"/>
          <w:color w:val="auto"/>
        </w:rPr>
      </w:pPr>
    </w:p>
    <w:p>
      <w:pPr>
        <w:jc w:val="both"/>
        <w:ind w:firstLine="1304"/>
        <w:spacing w:after="0" w:line="268" w:lineRule="auto"/>
        <w:tabs>
          <w:tab w:leader="none" w:pos="2029" w:val="left"/>
        </w:tabs>
        <w:numPr>
          <w:ilvl w:val="1"/>
          <w:numId w:val="49"/>
        </w:numPr>
        <w:rPr>
          <w:rFonts w:ascii="Arial" w:cs="Arial" w:eastAsia="Arial" w:hAnsi="Arial"/>
          <w:sz w:val="19"/>
          <w:szCs w:val="19"/>
          <w:color w:val="auto"/>
        </w:rPr>
      </w:pPr>
      <w:r>
        <w:rPr>
          <w:rFonts w:ascii="Arial" w:cs="Arial" w:eastAsia="Arial" w:hAnsi="Arial"/>
          <w:sz w:val="19"/>
          <w:szCs w:val="19"/>
          <w:color w:val="auto"/>
        </w:rPr>
        <w:t>Investments made pursuant to Holdings’ investment policy as approved by the Board of Directors as in effect on, and provided to the Administrative Agent on or prior to, the Effective Date, and as may be amended, supplemented or otherwise modified by the Board of Directors in a manner reasonably satisfactory to the Administrative Agent, and</w:t>
      </w:r>
    </w:p>
    <w:p>
      <w:pPr>
        <w:spacing w:after="0" w:line="132" w:lineRule="exact"/>
        <w:rPr>
          <w:rFonts w:ascii="Arial" w:cs="Arial" w:eastAsia="Arial" w:hAnsi="Arial"/>
          <w:sz w:val="19"/>
          <w:szCs w:val="19"/>
          <w:color w:val="auto"/>
        </w:rPr>
      </w:pPr>
    </w:p>
    <w:p>
      <w:pPr>
        <w:jc w:val="both"/>
        <w:ind w:firstLine="1304"/>
        <w:spacing w:after="0" w:line="221" w:lineRule="auto"/>
        <w:tabs>
          <w:tab w:leader="none" w:pos="1930" w:val="left"/>
        </w:tabs>
        <w:numPr>
          <w:ilvl w:val="1"/>
          <w:numId w:val="49"/>
        </w:numPr>
        <w:rPr>
          <w:rFonts w:ascii="Arial" w:cs="Arial" w:eastAsia="Arial" w:hAnsi="Arial"/>
          <w:sz w:val="21"/>
          <w:szCs w:val="21"/>
          <w:color w:val="auto"/>
        </w:rPr>
      </w:pPr>
      <w:r>
        <w:rPr>
          <w:rFonts w:ascii="Arial" w:cs="Arial" w:eastAsia="Arial" w:hAnsi="Arial"/>
          <w:sz w:val="21"/>
          <w:szCs w:val="21"/>
          <w:color w:val="auto"/>
        </w:rPr>
        <w:t>(i) in the case of any Foreign Subsidiary, instruments and investments of the type and maturity described in clause (1) through (10) above denominated in any foreign currency that are comparable in investment quality to those referred to above and are customarily used by companies in the jurisdiction of such Foreign Subsidiary for cash management purposes or (ii) in the case of Holdings or any Restricted Subsidiary, instruments and investments of the type and maturity described in clause (1) through (10) above denominated in any foreign currency that are comparable in investment quality to those referred to above and are customarily used by companies for cash management purposes in any jurisdiction outside the United States of America to the extent reasonably required in connection with any business conducted by Holdings or such Restricted Subsidiary in such jurisdiction.</w:t>
      </w:r>
    </w:p>
    <w:p>
      <w:pPr>
        <w:spacing w:after="0" w:line="165"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Management Services</w:t>
      </w:r>
      <w:r>
        <w:rPr>
          <w:rFonts w:ascii="Arial" w:cs="Arial" w:eastAsia="Arial" w:hAnsi="Arial"/>
          <w:sz w:val="19"/>
          <w:szCs w:val="19"/>
          <w:color w:val="auto"/>
        </w:rPr>
        <w:t>” means (a) treasury management services (including controlled disbursements, zero balance arrangements, cash sweeps, automated clearinghouse transactions, return items, overdrafts, temporary advances, interest and fees and interstate depository network services) provided to Holdings or any of its Restricted Subsidiaries, (b) business credit card, commercial credit card and purchasing card services and (c) any other demand deposit or operating account relationships or other cash management services, in each case provided to Holdings or any of its Restricted Subsidiaries.</w:t>
      </w:r>
    </w:p>
    <w:p>
      <w:pPr>
        <w:spacing w:after="0" w:line="14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Management Services Agreement</w:t>
      </w:r>
      <w:r>
        <w:rPr>
          <w:rFonts w:ascii="Arial" w:cs="Arial" w:eastAsia="Arial" w:hAnsi="Arial"/>
          <w:sz w:val="22"/>
          <w:szCs w:val="22"/>
          <w:color w:val="auto"/>
        </w:rPr>
        <w:t>” means any agreement with respect to the provision of Cash Management Services to Holdings or any of its Restricted Subsidiaries.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earliest to occur of:</w:t>
      </w:r>
    </w:p>
    <w:p>
      <w:pPr>
        <w:sectPr>
          <w:pgSz w:w="11900" w:h="16838" w:orient="portrait"/>
          <w:cols w:equalWidth="0" w:num="1">
            <w:col w:w="11240"/>
          </w:cols>
          <w:pgMar w:left="320" w:top="1401" w:right="339" w:bottom="1440" w:gutter="0" w:footer="0" w:header="0"/>
        </w:sectPr>
      </w:pPr>
    </w:p>
    <w:bookmarkStart w:id="64" w:name="page65"/>
    <w:bookmarkEnd w:id="64"/>
    <w:p>
      <w:pPr>
        <w:jc w:val="both"/>
        <w:ind w:firstLine="1304"/>
        <w:spacing w:after="0" w:line="223" w:lineRule="auto"/>
        <w:tabs>
          <w:tab w:leader="none" w:pos="1597" w:val="left"/>
        </w:tabs>
        <w:numPr>
          <w:ilvl w:val="0"/>
          <w:numId w:val="50"/>
        </w:numPr>
        <w:rPr>
          <w:rFonts w:ascii="Arial" w:cs="Arial" w:eastAsia="Arial" w:hAnsi="Arial"/>
          <w:sz w:val="22"/>
          <w:szCs w:val="22"/>
          <w:color w:val="auto"/>
        </w:rPr>
      </w:pPr>
      <w:r>
        <w:rPr>
          <w:rFonts w:ascii="Arial" w:cs="Arial" w:eastAsia="Arial" w:hAnsi="Arial"/>
          <w:sz w:val="22"/>
          <w:szCs w:val="22"/>
          <w:color w:val="auto"/>
        </w:rPr>
        <w:t>at any time prior to a Qualifying IPO, the Permitted Holders ceasing to beneficially own, directly or indirectly (within the meaning of Rule 13d-3 and Rule 13d-5 under the Exchange Act), Equity Interests representing more than 50.0% of the total voting power of all of the outstanding Voting Equity Interests in Holdings;</w:t>
      </w:r>
    </w:p>
    <w:p>
      <w:pPr>
        <w:spacing w:after="0" w:line="158" w:lineRule="exact"/>
        <w:rPr>
          <w:rFonts w:ascii="Arial" w:cs="Arial" w:eastAsia="Arial" w:hAnsi="Arial"/>
          <w:sz w:val="22"/>
          <w:szCs w:val="22"/>
          <w:color w:val="auto"/>
        </w:rPr>
      </w:pPr>
    </w:p>
    <w:p>
      <w:pPr>
        <w:jc w:val="both"/>
        <w:ind w:firstLine="1304"/>
        <w:spacing w:after="0" w:line="221" w:lineRule="auto"/>
        <w:tabs>
          <w:tab w:leader="none" w:pos="1602" w:val="left"/>
        </w:tabs>
        <w:numPr>
          <w:ilvl w:val="0"/>
          <w:numId w:val="50"/>
        </w:numPr>
        <w:rPr>
          <w:rFonts w:ascii="Arial" w:cs="Arial" w:eastAsia="Arial" w:hAnsi="Arial"/>
          <w:sz w:val="21"/>
          <w:szCs w:val="21"/>
          <w:color w:val="auto"/>
        </w:rPr>
      </w:pPr>
      <w:r>
        <w:rPr>
          <w:rFonts w:ascii="Arial" w:cs="Arial" w:eastAsia="Arial" w:hAnsi="Arial"/>
          <w:sz w:val="21"/>
          <w:szCs w:val="21"/>
          <w:color w:val="auto"/>
        </w:rPr>
        <w:t>at any time on or after a Qualifying IPO, the acquisition by any Person or group (within the meaning of Section 13(d)(3) or Section 14(d)(2) of the Exchange Act), including any group acting for the purpose of acquiring, holding or disposing of securities (within the meaning of Rule 13d-5(b)(1) under the Exchange Act, but excluding (i) any employee benefit plan and/or Person acting as the trustee, agent or other fiduciary or administrator therefor or (ii) any underwriter in connection with any Qualifying IPO), other than one or more Permitted Holders, of Equity Interests representing more than the greater of (x) 35.0% of the total voting power of all of the outstanding Voting Equity Interests in Holdings and (y) the percentage of the total voting power of all of the outstanding Voting Equity Interests in Holdings beneficially owned, directly or indirectly, by the Permitted Holders; and</w:t>
      </w:r>
    </w:p>
    <w:p>
      <w:pPr>
        <w:spacing w:after="0" w:line="165" w:lineRule="exact"/>
        <w:rPr>
          <w:rFonts w:ascii="Arial" w:cs="Arial" w:eastAsia="Arial" w:hAnsi="Arial"/>
          <w:sz w:val="21"/>
          <w:szCs w:val="21"/>
          <w:color w:val="auto"/>
        </w:rPr>
      </w:pPr>
    </w:p>
    <w:p>
      <w:pPr>
        <w:ind w:left="1600" w:hanging="296"/>
        <w:spacing w:after="0"/>
        <w:tabs>
          <w:tab w:leader="none" w:pos="1600" w:val="left"/>
        </w:tabs>
        <w:numPr>
          <w:ilvl w:val="0"/>
          <w:numId w:val="50"/>
        </w:numPr>
        <w:rPr>
          <w:rFonts w:ascii="Arial" w:cs="Arial" w:eastAsia="Arial" w:hAnsi="Arial"/>
          <w:sz w:val="22"/>
          <w:szCs w:val="22"/>
          <w:color w:val="auto"/>
        </w:rPr>
      </w:pPr>
      <w:r>
        <w:rPr>
          <w:rFonts w:ascii="Arial" w:cs="Arial" w:eastAsia="Arial" w:hAnsi="Arial"/>
          <w:sz w:val="22"/>
          <w:szCs w:val="22"/>
          <w:color w:val="auto"/>
        </w:rPr>
        <w:t>Remitly ceasing to be a direct or indirect wholly-owned Restricted Subsidiary of Holdings.</w:t>
      </w:r>
    </w:p>
    <w:p>
      <w:pPr>
        <w:spacing w:after="0" w:line="17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means the occurrence, after the Effective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u w:val="single" w:color="auto"/>
          <w:color w:val="0000FF"/>
          <w:highlight w:val="lightGray"/>
        </w:rPr>
        <w:t>“CME Term SOFR Administrator” means CME Group Benchmark Administration Limited as administrator of the forward-looking term Secured Overnight Financing Rate (SOFR) (or a successor administrator).</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U.S. Internal Revenue Code of 1986, as amended from time to time, and the regulations promulgated and rulings issued thereunder.</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Collateral</w:t>
      </w:r>
      <w:r>
        <w:rPr>
          <w:rFonts w:ascii="Arial" w:cs="Arial" w:eastAsia="Arial" w:hAnsi="Arial"/>
          <w:sz w:val="21"/>
          <w:szCs w:val="21"/>
          <w:color w:val="auto"/>
        </w:rPr>
        <w:t>” means, collectively, all of the property (including Equity Interests and Mortgaged Real Estate Assets) in which Liens are purported to be granted pursuant to the Collateral Documents as security for the Obligations.</w:t>
      </w:r>
    </w:p>
    <w:p>
      <w:pPr>
        <w:spacing w:after="0" w:line="15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Agent</w:t>
      </w:r>
      <w:r>
        <w:rPr>
          <w:rFonts w:ascii="Arial" w:cs="Arial" w:eastAsia="Arial" w:hAnsi="Arial"/>
          <w:sz w:val="22"/>
          <w:szCs w:val="22"/>
          <w:color w:val="auto"/>
        </w:rPr>
        <w:t>” means JPMCB, in its capacity as collateral agent for the Lenders and Issuing Banks hereunder, or any successor collateral agent.</w:t>
      </w:r>
    </w:p>
    <w:p>
      <w:pPr>
        <w:spacing w:after="0" w:line="159"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Collateral Documents</w:t>
      </w:r>
      <w:r>
        <w:rPr>
          <w:rFonts w:ascii="Arial" w:cs="Arial" w:eastAsia="Arial" w:hAnsi="Arial"/>
          <w:sz w:val="21"/>
          <w:szCs w:val="21"/>
          <w:color w:val="auto"/>
        </w:rPr>
        <w:t>” means the Security Agreement, each Mortgage, the Intellectual Property Security Agreements and all other instruments, documents and agreements delivered by or on behalf of any Loan Party pursuant to this Agreement or any of the other Loan Documents in order to grant to, or perfect in favor of, the Collateral Agent, for the benefit of the Lenders and Issuing Banks, a Lien on any Collateral of that Loan Party as security for the Obligations.</w:t>
      </w:r>
    </w:p>
    <w:p>
      <w:pPr>
        <w:sectPr>
          <w:pgSz w:w="11900" w:h="16838" w:orient="portrait"/>
          <w:cols w:equalWidth="0" w:num="1">
            <w:col w:w="11240"/>
          </w:cols>
          <w:pgMar w:left="320" w:top="1401" w:right="339" w:bottom="1440" w:gutter="0" w:footer="0" w:header="0"/>
        </w:sectPr>
      </w:pPr>
    </w:p>
    <w:bookmarkStart w:id="65" w:name="page66"/>
    <w:bookmarkEnd w:id="65"/>
    <w:p>
      <w:pPr>
        <w:jc w:val="both"/>
        <w:ind w:firstLine="1296"/>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w:t>
      </w:r>
      <w:r>
        <w:rPr>
          <w:rFonts w:ascii="Arial" w:cs="Arial" w:eastAsia="Arial" w:hAnsi="Arial"/>
          <w:sz w:val="22"/>
          <w:szCs w:val="22"/>
          <w:color w:val="auto"/>
        </w:rPr>
        <w:t xml:space="preserve">” means, with respect to each Lender, the commitment of such Lender to make Revolving Loans hereunder and to acquire participations in Letters of Credit hereunder, expressed as an amount representing the maximum aggregate amount of such Lender’s Loans hereunder, as such commitment may be (a) reduced from time to time pursuant to </w:t>
      </w:r>
      <w:r>
        <w:rPr>
          <w:rFonts w:ascii="Arial" w:cs="Arial" w:eastAsia="Arial" w:hAnsi="Arial"/>
          <w:sz w:val="22"/>
          <w:szCs w:val="22"/>
          <w:u w:val="single" w:color="auto"/>
          <w:color w:val="auto"/>
        </w:rPr>
        <w:t>Section 2.8</w:t>
      </w:r>
      <w:r>
        <w:rPr>
          <w:rFonts w:ascii="Arial" w:cs="Arial" w:eastAsia="Arial" w:hAnsi="Arial"/>
          <w:sz w:val="22"/>
          <w:szCs w:val="22"/>
          <w:color w:val="auto"/>
        </w:rPr>
        <w:t xml:space="preserve">, (b) increased from time to time pursuant to </w:t>
      </w:r>
      <w:r>
        <w:rPr>
          <w:rFonts w:ascii="Arial" w:cs="Arial" w:eastAsia="Arial" w:hAnsi="Arial"/>
          <w:sz w:val="22"/>
          <w:szCs w:val="22"/>
          <w:u w:val="single" w:color="auto"/>
          <w:color w:val="auto"/>
        </w:rPr>
        <w:t>Section 2.19</w:t>
      </w:r>
      <w:r>
        <w:rPr>
          <w:rFonts w:ascii="Arial" w:cs="Arial" w:eastAsia="Arial" w:hAnsi="Arial"/>
          <w:sz w:val="22"/>
          <w:szCs w:val="22"/>
          <w:color w:val="auto"/>
        </w:rPr>
        <w:t xml:space="preserve"> and (c) reduced or increased from time to time pursuant to assignments by or to such Lender pursuant to </w:t>
      </w:r>
      <w:r>
        <w:rPr>
          <w:rFonts w:ascii="Arial" w:cs="Arial" w:eastAsia="Arial" w:hAnsi="Arial"/>
          <w:sz w:val="22"/>
          <w:szCs w:val="22"/>
          <w:u w:val="single" w:color="auto"/>
          <w:color w:val="auto"/>
        </w:rPr>
        <w:t>Section 2.20</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10.4</w:t>
      </w:r>
      <w:r>
        <w:rPr>
          <w:rFonts w:ascii="Arial" w:cs="Arial" w:eastAsia="Arial" w:hAnsi="Arial"/>
          <w:sz w:val="22"/>
          <w:szCs w:val="22"/>
          <w:color w:val="auto"/>
        </w:rPr>
        <w:t xml:space="preserve"> . The initial amount of each Lender’s Commitment as of the Effective Date is set forth on </w:t>
      </w:r>
      <w:r>
        <w:rPr>
          <w:rFonts w:ascii="Arial" w:cs="Arial" w:eastAsia="Arial" w:hAnsi="Arial"/>
          <w:sz w:val="22"/>
          <w:szCs w:val="22"/>
          <w:u w:val="single" w:color="auto"/>
          <w:color w:val="auto"/>
        </w:rPr>
        <w:t>Schedule 2.1</w:t>
      </w:r>
      <w:r>
        <w:rPr>
          <w:rFonts w:ascii="Arial" w:cs="Arial" w:eastAsia="Arial" w:hAnsi="Arial"/>
          <w:sz w:val="22"/>
          <w:szCs w:val="22"/>
          <w:color w:val="auto"/>
        </w:rPr>
        <w:t>. The aggregate amount of the Lenders’ Commitments as of the Effective Date is $250,000,000.</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Increase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2.19(a)</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Termination Date</w:t>
      </w:r>
      <w:r>
        <w:rPr>
          <w:rFonts w:ascii="Arial" w:cs="Arial" w:eastAsia="Arial" w:hAnsi="Arial"/>
          <w:sz w:val="22"/>
          <w:szCs w:val="22"/>
          <w:color w:val="auto"/>
        </w:rPr>
        <w:t xml:space="preserve">” means the earliest to occur of (a) the Maturity Date, (b) the date the Commitments are permanently reduced to zero pursuant to </w:t>
      </w:r>
      <w:r>
        <w:rPr>
          <w:rFonts w:ascii="Arial" w:cs="Arial" w:eastAsia="Arial" w:hAnsi="Arial"/>
          <w:sz w:val="22"/>
          <w:szCs w:val="22"/>
          <w:u w:val="single" w:color="auto"/>
          <w:color w:val="auto"/>
        </w:rPr>
        <w:t>Section 2.8</w:t>
      </w:r>
      <w:r>
        <w:rPr>
          <w:rFonts w:ascii="Arial" w:cs="Arial" w:eastAsia="Arial" w:hAnsi="Arial"/>
          <w:sz w:val="22"/>
          <w:szCs w:val="22"/>
          <w:color w:val="auto"/>
        </w:rPr>
        <w:t xml:space="preserve">, and (c) the date of the termination of the Commitments pursuant to </w:t>
      </w:r>
      <w:r>
        <w:rPr>
          <w:rFonts w:ascii="Arial" w:cs="Arial" w:eastAsia="Arial" w:hAnsi="Arial"/>
          <w:sz w:val="22"/>
          <w:szCs w:val="22"/>
          <w:u w:val="single" w:color="auto"/>
          <w:color w:val="auto"/>
        </w:rPr>
        <w:t>Article VIII</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Commodity Exchange Act</w:t>
      </w:r>
      <w:r>
        <w:rPr>
          <w:rFonts w:ascii="Arial" w:cs="Arial" w:eastAsia="Arial" w:hAnsi="Arial"/>
          <w:sz w:val="22"/>
          <w:szCs w:val="22"/>
          <w:color w:val="auto"/>
        </w:rPr>
        <w:t>” means the Commodity Exchange Act (7 U.S.C. § 1 et seq.), as amended from time to time, and any successor statute.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common stock, par value $0.0001 per share, of Holdings.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Competitors</w:t>
      </w:r>
      <w:r>
        <w:rPr>
          <w:rFonts w:ascii="Arial" w:cs="Arial" w:eastAsia="Arial" w:hAnsi="Arial"/>
          <w:sz w:val="22"/>
          <w:szCs w:val="22"/>
          <w:color w:val="auto"/>
        </w:rPr>
        <w:t>” has the meaning set forth in the definition of “Disqualified Lender”.</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Connection Income Taxes</w:t>
      </w:r>
      <w:r>
        <w:rPr>
          <w:rFonts w:ascii="Arial" w:cs="Arial" w:eastAsia="Arial" w:hAnsi="Arial"/>
          <w:sz w:val="22"/>
          <w:szCs w:val="22"/>
          <w:color w:val="auto"/>
        </w:rPr>
        <w:t>” means Other Connection Taxes that are imposed on or measured by net income (however denominated) or that are franchise Taxes or branch profits Taxes.</w:t>
      </w:r>
    </w:p>
    <w:p>
      <w:pPr>
        <w:spacing w:after="0" w:line="159"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Consolidated Adjusted EBITDA</w:t>
      </w:r>
      <w:r>
        <w:rPr>
          <w:rFonts w:ascii="Arial" w:cs="Arial" w:eastAsia="Arial" w:hAnsi="Arial"/>
          <w:sz w:val="19"/>
          <w:szCs w:val="19"/>
          <w:color w:val="auto"/>
        </w:rPr>
        <w:t xml:space="preserve">” means, for any period, Consolidated Net Income for such period </w:t>
      </w:r>
      <w:r>
        <w:rPr>
          <w:rFonts w:ascii="Arial" w:cs="Arial" w:eastAsia="Arial" w:hAnsi="Arial"/>
          <w:sz w:val="19"/>
          <w:szCs w:val="19"/>
          <w:i w:val="1"/>
          <w:iCs w:val="1"/>
          <w:color w:val="auto"/>
        </w:rPr>
        <w:t>plus</w:t>
      </w:r>
      <w:r>
        <w:rPr>
          <w:rFonts w:ascii="Arial" w:cs="Arial" w:eastAsia="Arial" w:hAnsi="Arial"/>
          <w:sz w:val="19"/>
          <w:szCs w:val="19"/>
          <w:color w:val="auto"/>
        </w:rPr>
        <w:t xml:space="preserve">, without duplication and to the extent reflected as a charge in the statement of such Consolidated Net Income for such period (other than clause (n)), the sum of (a) provision for taxes based on income, profits or capital, including federal, foreign and state income, franchise, and similar taxes based on income, profits or capital paid or accrued (including in respect of repatriated funds), (b) interest expense, amortization or write-off of debt discount and debt issuance costs and commissions, discounts and other fees and charges associated with Indebtedness (including the Loans), expenses associated with any loss from the early extinguishment of Indebtedness and expenses associated with the equity component of, and any mark-to-market losses with respect to convertible notes (which amounts set forth in this clause (b) shall include all commissions, discounts and other fees and charges owed with respect to letters of credit and bankers’ acceptance financing and net costs under Swap Agreements in respect of interest rates to the extent such net costs are allocable to such period in accordance with GAAP), (c) depreciation and amortization expense, (d) amortization of intangibles (including, but not limited to, goodwill) and organization costs, (e) costs and expenses in connection with any pending or threatened litigation, administrative proceeding or investigation, including any settlement costs in connection therewith, (f) expected cost savings, operating expense reductions and cost saving synergies related to Acquisitions after the Effective Date that are reasonably identifiable and factually supportable and are projected by Holdings in good faith to result from actions that have been taken or initiated or will be taken (in the good faith determination of Holdings and evidenced by a certificate of the chief financial officer of Holdings) within 12 months after such Acquisition is consummated;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cost savings, operating expense reductions and cost savings synergies shall not exceed 15% of Consolidated Adjusted EBITDA (before giving effect to such adjustment) for any Measurement Period, (g) transaction costs and expenses incurred or paid in connection with Acquisitions,</w:t>
      </w:r>
    </w:p>
    <w:p>
      <w:pPr>
        <w:sectPr>
          <w:pgSz w:w="11900" w:h="16838" w:orient="portrait"/>
          <w:cols w:equalWidth="0" w:num="1">
            <w:col w:w="11240"/>
          </w:cols>
          <w:pgMar w:left="320" w:top="1401" w:right="339" w:bottom="1440" w:gutter="0" w:footer="0" w:header="0"/>
        </w:sectPr>
      </w:pPr>
    </w:p>
    <w:bookmarkStart w:id="66" w:name="page67"/>
    <w:bookmarkEnd w:id="66"/>
    <w:p>
      <w:pPr>
        <w:jc w:val="both"/>
        <w:spacing w:after="0" w:line="238" w:lineRule="auto"/>
        <w:rPr>
          <w:sz w:val="20"/>
          <w:szCs w:val="20"/>
          <w:color w:val="auto"/>
        </w:rPr>
      </w:pPr>
      <w:r>
        <w:rPr>
          <w:rFonts w:ascii="Arial" w:cs="Arial" w:eastAsia="Arial" w:hAnsi="Arial"/>
          <w:sz w:val="19"/>
          <w:szCs w:val="19"/>
          <w:color w:val="auto"/>
        </w:rPr>
        <w:t xml:space="preserve">whether or not completed, (h) any net loss incurred in such period from foreign currency exchanges, conversions, translations, fluctuations and/or contracts, (i) any restructuring charges or other non-recurring, extraordinary or unusual charges or losses, in each case determined in accordance with GAAP to the extent GAAP is applicable to such determination, (j) non-cash stock option, restricted stock units and other equity-based compensation expenses, (k) payroll tax expense related to stock option and other equity-based compensation expenses, (l) any other non-cash charges, non-cash expenses or non-cash losses (including non-cash charges for goodwill and other intangible write-offs and write-downs) of Holdings or any Restricted Subsidiaries for such period (including remeasurements of warrant liabilities and excluding any such charge, expense or loss incurred in the ordinary course of business that constitutes an accrual of, or a reserve for, cash charges for any future period), (m) costs, expenses, settlements and charges related to, arising out of or made in connection with legal proceedings, investigations and regulatory matters;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that may be added back pursuant to this clause (m) shall not exceed 7.5% of Consolidated Adjusted EBITDA (before giving effect to such adjustment) for any Measurement Period, (n) adjustments relating to purchase price allocation accounting, (o) non-cash charges, non-cash expenses or non-cash losses incurred as a result of the Pledge 1% campaign described in the Form S-1 and (p) fees and expenses directly related to the Transactions, the incurrence of any Indebtedness permitted hereunder (including Permitted Convertible Indebtedness), any Permitted Call Spread Transaction, the offering of any Equity Interests by Holdings, any acquisition, investment or disposition transactions and any transfer or license of any Intellectual Property or intellectual property rights by Holdings or any of its Subsidiaries to any Subsidiary of Holdings, in each case whether or not completed;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increases in deferred revenue for such period shall be added back to Consolidated Net Income in calculating Consolidated Adjusted EBITDA for such period, (ii) decreases in deferred revenue for such period shall be subtracted from Consolidated Net Income in calculating Consolidated Adjusted EBITDA for such period and</w:t>
      </w:r>
    </w:p>
    <w:p>
      <w:pPr>
        <w:spacing w:after="0" w:line="5" w:lineRule="exact"/>
        <w:rPr>
          <w:sz w:val="20"/>
          <w:szCs w:val="20"/>
          <w:color w:val="auto"/>
        </w:rPr>
      </w:pPr>
    </w:p>
    <w:p>
      <w:pPr>
        <w:jc w:val="both"/>
        <w:ind w:firstLine="8"/>
        <w:spacing w:after="0"/>
        <w:tabs>
          <w:tab w:leader="none" w:pos="382" w:val="left"/>
        </w:tabs>
        <w:numPr>
          <w:ilvl w:val="0"/>
          <w:numId w:val="51"/>
        </w:numPr>
        <w:rPr>
          <w:rFonts w:ascii="Arial" w:cs="Arial" w:eastAsia="Arial" w:hAnsi="Arial"/>
          <w:sz w:val="19"/>
          <w:szCs w:val="19"/>
          <w:color w:val="auto"/>
        </w:rPr>
      </w:pPr>
      <w:r>
        <w:rPr>
          <w:rFonts w:ascii="Arial" w:cs="Arial" w:eastAsia="Arial" w:hAnsi="Arial"/>
          <w:sz w:val="19"/>
          <w:szCs w:val="19"/>
          <w:color w:val="auto"/>
        </w:rPr>
        <w:t>cash payments made in such period or in any future period in respect of non-cash charges, expenses or losses (excluding any such charge, expense or loss incurred in the ordinary course of business that constitutes an accrual of, or a reserve for, cash charges for any future period) shall be subtracted from Consolidated Net Income in calculating Consolidated Adjusted EBITDA in the period when such payments are made, and minus, to the extent included in the statement of such Consolidated Net Income for such period (and without duplication), the sum of (a) interest income, (b) any extraordinary income or gains determined in accordance with GAAP, (c) any income or gain from the early extinguishment of Indebtedness, (d) any net income or gain incurred in such period from foreign currency exchanges, conversions, translations and/or contracts and (e) any other non-cash income (excluding any items that represent the reversal of any accrual of, or cash reserve for, anticipated cash charges in any prior period that are described in the parenthetical to clause (l) above or any such item that is non-cash during such period but the subject of a cash payment in a prior or future period), including for the avoidance of doubt, mark-to market gains in respect of convertible notes, all as determined on a consolidated basis. For all purposes of this Agreement, Consolidated Adjusted EBITDA (and any financial ratio that uses such term) will be determined on a pro forma basis to give effect to any Specified Transaction that has been consummated during the applicable period as if such Specified Transaction had been consummated on and as of the first day of such applicable period.</w:t>
      </w:r>
    </w:p>
    <w:p>
      <w:pPr>
        <w:spacing w:after="0" w:line="382"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Leverage Ratio</w:t>
      </w:r>
      <w:r>
        <w:rPr>
          <w:rFonts w:ascii="Arial" w:cs="Arial" w:eastAsia="Arial" w:hAnsi="Arial"/>
          <w:sz w:val="19"/>
          <w:szCs w:val="19"/>
          <w:color w:val="auto"/>
        </w:rPr>
        <w:t xml:space="preserve">” means, at any date, the ratio of (a) the excess of (i) Consolidated Total Debt on such date over (ii) an amount equal to the Unrestricted cash and Cash Equivalents of Holdings and its Restricted Subsidiaries on such date (but not including the net cash proceeds of any Indebtedness that is incurred on such date) </w:t>
      </w:r>
      <w:r>
        <w:rPr>
          <w:rFonts w:ascii="Arial" w:cs="Arial" w:eastAsia="Arial" w:hAnsi="Arial"/>
          <w:sz w:val="19"/>
          <w:szCs w:val="19"/>
          <w:i w:val="1"/>
          <w:iCs w:val="1"/>
          <w:color w:val="auto"/>
        </w:rPr>
        <w:t>less</w:t>
      </w:r>
      <w:r>
        <w:rPr>
          <w:rFonts w:ascii="Arial" w:cs="Arial" w:eastAsia="Arial" w:hAnsi="Arial"/>
          <w:sz w:val="19"/>
          <w:szCs w:val="19"/>
          <w:color w:val="auto"/>
        </w:rPr>
        <w:t xml:space="preserve">, to the extent included in Unrestricted cash and Cash Equivalents, cash that is held for customers to (b) Consolidated Adjusted EBITDA for the four fiscal quarter period ending as of the last day of the most recently ended four fiscal quarter period for which financial statements have been or are required to be delivered pursuant to </w:t>
      </w:r>
      <w:r>
        <w:rPr>
          <w:rFonts w:ascii="Arial" w:cs="Arial" w:eastAsia="Arial" w:hAnsi="Arial"/>
          <w:sz w:val="19"/>
          <w:szCs w:val="19"/>
          <w:u w:val="single" w:color="auto"/>
          <w:color w:val="auto"/>
        </w:rPr>
        <w:t>Section 5.1(a)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w:t>
      </w:r>
    </w:p>
    <w:p>
      <w:pPr>
        <w:sectPr>
          <w:pgSz w:w="11900" w:h="16838" w:orient="portrait"/>
          <w:cols w:equalWidth="0" w:num="1">
            <w:col w:w="11240"/>
          </w:cols>
          <w:pgMar w:left="320" w:top="1401" w:right="339" w:bottom="1440" w:gutter="0" w:footer="0" w:header="0"/>
        </w:sectPr>
      </w:pPr>
    </w:p>
    <w:bookmarkStart w:id="67" w:name="page68"/>
    <w:bookmarkEnd w:id="67"/>
    <w:p>
      <w:pPr>
        <w:jc w:val="both"/>
        <w:ind w:firstLine="1296"/>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xml:space="preserve">” means, for any period, the net income or loss of Holdings and its consolidated Restricted Subsidiaries for such period, determined on a consolidated basis in conformity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there shall be excluded (a) the income of any Person that is not a consolidated Restricted Subsidiary except to the extent of the amount of cash dividends or similar cash distributions actually paid by such Person to Holdings or, subject to clauses (b) and (c) below, any consolidated Restricted Subsidiary during such period, (b) the income of, and any amounts referred to in clause (a) above paid to, any consolidated Restricted Subsidiary of Holdings to the extent that, on the date of determination, the declaration or payment of cash dividends or similar cash distributions by such Restricted Subsidiary is not permitted without any prior approval of any Governmental Authority that has not been obtained or is not permitted by the operation of the terms of the organizational documents of such Restricted Subsidiary, any agreement or other instrument binding upon such Restricted Subsidiary or any law applicable to such Restricted Subsidiary, unless such restrictions with respect to the payment of cash dividends and other similar cash distributions have been legally and effectively waived, (c) the income or loss of, and any amounts referred to in clause (a) above paid to, any consolidated Restricted Subsidiary that is not wholly owned by Holdings to the extent such income or loss or such amounts are attributable to the noncontrolling interest in such consolidated Restricted Subsidiary, and (d) effects of adjustments related to the application of purchase accounting.</w:t>
      </w:r>
    </w:p>
    <w:p>
      <w:pPr>
        <w:spacing w:after="0" w:line="168"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Assets</w:t>
      </w:r>
      <w:r>
        <w:rPr>
          <w:rFonts w:ascii="Arial" w:cs="Arial" w:eastAsia="Arial" w:hAnsi="Arial"/>
          <w:sz w:val="19"/>
          <w:szCs w:val="19"/>
          <w:color w:val="auto"/>
        </w:rPr>
        <w:t xml:space="preserve"> ” means, at any date of determination, the total amount of assets of Holdings and its Restricted Subsidiaries, as set forth on the most recent financial statements delivered pursuant to </w:t>
      </w:r>
      <w:r>
        <w:rPr>
          <w:rFonts w:ascii="Arial" w:cs="Arial" w:eastAsia="Arial" w:hAnsi="Arial"/>
          <w:sz w:val="19"/>
          <w:szCs w:val="19"/>
          <w:u w:val="single" w:color="auto"/>
          <w:color w:val="auto"/>
        </w:rPr>
        <w:t>Sections 5.1(a)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w:t>
      </w:r>
    </w:p>
    <w:p>
      <w:pPr>
        <w:spacing w:after="0" w:line="105"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Total Debt</w:t>
      </w:r>
      <w:r>
        <w:rPr>
          <w:rFonts w:ascii="Arial" w:cs="Arial" w:eastAsia="Arial" w:hAnsi="Arial"/>
          <w:sz w:val="21"/>
          <w:szCs w:val="21"/>
          <w:color w:val="auto"/>
        </w:rPr>
        <w:t>” of Holdings and its Restricted Subsidiaries, on any date, means all Indebtedness of Holdings and its Restricted Subsidiaries on such date, as would be required to appear as a liability on a consolidated balance sheet of Holdings and its Restricted Subsidiaries, prepared as of such date in accordance with GAAP.</w:t>
      </w:r>
    </w:p>
    <w:p>
      <w:pPr>
        <w:spacing w:after="0" w:line="15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Control</w:t>
      </w:r>
      <w:r>
        <w:rPr>
          <w:rFonts w:ascii="Arial" w:cs="Arial" w:eastAsia="Arial" w:hAnsi="Arial"/>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2"/>
          <w:szCs w:val="22"/>
          <w:u w:val="single" w:color="auto"/>
          <w:color w:val="auto"/>
        </w:rPr>
        <w:t>Controlling</w:t>
      </w:r>
      <w:r>
        <w:rPr>
          <w:rFonts w:ascii="Arial" w:cs="Arial" w:eastAsia="Arial" w:hAnsi="Arial"/>
          <w:sz w:val="22"/>
          <w:szCs w:val="22"/>
          <w:color w:val="auto"/>
        </w:rPr>
        <w:t>” and “</w:t>
      </w:r>
      <w:r>
        <w:rPr>
          <w:rFonts w:ascii="Arial" w:cs="Arial" w:eastAsia="Arial" w:hAnsi="Arial"/>
          <w:sz w:val="22"/>
          <w:szCs w:val="22"/>
          <w:u w:val="single" w:color="auto"/>
          <w:color w:val="auto"/>
        </w:rPr>
        <w:t>Controlled</w:t>
      </w:r>
      <w:r>
        <w:rPr>
          <w:rFonts w:ascii="Arial" w:cs="Arial" w:eastAsia="Arial" w:hAnsi="Arial"/>
          <w:sz w:val="22"/>
          <w:szCs w:val="22"/>
          <w:color w:val="auto"/>
        </w:rPr>
        <w:t>” have meanings correlative thereto.</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Copyrights</w:t>
      </w:r>
      <w:r>
        <w:rPr>
          <w:rFonts w:ascii="Arial" w:cs="Arial" w:eastAsia="Arial" w:hAnsi="Arial"/>
          <w:sz w:val="22"/>
          <w:szCs w:val="22"/>
          <w:color w:val="auto"/>
        </w:rPr>
        <w:t>” has the meaning set forth in the Security Agreement.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Corresponding Tenor</w:t>
      </w:r>
      <w:r>
        <w:rPr>
          <w:rFonts w:ascii="Arial" w:cs="Arial" w:eastAsia="Arial" w:hAnsi="Arial"/>
          <w:sz w:val="22"/>
          <w:szCs w:val="22"/>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5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Entity</w:t>
      </w:r>
      <w:r>
        <w:rPr>
          <w:rFonts w:ascii="Arial" w:cs="Arial" w:eastAsia="Arial" w:hAnsi="Arial"/>
          <w:sz w:val="19"/>
          <w:szCs w:val="19"/>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10.20</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Current Liabilities</w:t>
      </w:r>
      <w:r>
        <w:rPr>
          <w:rFonts w:ascii="Arial" w:cs="Arial" w:eastAsia="Arial" w:hAnsi="Arial"/>
          <w:sz w:val="22"/>
          <w:szCs w:val="22"/>
          <w:color w:val="auto"/>
        </w:rPr>
        <w:t>”: the result of (without duplication):</w:t>
      </w:r>
    </w:p>
    <w:p>
      <w:pPr>
        <w:spacing w:after="0" w:line="179" w:lineRule="exact"/>
        <w:rPr>
          <w:sz w:val="20"/>
          <w:szCs w:val="20"/>
          <w:color w:val="auto"/>
        </w:rPr>
      </w:pPr>
    </w:p>
    <w:p>
      <w:pPr>
        <w:ind w:left="1760" w:hanging="456"/>
        <w:spacing w:after="0"/>
        <w:tabs>
          <w:tab w:leader="none" w:pos="17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aggregate amount of the Obligations, plus</w:t>
      </w:r>
    </w:p>
    <w:p>
      <w:pPr>
        <w:spacing w:after="0" w:line="179" w:lineRule="exact"/>
        <w:rPr>
          <w:rFonts w:ascii="Arial" w:cs="Arial" w:eastAsia="Arial" w:hAnsi="Arial"/>
          <w:sz w:val="22"/>
          <w:szCs w:val="22"/>
          <w:color w:val="auto"/>
        </w:rPr>
      </w:pPr>
    </w:p>
    <w:p>
      <w:pPr>
        <w:ind w:left="660" w:firstLine="644"/>
        <w:spacing w:after="0" w:line="232" w:lineRule="auto"/>
        <w:tabs>
          <w:tab w:leader="none" w:pos="20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aggregate value of liabilities that should, under GAAP, be classified as liabilities on Holdings’ consolidated balance sheet, including all Indebtedness, and not</w:t>
      </w:r>
    </w:p>
    <w:p>
      <w:pPr>
        <w:sectPr>
          <w:pgSz w:w="11900" w:h="16838" w:orient="portrait"/>
          <w:cols w:equalWidth="0" w:num="1">
            <w:col w:w="11240"/>
          </w:cols>
          <w:pgMar w:left="320" w:top="1401" w:right="339" w:bottom="1440" w:gutter="0" w:footer="0" w:header="0"/>
        </w:sectPr>
      </w:pPr>
    </w:p>
    <w:bookmarkStart w:id="68" w:name="page69"/>
    <w:bookmarkEnd w:id="68"/>
    <w:p>
      <w:pPr>
        <w:jc w:val="both"/>
        <w:ind w:left="660"/>
        <w:spacing w:after="0" w:line="218" w:lineRule="auto"/>
        <w:rPr>
          <w:sz w:val="20"/>
          <w:szCs w:val="20"/>
          <w:color w:val="auto"/>
        </w:rPr>
      </w:pPr>
      <w:r>
        <w:rPr>
          <w:rFonts w:ascii="Arial" w:cs="Arial" w:eastAsia="Arial" w:hAnsi="Arial"/>
          <w:sz w:val="22"/>
          <w:szCs w:val="22"/>
          <w:color w:val="auto"/>
        </w:rPr>
        <w:t>otherwise reflected in Quick Assets, that matures within one (1) year (but excluding non-cash deferred rent, non-cash lease incentive liabilities and non-cash foreign exchange adjustments to the extent otherwise included as Current Liabilities on Holdings’ balance sheet and excluding subordinated indebtedness and excluding the aggregate amount outstanding under any Post Funding Line of Credit), minus</w:t>
      </w:r>
    </w:p>
    <w:p>
      <w:pPr>
        <w:spacing w:after="0" w:line="161" w:lineRule="exact"/>
        <w:rPr>
          <w:sz w:val="20"/>
          <w:szCs w:val="20"/>
          <w:color w:val="auto"/>
        </w:rPr>
      </w:pPr>
    </w:p>
    <w:p>
      <w:pPr>
        <w:ind w:left="1760" w:hanging="456"/>
        <w:spacing w:after="0"/>
        <w:tabs>
          <w:tab w:leader="none" w:pos="17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aggregate obligations and liabilities with respect to customer funds, minus</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aggregate amount of outstanding Loans and the amount of Letter of Credit Usage, minus</w:t>
      </w:r>
    </w:p>
    <w:p>
      <w:pPr>
        <w:spacing w:after="0" w:line="179" w:lineRule="exact"/>
        <w:rPr>
          <w:rFonts w:ascii="Arial" w:cs="Arial" w:eastAsia="Arial" w:hAnsi="Arial"/>
          <w:sz w:val="22"/>
          <w:szCs w:val="22"/>
          <w:color w:val="auto"/>
        </w:rPr>
      </w:pPr>
    </w:p>
    <w:p>
      <w:pPr>
        <w:ind w:left="1760" w:hanging="456"/>
        <w:spacing w:after="0"/>
        <w:tabs>
          <w:tab w:leader="none" w:pos="17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aggregate amount of spot trades in transit re-classed to accrued liabilities.</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Counterpart Agreement</w:t>
      </w:r>
      <w:r>
        <w:rPr>
          <w:rFonts w:ascii="Arial" w:cs="Arial" w:eastAsia="Arial" w:hAnsi="Arial"/>
          <w:sz w:val="22"/>
          <w:szCs w:val="22"/>
          <w:color w:val="auto"/>
        </w:rPr>
        <w:t xml:space="preserve">” means a Counterpart Agreement substantially in the form of </w:t>
      </w:r>
      <w:r>
        <w:rPr>
          <w:rFonts w:ascii="Arial" w:cs="Arial" w:eastAsia="Arial" w:hAnsi="Arial"/>
          <w:sz w:val="22"/>
          <w:szCs w:val="22"/>
          <w:u w:val="single" w:color="auto"/>
          <w:color w:val="auto"/>
        </w:rPr>
        <w:t>Exhibit H</w:t>
      </w:r>
      <w:r>
        <w:rPr>
          <w:rFonts w:ascii="Arial" w:cs="Arial" w:eastAsia="Arial" w:hAnsi="Arial"/>
          <w:sz w:val="22"/>
          <w:szCs w:val="22"/>
          <w:color w:val="auto"/>
        </w:rPr>
        <w:t xml:space="preserve"> delivered by a Loan Party pursuant to </w:t>
      </w:r>
      <w:r>
        <w:rPr>
          <w:rFonts w:ascii="Arial" w:cs="Arial" w:eastAsia="Arial" w:hAnsi="Arial"/>
          <w:sz w:val="22"/>
          <w:szCs w:val="22"/>
          <w:u w:val="single" w:color="auto"/>
          <w:color w:val="auto"/>
        </w:rPr>
        <w:t>Section 5.10</w:t>
      </w:r>
      <w:r>
        <w:rPr>
          <w:rFonts w:ascii="Arial" w:cs="Arial" w:eastAsia="Arial" w:hAnsi="Arial"/>
          <w:sz w:val="22"/>
          <w:szCs w:val="22"/>
          <w:color w:val="auto"/>
        </w:rPr>
        <w: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Extension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Daily Simple SOFR</w:t>
      </w:r>
      <w:r>
        <w:rPr>
          <w:rFonts w:ascii="Arial" w:cs="Arial" w:eastAsia="Arial" w:hAnsi="Arial"/>
          <w:sz w:val="19"/>
          <w:szCs w:val="19"/>
          <w:color w:val="auto"/>
        </w:rPr>
        <w:t>” means, for any day</w:t>
      </w:r>
      <w:r>
        <w:rPr>
          <w:rFonts w:ascii="Arial" w:cs="Arial" w:eastAsia="Arial" w:hAnsi="Arial"/>
          <w:sz w:val="19"/>
          <w:szCs w:val="19"/>
          <w:color w:val="FF0000"/>
          <w:strike w:val="1"/>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highlight w:val="lightGray"/>
        </w:rPr>
        <w:t>(a “</w:t>
      </w:r>
      <w:r>
        <w:rPr>
          <w:rFonts w:ascii="Arial" w:cs="Arial" w:eastAsia="Arial" w:hAnsi="Arial"/>
          <w:sz w:val="19"/>
          <w:szCs w:val="19"/>
          <w:u w:val="single" w:color="auto"/>
          <w:color w:val="auto"/>
        </w:rPr>
        <w:t>SOFR</w:t>
      </w:r>
      <w:r>
        <w:rPr>
          <w:rFonts w:ascii="Arial" w:cs="Arial" w:eastAsia="Arial" w:hAnsi="Arial"/>
          <w:sz w:val="19"/>
          <w:szCs w:val="19"/>
          <w:color w:val="FF0000"/>
          <w:strike w:val="1"/>
        </w:rPr>
        <w:t>, with the conventions for this rate (which may include a</w:t>
      </w:r>
      <w:r>
        <w:rPr>
          <w:rFonts w:ascii="Arial" w:cs="Arial" w:eastAsia="Arial" w:hAnsi="Arial"/>
          <w:sz w:val="19"/>
          <w:szCs w:val="19"/>
          <w:color w:val="auto"/>
        </w:rPr>
        <w:t xml:space="preserve"> </w:t>
      </w:r>
      <w:r>
        <w:rPr>
          <w:rFonts w:ascii="Arial" w:cs="Arial" w:eastAsia="Arial" w:hAnsi="Arial"/>
          <w:sz w:val="19"/>
          <w:szCs w:val="19"/>
          <w:color w:val="FF0000"/>
          <w:strike w:val="1"/>
        </w:rPr>
        <w:t>lookback) being</w:t>
      </w:r>
      <w:r>
        <w:rPr>
          <w:rFonts w:ascii="Arial" w:cs="Arial" w:eastAsia="Arial" w:hAnsi="Arial"/>
          <w:sz w:val="19"/>
          <w:szCs w:val="19"/>
          <w:color w:val="FF0000"/>
        </w:rPr>
        <w:t xml:space="preserve"> </w:t>
      </w:r>
      <w:r>
        <w:rPr>
          <w:rFonts w:ascii="Arial" w:cs="Arial" w:eastAsia="Arial" w:hAnsi="Arial"/>
          <w:sz w:val="19"/>
          <w:szCs w:val="19"/>
          <w:u w:val="single" w:color="auto"/>
          <w:color w:val="0000FF"/>
          <w:highlight w:val="lightGray"/>
        </w:rPr>
        <w:t>Rate Day”), a rate per annum equal to SOFR</w:t>
      </w:r>
      <w:r>
        <w:rPr>
          <w:sz w:val="1"/>
          <w:szCs w:val="1"/>
          <w:color w:val="auto"/>
        </w:rPr>
        <w:drawing>
          <wp:inline distT="0" distB="0" distL="0" distR="0">
            <wp:extent cx="34290" cy="12636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34290" cy="126365"/>
                    </a:xfrm>
                    <a:prstGeom prst="rect">
                      <a:avLst/>
                    </a:prstGeom>
                    <a:noFill/>
                    <a:ln>
                      <a:noFill/>
                    </a:ln>
                  </pic:spPr>
                </pic:pic>
              </a:graphicData>
            </a:graphic>
          </wp:inline>
        </w:drawing>
      </w:r>
      <w:r>
        <w:rPr>
          <w:rFonts w:ascii="Arial" w:cs="Arial" w:eastAsia="Arial" w:hAnsi="Arial"/>
          <w:sz w:val="19"/>
          <w:szCs w:val="19"/>
          <w:color w:val="0000FF"/>
          <w:highlight w:val="lightGray"/>
        </w:rPr>
        <w:t xml:space="preserve">for the day (such day “SOFR Determination Date”) that is five (5) </w:t>
      </w:r>
      <w:r>
        <w:rPr>
          <w:rFonts w:ascii="Arial" w:cs="Arial" w:eastAsia="Arial" w:hAnsi="Arial"/>
          <w:sz w:val="19"/>
          <w:szCs w:val="19"/>
          <w:u w:val="single" w:color="auto"/>
          <w:color w:val="0000FF"/>
          <w:highlight w:val="lightGray"/>
        </w:rPr>
        <w:t>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w:t>
      </w:r>
      <w:r>
        <w:rPr>
          <w:rFonts w:ascii="Arial" w:cs="Arial" w:eastAsia="Arial" w:hAnsi="Arial"/>
          <w:sz w:val="19"/>
          <w:szCs w:val="19"/>
          <w:color w:val="0000FF"/>
          <w:highlight w:val="lightGray"/>
        </w:rPr>
        <w:t xml:space="preserve"> </w:t>
      </w:r>
      <w:r>
        <w:rPr>
          <w:rFonts w:ascii="Arial" w:cs="Arial" w:eastAsia="Arial" w:hAnsi="Arial"/>
          <w:sz w:val="19"/>
          <w:szCs w:val="19"/>
          <w:color w:val="FF0000"/>
          <w:strike w:val="1"/>
        </w:rPr>
        <w:t>esta</w:t>
      </w:r>
      <w:r>
        <w:rPr>
          <w:rFonts w:ascii="Arial" w:cs="Arial" w:eastAsia="Arial" w:hAnsi="Arial"/>
          <w:sz w:val="19"/>
          <w:szCs w:val="19"/>
          <w:u w:val="single" w:color="auto"/>
          <w:color w:val="0000FF"/>
          <w:highlight w:val="lightGray"/>
        </w:rPr>
        <w:t>pu</w:t>
      </w:r>
      <w:r>
        <w:rPr>
          <w:rFonts w:ascii="Arial" w:cs="Arial" w:eastAsia="Arial" w:hAnsi="Arial"/>
          <w:sz w:val="19"/>
          <w:szCs w:val="19"/>
          <w:color w:val="000000"/>
        </w:rPr>
        <w:t>blished by the</w:t>
      </w:r>
      <w:r>
        <w:rPr>
          <w:rFonts w:ascii="Arial" w:cs="Arial" w:eastAsia="Arial" w:hAnsi="Arial"/>
          <w:sz w:val="19"/>
          <w:szCs w:val="19"/>
          <w:color w:val="0000FF"/>
          <w:highlight w:val="lightGray"/>
        </w:rPr>
        <w:t xml:space="preserve"> </w:t>
      </w:r>
      <w:r>
        <w:rPr>
          <w:rFonts w:ascii="Arial" w:cs="Arial" w:eastAsia="Arial" w:hAnsi="Arial"/>
          <w:sz w:val="19"/>
          <w:szCs w:val="19"/>
          <w:u w:val="single" w:color="auto"/>
          <w:color w:val="0000FF"/>
          <w:highlight w:val="lightGray"/>
        </w:rPr>
        <w:t>SOFR</w:t>
      </w:r>
      <w:r>
        <w:rPr>
          <w:rFonts w:ascii="Arial" w:cs="Arial" w:eastAsia="Arial" w:hAnsi="Arial"/>
          <w:sz w:val="19"/>
          <w:szCs w:val="19"/>
          <w:color w:val="0000FF"/>
          <w:highlight w:val="lightGray"/>
        </w:rPr>
        <w:t xml:space="preserve"> </w:t>
      </w:r>
      <w:r>
        <w:rPr>
          <w:rFonts w:ascii="Arial" w:cs="Arial" w:eastAsia="Arial" w:hAnsi="Arial"/>
          <w:sz w:val="19"/>
          <w:szCs w:val="19"/>
          <w:color w:val="000000"/>
        </w:rPr>
        <w:t>Administrat</w:t>
      </w:r>
      <w:r>
        <w:rPr>
          <w:rFonts w:ascii="Arial" w:cs="Arial" w:eastAsia="Arial" w:hAnsi="Arial"/>
          <w:sz w:val="19"/>
          <w:szCs w:val="19"/>
          <w:color w:val="FF0000"/>
          <w:strike w:val="1"/>
        </w:rPr>
        <w:t>ive</w:t>
      </w:r>
      <w:r>
        <w:rPr>
          <w:rFonts w:ascii="Arial" w:cs="Arial" w:eastAsia="Arial" w:hAnsi="Arial"/>
          <w:sz w:val="19"/>
          <w:szCs w:val="19"/>
          <w:u w:val="single" w:color="auto"/>
          <w:color w:val="0000FF"/>
          <w:highlight w:val="lightGray"/>
        </w:rPr>
        <w:t>or</w:t>
      </w:r>
      <w:r>
        <w:rPr>
          <w:rFonts w:ascii="Arial" w:cs="Arial" w:eastAsia="Arial" w:hAnsi="Arial"/>
          <w:sz w:val="19"/>
          <w:szCs w:val="19"/>
          <w:color w:val="000000"/>
        </w:rPr>
        <w:t xml:space="preserve"> </w:t>
      </w:r>
      <w:r>
        <w:rPr>
          <w:rFonts w:ascii="Arial" w:cs="Arial" w:eastAsia="Arial" w:hAnsi="Arial"/>
          <w:sz w:val="19"/>
          <w:szCs w:val="19"/>
          <w:color w:val="FF0000"/>
          <w:strike w:val="1"/>
        </w:rPr>
        <w:t>Agent in accordance with the conventions for this rate selected or recommended by the Relevant Governmental</w:t>
      </w:r>
      <w:r>
        <w:rPr>
          <w:rFonts w:ascii="Arial" w:cs="Arial" w:eastAsia="Arial" w:hAnsi="Arial"/>
          <w:sz w:val="19"/>
          <w:szCs w:val="19"/>
          <w:color w:val="000000"/>
        </w:rPr>
        <w:t xml:space="preserve"> </w:t>
      </w:r>
      <w:r>
        <w:rPr>
          <w:rFonts w:ascii="Arial" w:cs="Arial" w:eastAsia="Arial" w:hAnsi="Arial"/>
          <w:sz w:val="19"/>
          <w:szCs w:val="19"/>
          <w:color w:val="FF0000"/>
          <w:strike w:val="1"/>
        </w:rPr>
        <w:t>Body for determining “</w:t>
      </w:r>
      <w:r>
        <w:rPr>
          <w:rFonts w:ascii="Arial" w:cs="Arial" w:eastAsia="Arial" w:hAnsi="Arial"/>
          <w:sz w:val="19"/>
          <w:szCs w:val="19"/>
          <w:u w:val="single" w:color="auto"/>
          <w:color w:val="008000"/>
        </w:rPr>
        <w:t>on the SOFR Administrator’s Website</w:t>
      </w:r>
      <w:r>
        <w:rPr>
          <w:rFonts w:ascii="Arial" w:cs="Arial" w:eastAsia="Arial" w:hAnsi="Arial"/>
          <w:sz w:val="19"/>
          <w:szCs w:val="19"/>
          <w:u w:val="single" w:color="auto"/>
          <w:color w:val="0000FF"/>
          <w:highlight w:val="lightGray"/>
        </w:rPr>
        <w:t>. Any change in</w:t>
      </w:r>
      <w:r>
        <w:rPr>
          <w:rFonts w:ascii="Arial" w:cs="Arial" w:eastAsia="Arial" w:hAnsi="Arial"/>
          <w:sz w:val="19"/>
          <w:szCs w:val="19"/>
          <w:color w:val="FF0000"/>
        </w:rPr>
        <w:t xml:space="preserve"> </w:t>
      </w:r>
      <w:r>
        <w:rPr>
          <w:rFonts w:ascii="Arial" w:cs="Arial" w:eastAsia="Arial" w:hAnsi="Arial"/>
          <w:sz w:val="19"/>
          <w:szCs w:val="19"/>
          <w:color w:val="000000"/>
        </w:rPr>
        <w:t>Daily Simple SOFR</w:t>
      </w:r>
      <w:r>
        <w:rPr>
          <w:rFonts w:ascii="Arial" w:cs="Arial" w:eastAsia="Arial" w:hAnsi="Arial"/>
          <w:sz w:val="19"/>
          <w:szCs w:val="19"/>
          <w:color w:val="FF0000"/>
          <w:strike w:val="1"/>
        </w:rPr>
        <w:t>” for business loans;</w:t>
      </w:r>
      <w:r>
        <w:rPr>
          <w:rFonts w:ascii="Arial" w:cs="Arial" w:eastAsia="Arial" w:hAnsi="Arial"/>
          <w:sz w:val="19"/>
          <w:szCs w:val="19"/>
          <w:color w:val="FF0000"/>
        </w:rPr>
        <w:t xml:space="preserve">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w:t>
      </w:r>
      <w:r>
        <w:rPr>
          <w:rFonts w:ascii="Arial" w:cs="Arial" w:eastAsia="Arial" w:hAnsi="Arial"/>
          <w:sz w:val="19"/>
          <w:szCs w:val="19"/>
          <w:color w:val="FF0000"/>
        </w:rPr>
        <w:t xml:space="preserve"> </w:t>
      </w:r>
      <w:r>
        <w:rPr>
          <w:rFonts w:ascii="Arial" w:cs="Arial" w:eastAsia="Arial" w:hAnsi="Arial"/>
          <w:sz w:val="19"/>
          <w:szCs w:val="19"/>
          <w:color w:val="FF0000"/>
          <w:strike w:val="1"/>
        </w:rPr>
        <w:t xml:space="preserve">that if the Administrative Agent decides that any such convention is not administratively feasible for the Administrative Agent, then the Administrative Agent may establish another convention in its reasonable discretion. </w:t>
      </w:r>
      <w:r>
        <w:rPr>
          <w:rFonts w:ascii="Arial" w:cs="Arial" w:eastAsia="Arial" w:hAnsi="Arial"/>
          <w:sz w:val="19"/>
          <w:szCs w:val="19"/>
          <w:color w:val="0000FF"/>
          <w:strike w:val="1"/>
        </w:rPr>
        <w:t>due to a change in SOFR shall be</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highlight w:val="lightGray"/>
          <w:strike w:val="1"/>
        </w:rPr>
        <w:t xml:space="preserve">effective from and including the effective date of such change in SOFR without notice to the Borrower. If </w:t>
      </w:r>
      <w:r>
        <w:rPr>
          <w:rFonts w:ascii="Arial" w:cs="Arial" w:eastAsia="Arial" w:hAnsi="Arial"/>
          <w:sz w:val="19"/>
          <w:szCs w:val="19"/>
          <w:u w:val="single" w:color="auto"/>
          <w:color w:val="008000"/>
          <w:strike w:val="1"/>
        </w:rPr>
        <w:t>by 5:00 p.m. (New</w:t>
      </w:r>
      <w:r>
        <w:rPr>
          <w:rFonts w:ascii="Arial" w:cs="Arial" w:eastAsia="Arial" w:hAnsi="Arial"/>
          <w:sz w:val="19"/>
          <w:szCs w:val="19"/>
          <w:u w:val="single" w:color="auto"/>
          <w:color w:val="0000FF"/>
          <w:highlight w:val="lightGray"/>
          <w:strike w:val="1"/>
        </w:rPr>
        <w:t xml:space="preserve"> </w:t>
      </w:r>
      <w:r>
        <w:rPr>
          <w:rFonts w:ascii="Arial" w:cs="Arial" w:eastAsia="Arial" w:hAnsi="Arial"/>
          <w:sz w:val="19"/>
          <w:szCs w:val="19"/>
          <w:u w:val="single" w:color="auto"/>
          <w:color w:val="008000"/>
          <w:strike w:val="1"/>
        </w:rPr>
        <w:t xml:space="preserve">York City time) on the </w:t>
      </w:r>
      <w:r>
        <w:rPr>
          <w:rFonts w:ascii="Arial" w:cs="Arial" w:eastAsia="Arial" w:hAnsi="Arial"/>
          <w:sz w:val="19"/>
          <w:szCs w:val="19"/>
          <w:u w:val="single" w:color="auto"/>
          <w:color w:val="0000FF"/>
          <w:highlight w:val="lightGray"/>
          <w:strike w:val="1"/>
        </w:rPr>
        <w:t>second (2nd) U.S. Government Securities Business Day immediately following any SOFR Determination</w:t>
      </w:r>
      <w:r>
        <w:rPr>
          <w:rFonts w:ascii="Arial" w:cs="Arial" w:eastAsia="Arial" w:hAnsi="Arial"/>
          <w:sz w:val="19"/>
          <w:szCs w:val="19"/>
          <w:u w:val="single" w:color="auto"/>
          <w:color w:val="008000"/>
          <w:strike w:val="1"/>
        </w:rPr>
        <w:t xml:space="preserve"> </w:t>
      </w:r>
      <w:r>
        <w:rPr>
          <w:rFonts w:ascii="Arial" w:cs="Arial" w:eastAsia="Arial" w:hAnsi="Arial"/>
          <w:sz w:val="19"/>
          <w:szCs w:val="19"/>
          <w:u w:val="single" w:color="auto"/>
          <w:color w:val="0000FF"/>
          <w:highlight w:val="lightGray"/>
          <w:strike w:val="1"/>
        </w:rPr>
        <w:t>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U.S. Government Securities Business Day for which such SOFR was published on the SOFR Administrator’s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-1814195</wp:posOffset>
            </wp:positionV>
            <wp:extent cx="387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38735" cy="8890"/>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-1814195</wp:posOffset>
            </wp:positionV>
            <wp:extent cx="37115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371157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-982980</wp:posOffset>
            </wp:positionV>
            <wp:extent cx="195453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1954530" cy="146050"/>
                    </a:xfrm>
                    <a:prstGeom prst="rect">
                      <a:avLst/>
                    </a:prstGeom>
                    <a:noFill/>
                  </pic:spPr>
                </pic:pic>
              </a:graphicData>
            </a:graphic>
          </wp:anchor>
        </w:drawing>
      </w:r>
    </w:p>
    <w:p>
      <w:pPr>
        <w:spacing w:after="0" w:line="138"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Debtor Relief Laws</w:t>
      </w:r>
      <w:r>
        <w:rPr>
          <w:rFonts w:ascii="Arial" w:cs="Arial" w:eastAsia="Arial" w:hAnsi="Arial"/>
          <w:sz w:val="21"/>
          <w:szCs w:val="21"/>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Declining Lender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2.20(a)</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or condition which constitutes an Event of Default or which upon notice, lapse of time or both would, unless cured or waived, become an Event of Default.</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Right</w:t>
      </w:r>
      <w:r>
        <w:rPr>
          <w:rFonts w:ascii="Arial" w:cs="Arial" w:eastAsia="Arial" w:hAnsi="Arial"/>
          <w:sz w:val="22"/>
          <w:szCs w:val="22"/>
          <w:color w:val="auto"/>
        </w:rPr>
        <w:t>” has the meaning assigned to that term in, and shall be interpreted in accordance with, 12 C.F.R. §§ 252.81, 47.2 or 382.1, as applicable.</w:t>
      </w:r>
    </w:p>
    <w:p>
      <w:pPr>
        <w:sectPr>
          <w:pgSz w:w="11900" w:h="16838" w:orient="portrait"/>
          <w:cols w:equalWidth="0" w:num="1">
            <w:col w:w="11240"/>
          </w:cols>
          <w:pgMar w:left="320" w:top="1401" w:right="339" w:bottom="1440" w:gutter="0" w:footer="0" w:header="0"/>
        </w:sectPr>
      </w:pPr>
    </w:p>
    <w:bookmarkStart w:id="69" w:name="page70"/>
    <w:bookmarkEnd w:id="69"/>
    <w:p>
      <w:pPr>
        <w:jc w:val="both"/>
        <w:ind w:firstLine="129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xml:space="preserve">” means, subject to </w:t>
      </w:r>
      <w:r>
        <w:rPr>
          <w:rFonts w:ascii="Arial" w:cs="Arial" w:eastAsia="Arial" w:hAnsi="Arial"/>
          <w:sz w:val="19"/>
          <w:szCs w:val="19"/>
          <w:u w:val="single" w:color="auto"/>
          <w:color w:val="auto"/>
        </w:rPr>
        <w:t>Section 2.21(c)</w:t>
      </w:r>
      <w:r>
        <w:rPr>
          <w:rFonts w:ascii="Arial" w:cs="Arial" w:eastAsia="Arial" w:hAnsi="Arial"/>
          <w:sz w:val="19"/>
          <w:szCs w:val="19"/>
          <w:color w:val="auto"/>
        </w:rPr>
        <w:t>, any Lender that (a) has failed to (i) fund all or any portion of its Loans within two Business Days of the date such Loans were required to be funded hereunder, (ii) fund any portion of its participations in Letters of Credit or (iii) pay to the Administrative Agent, any Issuing Bank or any other Lender any other amount required to be paid by it hereunder within three Business Days of the date when due, unless, in the case of clause (i) above, such Lender notifies the Administrative Agent and the Borrowers in writing that such failure is the result of such Lender’s good faith determination that one or more conditions precedent to such funding or payment (each of which conditions precedent, together with any applicable Default, shall be specifically identified in such writing) has not been satisfied, (b) has notified the Borrowers, any Issuing Bank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any Issuing Bank or the Borrowers, to confirm in writing to the Administrative Agent, the Issuing Banks and the Borrowers that it will comply with its prospective funding obligations and participations in then outstanding Letters of Credit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clause (c) upon receipt of such written confirmation by the Administrative Agent, the Issuing Banks and the Borrowers), (d) has, or has a direct or indirect parent company that has, (i) become the subject of a proceeding under any Debtor Relief Law, (ii) become the subject of a Bail-In Action or (iii)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(e) has become the subject of a Bail-In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(subject to </w:t>
      </w:r>
      <w:r>
        <w:rPr>
          <w:rFonts w:ascii="Arial" w:cs="Arial" w:eastAsia="Arial" w:hAnsi="Arial"/>
          <w:sz w:val="19"/>
          <w:szCs w:val="19"/>
          <w:u w:val="single" w:color="auto"/>
          <w:color w:val="auto"/>
        </w:rPr>
        <w:t>Section 2.21(c)</w:t>
      </w:r>
      <w:r>
        <w:rPr>
          <w:rFonts w:ascii="Arial" w:cs="Arial" w:eastAsia="Arial" w:hAnsi="Arial"/>
          <w:sz w:val="19"/>
          <w:szCs w:val="19"/>
          <w:color w:val="auto"/>
        </w:rPr>
        <w:t>) upon delivery of written notice of such determination to the Borrowers, each Issuing Bank and each Lender.</w:t>
      </w:r>
    </w:p>
    <w:p>
      <w:pPr>
        <w:spacing w:after="0" w:line="365"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 Borrower Obligations</w:t>
      </w:r>
      <w:r>
        <w:rPr>
          <w:rFonts w:ascii="Arial" w:cs="Arial" w:eastAsia="Arial" w:hAnsi="Arial"/>
          <w:sz w:val="22"/>
          <w:szCs w:val="22"/>
          <w:color w:val="auto"/>
        </w:rPr>
        <w:t>” shall mean any Obligations of any Borrower in its capacity as a Borrower under this Agreement, or as a counterparty or direct obligor with respect to any Secured Swap Agreement or any Secured Cash Management Services Agreement.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Disbursement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2.4(d)</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Disclosed Matters</w:t>
      </w:r>
      <w:r>
        <w:rPr>
          <w:rFonts w:ascii="Arial" w:cs="Arial" w:eastAsia="Arial" w:hAnsi="Arial"/>
          <w:sz w:val="19"/>
          <w:szCs w:val="19"/>
          <w:color w:val="auto"/>
        </w:rPr>
        <w:t xml:space="preserve">” means the actions, suits and proceedings and the environmental matters disclosed in </w:t>
      </w:r>
      <w:r>
        <w:rPr>
          <w:rFonts w:ascii="Arial" w:cs="Arial" w:eastAsia="Arial" w:hAnsi="Arial"/>
          <w:sz w:val="19"/>
          <w:szCs w:val="19"/>
          <w:u w:val="single" w:color="auto"/>
          <w:color w:val="auto"/>
        </w:rPr>
        <w:t>Schedule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3.6</w:t>
      </w:r>
      <w:r>
        <w:rPr>
          <w:rFonts w:ascii="Arial" w:cs="Arial" w:eastAsia="Arial" w:hAnsi="Arial"/>
          <w:sz w:val="22"/>
          <w:szCs w:val="22"/>
          <w:color w:val="auto"/>
        </w:rPr>
        <w:t>.</w:t>
      </w:r>
    </w:p>
    <w:p>
      <w:pPr>
        <w:spacing w:after="0" w:line="161"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Disqualified Equity Interest</w:t>
      </w:r>
      <w:r>
        <w:rPr>
          <w:rFonts w:ascii="Arial" w:cs="Arial" w:eastAsia="Arial" w:hAnsi="Arial"/>
          <w:sz w:val="22"/>
          <w:szCs w:val="22"/>
          <w:color w:val="auto"/>
        </w:rPr>
        <w:t>” means any Equity Interest which, by its terms (or by the terms of any security or other Equity Interests into which it is convertible or for which it is exchangeable), or upon the happening of any event or condition (i) matures (excluding any maturity as the result of an optional redemption by the issuer thereof) or is mandatorily redeemable (other than solely for Equity Interests which are not otherwise Disqualified Equity Interests and the payment in cash in lieu of the issuance of fractional shares of such Equity</w:t>
      </w:r>
    </w:p>
    <w:p>
      <w:pPr>
        <w:sectPr>
          <w:pgSz w:w="11900" w:h="16838" w:orient="portrait"/>
          <w:cols w:equalWidth="0" w:num="1">
            <w:col w:w="11240"/>
          </w:cols>
          <w:pgMar w:left="320" w:top="1401" w:right="339" w:bottom="1440" w:gutter="0" w:footer="0" w:header="0"/>
        </w:sectPr>
      </w:pPr>
    </w:p>
    <w:bookmarkStart w:id="70" w:name="page71"/>
    <w:bookmarkEnd w:id="70"/>
    <w:p>
      <w:pPr>
        <w:jc w:val="both"/>
        <w:spacing w:after="0" w:line="221" w:lineRule="auto"/>
        <w:rPr>
          <w:sz w:val="20"/>
          <w:szCs w:val="20"/>
          <w:color w:val="auto"/>
        </w:rPr>
      </w:pPr>
      <w:r>
        <w:rPr>
          <w:rFonts w:ascii="Arial" w:cs="Arial" w:eastAsia="Arial" w:hAnsi="Arial"/>
          <w:sz w:val="21"/>
          <w:szCs w:val="21"/>
          <w:color w:val="auto"/>
        </w:rPr>
        <w:t xml:space="preserve">Interests), pursuant to a sinking fund obligation or otherwise, (ii) is redeemable at the option of the holder thereof (other than solely for Equity Interests which are not otherwise Disqualified Equity Interests and the payment in cash in lieu of the issuance of fractional shares of such Equity Interests), in whole or in part, or (iii) is or becomes convertible into or exchangeable (unless at the sole option of the issuer thereof) for Indebtedness or any other Equity Interests that would constitute Disqualified Equity Interests, in each case, prior to the date that is 181 days after the Maturity Date then in effect;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Equity Interests will not constitute Disqualified Equity Interests solely because of provisions giving holders thereof the right to require repurchase or redemption upon an “asset sale” or “change of control” occurring prior to the date that is 181 days after the latest Maturity Date then in effect if the payment upon such redemption or repurchase is contractually subordinated in right of payment to the Obligations.</w:t>
      </w:r>
    </w:p>
    <w:p>
      <w:pPr>
        <w:spacing w:after="0" w:line="186"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Lender</w:t>
      </w:r>
      <w:r>
        <w:rPr>
          <w:rFonts w:ascii="Arial" w:cs="Arial" w:eastAsia="Arial" w:hAnsi="Arial"/>
          <w:sz w:val="19"/>
          <w:szCs w:val="19"/>
          <w:color w:val="auto"/>
        </w:rPr>
        <w:t xml:space="preserve"> ” means, collectively, (a) any Person that is a competitor or potential competitor of Holdings and its Subsidiaries or any investor in any such competitor or potential competitor, in each case as determined in good faith by Holdings and to the extent identified by Holdings to the Administrative Agent and the Lenders (including after the Effective Date which may be delivered in a form of a list provided to the Administrative Agent) by name in writing from time to time (“</w:t>
      </w:r>
      <w:r>
        <w:rPr>
          <w:rFonts w:ascii="Arial" w:cs="Arial" w:eastAsia="Arial" w:hAnsi="Arial"/>
          <w:sz w:val="19"/>
          <w:szCs w:val="19"/>
          <w:u w:val="single" w:color="auto"/>
          <w:color w:val="auto"/>
        </w:rPr>
        <w:t>Competitors</w:t>
      </w:r>
      <w:r>
        <w:rPr>
          <w:rFonts w:ascii="Arial" w:cs="Arial" w:eastAsia="Arial" w:hAnsi="Arial"/>
          <w:sz w:val="19"/>
          <w:szCs w:val="19"/>
          <w:color w:val="auto"/>
        </w:rPr>
        <w:t xml:space="preserve">”) and (b) any Affiliate of a Competitor, other than Bona Fide Debt Funds that would not be a Disqualified Lender but for this clause (b), that are (x) identified in writing (by e-mail to JPMDQ_Contact@jpmorgan.com) by Holdings to the Administrative Agent and the Lenders (including after the Effective Date which may be delivered in a form of a list provided to the Administrative Agent) by name in writing from time to time or (y) clearly identifiable as Affiliates of Competitors solely on the basis of the similarity of its name (provided that neither the Administrative Agent nor any Lender shall have any obligation to carry out due diligence in order to identify such Affiliates of Competitors). The identification of any Competitor after the Effective Date shall become effective three Business Days after delivery to the Administrative Agent and the Lenders (including by delivering a list provided to the Administrative Agent), and shall not apply retroactively to disqualify the assignment, participation or other transfer of an interest in Commitments or Loans that was effective prior to the effective date of such supplement (but such Person shall not be able to increase its Commitments or participations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such Person shall thereafter be considered a Disqualified Lender. The Disqualified Lenders shall be identified to the Lenders by the Administrative Agent (which may be in the form of notice posted to the Platform). For the avoidance of doubt, Holdings may remove any Person from the DQ List (including by e-mail to JPMDQ_Contact@jpmorgan.com), and such Person shall no longer be considered a Disqualified Lender.</w:t>
      </w:r>
    </w:p>
    <w:p>
      <w:pPr>
        <w:spacing w:after="0" w:line="390"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Dollar Equivalent</w:t>
      </w:r>
      <w:r>
        <w:rPr>
          <w:rFonts w:ascii="Arial" w:cs="Arial" w:eastAsia="Arial" w:hAnsi="Arial"/>
          <w:sz w:val="19"/>
          <w:szCs w:val="19"/>
          <w:color w:val="auto"/>
        </w:rPr>
        <w:t>”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Alternative Currency, as provided by such other publicly available information service which provides that rate of exchange at such time in place of Reuters chosen by the Administrative Agent in its reasonable discretion (or if such service ceases to be available or ceases to provide such rate of exchange, the equivalent of such amount in dollars as determined by the Administrative Agent using any method of determination it deems appropriate in its reasonable discretion) and</w:t>
      </w:r>
    </w:p>
    <w:p>
      <w:pPr>
        <w:spacing w:after="0" w:line="4" w:lineRule="exact"/>
        <w:rPr>
          <w:sz w:val="20"/>
          <w:szCs w:val="20"/>
          <w:color w:val="auto"/>
        </w:rPr>
      </w:pPr>
    </w:p>
    <w:p>
      <w:pPr>
        <w:jc w:val="both"/>
        <w:ind w:firstLine="8"/>
        <w:spacing w:after="0" w:line="214" w:lineRule="auto"/>
        <w:tabs>
          <w:tab w:leader="none" w:pos="343" w:val="left"/>
        </w:tabs>
        <w:numPr>
          <w:ilvl w:val="0"/>
          <w:numId w:val="54"/>
        </w:numPr>
        <w:rPr>
          <w:rFonts w:ascii="Arial" w:cs="Arial" w:eastAsia="Arial" w:hAnsi="Arial"/>
          <w:sz w:val="22"/>
          <w:szCs w:val="22"/>
          <w:color w:val="auto"/>
        </w:rPr>
      </w:pPr>
      <w:r>
        <w:rPr>
          <w:rFonts w:ascii="Arial" w:cs="Arial" w:eastAsia="Arial" w:hAnsi="Arial"/>
          <w:sz w:val="22"/>
          <w:szCs w:val="22"/>
          <w:color w:val="auto"/>
        </w:rPr>
        <w:t>if such amount is denominated in any other currency, the equivalent of such amount in dollars as determined by the Administrative Agent using any method of determination it deems appropriate in its reasonable discretion. The Dollar Equivalent at any time of the amount of any Letter of Credit or Letter of Credit disbursement denominated in any currency other than dollars shall be the amount most recently determined as provided in Section 1.5(b).</w:t>
      </w:r>
    </w:p>
    <w:p>
      <w:pPr>
        <w:sectPr>
          <w:pgSz w:w="11900" w:h="16838" w:orient="portrait"/>
          <w:cols w:equalWidth="0" w:num="1">
            <w:col w:w="11240"/>
          </w:cols>
          <w:pgMar w:left="320" w:top="1401" w:right="339" w:bottom="1440" w:gutter="0" w:footer="0" w:header="0"/>
        </w:sectPr>
      </w:pPr>
    </w:p>
    <w:bookmarkStart w:id="71" w:name="page72"/>
    <w:bookmarkEnd w:id="71"/>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refers to lawful money of the United States of America.</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Restricted Subsidiary</w:t>
      </w:r>
      <w:r>
        <w:rPr>
          <w:rFonts w:ascii="Arial" w:cs="Arial" w:eastAsia="Arial" w:hAnsi="Arial"/>
          <w:sz w:val="22"/>
          <w:szCs w:val="22"/>
          <w:color w:val="auto"/>
        </w:rPr>
        <w:t>” means any Domestic Subsidiary that is a Restricted Subsidiary.</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any Subsidiary that is incorporated or organized under the laws of the United States, any State thereof or in the District of Columbia, other than (a) a Foreign Subsidiary Holdco or (b) a subsidiary of a Foreign Subsidiary Holdco or a Foreign Subsidiary.</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DQ List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10.4(e)</w:t>
      </w:r>
      <w:r>
        <w:rPr>
          <w:rFonts w:ascii="Arial" w:cs="Arial" w:eastAsia="Arial" w:hAnsi="Arial"/>
          <w:sz w:val="22"/>
          <w:szCs w:val="22"/>
          <w:color w:val="auto"/>
        </w:rPr>
        <w:t>.</w:t>
      </w:r>
    </w:p>
    <w:p>
      <w:pPr>
        <w:spacing w:after="0" w:line="179"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Early Opt-in Election</w:t>
      </w:r>
      <w:r>
        <w:rPr>
          <w:rFonts w:ascii="Arial" w:cs="Arial" w:eastAsia="Arial" w:hAnsi="Arial"/>
          <w:sz w:val="22"/>
          <w:szCs w:val="22"/>
          <w:color w:val="FF0000"/>
          <w:strike w:val="1"/>
        </w:rPr>
        <w:t>” means, if the then-current Benchmark is the LIBO Rate, the occurrence of:</w:t>
      </w:r>
    </w:p>
    <w:p>
      <w:pPr>
        <w:spacing w:after="0" w:line="179" w:lineRule="exact"/>
        <w:rPr>
          <w:sz w:val="20"/>
          <w:szCs w:val="20"/>
          <w:color w:val="auto"/>
        </w:rPr>
      </w:pPr>
    </w:p>
    <w:p>
      <w:pPr>
        <w:jc w:val="both"/>
        <w:ind w:firstLine="1304"/>
        <w:spacing w:after="0" w:line="216" w:lineRule="auto"/>
        <w:tabs>
          <w:tab w:leader="none" w:pos="1779" w:val="left"/>
        </w:tabs>
        <w:numPr>
          <w:ilvl w:val="0"/>
          <w:numId w:val="55"/>
        </w:numPr>
        <w:rPr>
          <w:rFonts w:ascii="Arial" w:cs="Arial" w:eastAsia="Arial" w:hAnsi="Arial"/>
          <w:sz w:val="22"/>
          <w:szCs w:val="22"/>
          <w:color w:val="FF0000"/>
          <w:strike w:val="1"/>
        </w:rPr>
      </w:pPr>
      <w:r>
        <w:rPr>
          <w:rFonts w:ascii="Arial" w:cs="Arial" w:eastAsia="Arial" w:hAnsi="Arial"/>
          <w:sz w:val="22"/>
          <w:szCs w:val="22"/>
          <w:color w:val="FF0000"/>
          <w:strike w:val="1"/>
        </w:rPr>
        <w:t>a notification by the Administrative Agent to (or the request by the Borrowers to the Administrative Agent to notify) each of the other parties hereto that at least 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57" w:lineRule="exact"/>
        <w:rPr>
          <w:rFonts w:ascii="Arial" w:cs="Arial" w:eastAsia="Arial" w:hAnsi="Arial"/>
          <w:sz w:val="22"/>
          <w:szCs w:val="22"/>
          <w:color w:val="FF0000"/>
          <w:strike w:val="1"/>
        </w:rPr>
      </w:pPr>
    </w:p>
    <w:p>
      <w:pPr>
        <w:ind w:firstLine="1304"/>
        <w:spacing w:after="0" w:line="298" w:lineRule="auto"/>
        <w:tabs>
          <w:tab w:leader="none" w:pos="1816" w:val="left"/>
        </w:tabs>
        <w:numPr>
          <w:ilvl w:val="0"/>
          <w:numId w:val="55"/>
        </w:numPr>
        <w:rPr>
          <w:rFonts w:ascii="Arial" w:cs="Arial" w:eastAsia="Arial" w:hAnsi="Arial"/>
          <w:sz w:val="19"/>
          <w:szCs w:val="19"/>
          <w:color w:val="FF0000"/>
          <w:strike w:val="1"/>
        </w:rPr>
      </w:pPr>
      <w:r>
        <w:rPr>
          <w:rFonts w:ascii="Arial" w:cs="Arial" w:eastAsia="Arial" w:hAnsi="Arial"/>
          <w:sz w:val="19"/>
          <w:szCs w:val="19"/>
          <w:color w:val="FF0000"/>
          <w:strike w:val="1"/>
        </w:rPr>
        <w:t>the joint election by the Administrative Agent and the Borrowers to trigger a fallback from LIBO Rate and the provision, as applicable, by the Administrative Agent of written notice of such election to the Borrowers and the Lenders.</w:t>
      </w:r>
    </w:p>
    <w:p>
      <w:pPr>
        <w:spacing w:after="0" w:line="105"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Norway.</w:t>
      </w:r>
    </w:p>
    <w:p>
      <w:pPr>
        <w:spacing w:after="0" w:line="16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xml:space="preserve"> ” means the date on which the conditions specified in Section 4.1 are satisfied (or waived in accordance with Section 10.2), which date is September 13, 2021.</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Electronic Signature</w:t>
      </w:r>
      <w:r>
        <w:rPr>
          <w:rFonts w:ascii="Arial" w:cs="Arial" w:eastAsia="Arial" w:hAnsi="Arial"/>
          <w:sz w:val="21"/>
          <w:szCs w:val="21"/>
          <w:color w:val="auto"/>
        </w:rPr>
        <w:t>” means an electronic symbol, sound, or process attached to, or associated with, a contract or other record and adopted by a Person with the intent to sign, authenticate or accept such contract or record.</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Institution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2.19(c)</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Laws</w:t>
      </w:r>
      <w:r>
        <w:rPr>
          <w:rFonts w:ascii="Arial" w:cs="Arial" w:eastAsia="Arial" w:hAnsi="Arial"/>
          <w:sz w:val="22"/>
          <w:szCs w:val="22"/>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sectPr>
          <w:pgSz w:w="11900" w:h="16838" w:orient="portrait"/>
          <w:cols w:equalWidth="0" w:num="1">
            <w:col w:w="11240"/>
          </w:cols>
          <w:pgMar w:left="320" w:top="1401" w:right="339" w:bottom="1440" w:gutter="0" w:footer="0" w:header="0"/>
        </w:sectPr>
      </w:pPr>
    </w:p>
    <w:bookmarkStart w:id="72" w:name="page73"/>
    <w:bookmarkEnd w:id="72"/>
    <w:p>
      <w:pPr>
        <w:ind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Liability</w:t>
      </w:r>
      <w:r>
        <w:rPr>
          <w:rFonts w:ascii="Arial" w:cs="Arial" w:eastAsia="Arial" w:hAnsi="Arial"/>
          <w:sz w:val="19"/>
          <w:szCs w:val="19"/>
          <w:color w:val="auto"/>
        </w:rPr>
        <w:t>” means any liability, contingent or otherwise (including any liability for damages, costs of investigation, reclamation or remediation, fines, penalties or indemnities), directly or indirectly resulting from or based upon</w:t>
      </w:r>
    </w:p>
    <w:p>
      <w:pPr>
        <w:jc w:val="both"/>
        <w:ind w:firstLine="8"/>
        <w:spacing w:after="0" w:line="224" w:lineRule="auto"/>
        <w:tabs>
          <w:tab w:leader="none" w:pos="349" w:val="left"/>
        </w:tabs>
        <w:numPr>
          <w:ilvl w:val="0"/>
          <w:numId w:val="56"/>
        </w:numPr>
        <w:rPr>
          <w:rFonts w:ascii="Arial" w:cs="Arial" w:eastAsia="Arial" w:hAnsi="Arial"/>
          <w:sz w:val="21"/>
          <w:szCs w:val="21"/>
          <w:color w:val="auto"/>
        </w:rPr>
      </w:pPr>
      <w:r>
        <w:rPr>
          <w:rFonts w:ascii="Arial" w:cs="Arial" w:eastAsia="Arial" w:hAnsi="Arial"/>
          <w:sz w:val="21"/>
          <w:szCs w:val="21"/>
          <w:color w:val="auto"/>
        </w:rPr>
        <w:t>compliance or noncompliance with any Environmental Law, (b) the generation, use, handling, transportation, storage, treatment or disposal of any Hazardous Materials, (c) exposure to any Hazardous Materials, (d) the presence, release or threatened release of, or exposure to, any Hazardous Materials or (e) any contract, agreement or other consensual arrangement pursuant to which liability is assumed or imposed with respect to any of the foregoing.</w:t>
      </w:r>
    </w:p>
    <w:p>
      <w:pPr>
        <w:spacing w:after="0" w:line="160"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Equity Interests</w:t>
      </w:r>
      <w:r>
        <w:rPr>
          <w:rFonts w:ascii="Arial" w:cs="Arial" w:eastAsia="Arial" w:hAnsi="Arial"/>
          <w:sz w:val="21"/>
          <w:szCs w:val="21"/>
          <w:color w:val="auto"/>
        </w:rPr>
        <w:t xml:space="preserve"> ”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Equity Interests shall not include (i) any debt securities (including any Permitted Convertible Indebtedness) that are convertible into or exchangeable for any combination of Equity Interests and/or cash or (ii) any Permitted Call Spread Transaction.</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U.S. Employee Retirement Income Security Act of 1974, as amended from time to time, and the regulations promulgated and rulings issued thereunder.</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any person that for purposes of Title I or Title IV of ERISA or Section 412 of the Code would be deemed at any relevant time to be a single employer or otherwise aggregated with Holdings or a Subsidiary under Section 414(b), (c), (m) or (o) of the Code or Section 4001 of ERISA, as applicable.</w:t>
      </w:r>
    </w:p>
    <w:p>
      <w:pPr>
        <w:spacing w:after="0" w:line="159"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any one or more of the following: (a) any reportable event, as defined in Section 4043 of ERISA (other than an event for which the 30- day notice requirement has been waived), with respect to a Plan; (b) the termination of any Plan under Section 4041 of ERISA; (c) the institution of proceedings by the PBGC under Section 4042 of ERISA for the termination of, or the appointment of a trustee to administer, any Plan; (d) the failure to make a required contribution to any Plan that would result in the imposition of a lien or other encumbrance or the provision of security under Section 430 of the Code or Section 303 or 4068 of ERISA, or the arising of such a lien or encumbrance; (e) Holdings, any Subsidiary or any ERISA Affiliate requests a minimum funding waiver or fails to satisfy the minimum funding standard under Section 412 of the Code or Section 302 of ERISA; (f) a determination that any Plan is, or is reasonably expected to be, considered an at-risk plan within the meaning of Section 430 of the Code or Section 303 of ERISA; (g) engaging in a non-exempt prohibited transaction within the meaning of Section 4975 of the Code or Section 406 of ERISA with respect to a Plan; (h) the complete or partial withdrawal of Holdings, any Subsidiary or any ERISA Affiliate from a Multiemployer Plan; or (i) a determination that any Multiemployer Plan is in endangered or critical status under Section 432 of the Code or Section 305 of ERISA or is, or is expected to be, “insolvent” within the meaning of Section 4245 of ERISA.</w:t>
      </w:r>
    </w:p>
    <w:p>
      <w:pPr>
        <w:spacing w:after="0" w:line="380"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means the lawful currency of the member states of the European Union that have adopted a single currency in accordance with applicable law or treaty.</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Eurodollar</w:t>
      </w:r>
      <w:r>
        <w:rPr>
          <w:rFonts w:ascii="Arial" w:cs="Arial" w:eastAsia="Arial" w:hAnsi="Arial"/>
          <w:sz w:val="21"/>
          <w:szCs w:val="21"/>
          <w:color w:val="FF0000"/>
          <w:strike w:val="1"/>
        </w:rPr>
        <w:t xml:space="preserve">”, </w:t>
      </w:r>
      <w:r>
        <w:rPr>
          <w:rFonts w:ascii="Arial" w:cs="Arial" w:eastAsia="Arial" w:hAnsi="Arial"/>
          <w:sz w:val="21"/>
          <w:szCs w:val="21"/>
          <w:color w:val="008000"/>
          <w:strike w:val="1"/>
        </w:rPr>
        <w:t>when used in reference to any Loan or Borrowing, refers to whether such Loan, or the Loans</w:t>
      </w:r>
      <w:r>
        <w:rPr>
          <w:rFonts w:ascii="Arial" w:cs="Arial" w:eastAsia="Arial" w:hAnsi="Arial"/>
          <w:sz w:val="21"/>
          <w:szCs w:val="21"/>
          <w:color w:val="FF0000"/>
          <w:strike w:val="1"/>
        </w:rPr>
        <w:t xml:space="preserve"> </w:t>
      </w:r>
      <w:r>
        <w:rPr>
          <w:rFonts w:ascii="Arial" w:cs="Arial" w:eastAsia="Arial" w:hAnsi="Arial"/>
          <w:sz w:val="21"/>
          <w:szCs w:val="21"/>
          <w:color w:val="008000"/>
          <w:strike w:val="1"/>
        </w:rPr>
        <w:t xml:space="preserve">comprising such Borrowing, are bearing interest at a rate determined by reference to the Adjusted </w:t>
      </w:r>
      <w:r>
        <w:rPr>
          <w:rFonts w:ascii="Arial" w:cs="Arial" w:eastAsia="Arial" w:hAnsi="Arial"/>
          <w:sz w:val="21"/>
          <w:szCs w:val="21"/>
          <w:color w:val="FF0000"/>
          <w:strike w:val="1"/>
        </w:rPr>
        <w:t>LIBO Rate.</w:t>
      </w:r>
    </w:p>
    <w:p>
      <w:pPr>
        <w:sectPr>
          <w:pgSz w:w="11900" w:h="16838" w:orient="portrait"/>
          <w:cols w:equalWidth="0" w:num="1">
            <w:col w:w="11240"/>
          </w:cols>
          <w:pgMar w:left="320" w:top="1401" w:right="339" w:bottom="1440" w:gutter="0" w:footer="0" w:header="0"/>
        </w:sectPr>
      </w:pPr>
    </w:p>
    <w:bookmarkStart w:id="73" w:name="page74"/>
    <w:bookmarkEnd w:id="73"/>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Article VIII</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Subsidiary</w:t>
      </w:r>
      <w:r>
        <w:rPr>
          <w:rFonts w:ascii="Arial" w:cs="Arial" w:eastAsia="Arial" w:hAnsi="Arial"/>
          <w:sz w:val="22"/>
          <w:szCs w:val="22"/>
          <w:color w:val="auto"/>
        </w:rPr>
        <w:t xml:space="preserve">” means (a) any Foreign Subsidiary, (b) any Subsidiary of a Foreign Subsidiary (including any Domestic Subsidiary of any Foreign Subsidiary), (c) any Foreign Subsidiary Holdco, (d) any Unrestricted Subsidiary and (e) in the reasonable judgment of the Administrative Agent and the Borrowers, any Subsidiary as to which the cost or other consequences of guaranteeing the Obligations would be excessive in view of the benefits to be obtained by the Lenders therefrom;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notwithstanding the foregoing, in no event shall any Domestic Subsidiary that is a Material IP Subsidiary be an Excluded Subsidiary.</w:t>
      </w:r>
    </w:p>
    <w:p>
      <w:pPr>
        <w:spacing w:after="0" w:line="159"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Swap Obligation</w:t>
      </w:r>
      <w:r>
        <w:rPr>
          <w:rFonts w:ascii="Arial" w:cs="Arial" w:eastAsia="Arial" w:hAnsi="Arial"/>
          <w:sz w:val="21"/>
          <w:szCs w:val="21"/>
          <w:color w:val="auto"/>
        </w:rPr>
        <w:t>” means, with respect to any Guarantor, any Swap Obligation if, and to the extent that, all or a portion of the Guaranty by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Guaranty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159"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means any of the following Taxes imposed on or with respect to a Recipient or required to be withheld or deducted from a payment to a Recipient, (a) Taxes imposed on (or measured by) its net income or gross profit, franchise Taxes, and branch profits Taxes, in each case (i) imposed by the jurisdiction (or any political subdivision thereof) under the laws of which such Recipient is organized or in which its principal office is located or, in the case of any Lender, in which its applicable lending office is located or (ii) that are Other Connection Taxes, (b) in the case of a Lender, any U.S. federal withholding Tax that is imposed on amounts payable to or for the account of such Lender with respect to an applicable interest a Loan or Commitment pursuant to a law in effect on the date on which (i) such Lender acquired such interest in the Loan or Commitment (other than an assignee pursuant to a request by the Borrowers under </w:t>
      </w:r>
      <w:r>
        <w:rPr>
          <w:rFonts w:ascii="Arial" w:cs="Arial" w:eastAsia="Arial" w:hAnsi="Arial"/>
          <w:sz w:val="19"/>
          <w:szCs w:val="19"/>
          <w:u w:val="single" w:color="auto"/>
          <w:color w:val="auto"/>
        </w:rPr>
        <w:t>Section 2.18(b)</w:t>
      </w:r>
      <w:r>
        <w:rPr>
          <w:rFonts w:ascii="Arial" w:cs="Arial" w:eastAsia="Arial" w:hAnsi="Arial"/>
          <w:sz w:val="19"/>
          <w:szCs w:val="19"/>
          <w:color w:val="auto"/>
        </w:rPr>
        <w:t xml:space="preserve">) or (ii) such Lender designates a new lending office, except in each case to the extent that such Lender (or its assignor, if any) was entitled, at the time of designation of a new lending office (or assignment), to receive additional amounts from the Borrowers with respect to such withholding tax pursuant to </w:t>
      </w:r>
      <w:r>
        <w:rPr>
          <w:rFonts w:ascii="Arial" w:cs="Arial" w:eastAsia="Arial" w:hAnsi="Arial"/>
          <w:sz w:val="19"/>
          <w:szCs w:val="19"/>
          <w:u w:val="single" w:color="auto"/>
          <w:color w:val="auto"/>
        </w:rPr>
        <w:t>Section 2.16(a)</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 xml:space="preserve">, (c) any U.S. federal withholding Taxes imposed under FATCA and (d) any Taxes attributable to such recipient’s failure to comply with </w:t>
      </w:r>
      <w:r>
        <w:rPr>
          <w:rFonts w:ascii="Arial" w:cs="Arial" w:eastAsia="Arial" w:hAnsi="Arial"/>
          <w:sz w:val="19"/>
          <w:szCs w:val="19"/>
          <w:u w:val="single" w:color="auto"/>
          <w:color w:val="auto"/>
        </w:rPr>
        <w:t>Section 2.16(e)</w:t>
      </w:r>
      <w:r>
        <w:rPr>
          <w:rFonts w:ascii="Arial" w:cs="Arial" w:eastAsia="Arial" w:hAnsi="Arial"/>
          <w:sz w:val="19"/>
          <w:szCs w:val="19"/>
          <w:color w:val="auto"/>
        </w:rPr>
        <w:t>.</w:t>
      </w:r>
    </w:p>
    <w:p>
      <w:pPr>
        <w:spacing w:after="0" w:line="164"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Credit Agreement</w:t>
      </w:r>
      <w:r>
        <w:rPr>
          <w:rFonts w:ascii="Arial" w:cs="Arial" w:eastAsia="Arial" w:hAnsi="Arial"/>
          <w:sz w:val="21"/>
          <w:szCs w:val="21"/>
          <w:color w:val="auto"/>
        </w:rPr>
        <w:t>” means the Credit Agreement, dated as of June 12, 2019, as heretofore amended, supplemented or otherwise modified and in effect, among Holdings, as a guarantor, Remitly, as the borrower, the lenders party thereto and Silicon Valley Bank, as administrative agent, issuing lender and swingline lender.</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Lender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2.11(b)</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Letters of Credit</w:t>
      </w:r>
      <w:r>
        <w:rPr>
          <w:rFonts w:ascii="Arial" w:cs="Arial" w:eastAsia="Arial" w:hAnsi="Arial"/>
          <w:sz w:val="22"/>
          <w:szCs w:val="22"/>
          <w:color w:val="auto"/>
        </w:rPr>
        <w:t>” means each letter of credit set forth on Schedule 1.3 that was issued prior to the Effective Date for the account of, or guaranteed by, either or both of the Borrowers or any of their Restricted Subsidiaries pursuant to the Existing Credit Agreement and that is outstanding on the Effective Date.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Maturity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2.20(a)</w:t>
      </w:r>
      <w:r>
        <w:rPr>
          <w:rFonts w:ascii="Arial" w:cs="Arial" w:eastAsia="Arial" w:hAnsi="Arial"/>
          <w:sz w:val="22"/>
          <w:szCs w:val="22"/>
          <w:color w:val="auto"/>
        </w:rPr>
        <w:t>.</w:t>
      </w:r>
    </w:p>
    <w:p>
      <w:pPr>
        <w:sectPr>
          <w:pgSz w:w="11900" w:h="16838" w:orient="portrait"/>
          <w:cols w:equalWidth="0" w:num="1">
            <w:col w:w="11240"/>
          </w:cols>
          <w:pgMar w:left="320" w:top="1401" w:right="339" w:bottom="1440" w:gutter="0" w:footer="0" w:header="0"/>
        </w:sectPr>
      </w:pPr>
    </w:p>
    <w:bookmarkStart w:id="74" w:name="page75"/>
    <w:bookmarkEnd w:id="74"/>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Extending Lender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2.20(a)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Effective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2.20(a)</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Fair Market Value</w:t>
      </w:r>
      <w:r>
        <w:rPr>
          <w:rFonts w:ascii="Arial" w:cs="Arial" w:eastAsia="Arial" w:hAnsi="Arial"/>
          <w:sz w:val="21"/>
          <w:szCs w:val="21"/>
          <w:color w:val="auto"/>
        </w:rPr>
        <w:t>” shall mean with respect to any asset or group of assets on any date of determination, the value of the consideration obtainable in a sale of such asset at such date of determination assuming a sale by a willing seller to an unaffiliated willing purchaser in a transaction not involving distress or necessity of either party, dealing at arm’s length and arranged in an orderly manner over a reasonable period of time having regard to the nature and characteristics of such asset as determined by the Borrower in a commercially reasonably manner.</w:t>
      </w:r>
    </w:p>
    <w:p>
      <w:pPr>
        <w:spacing w:after="0" w:line="15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 or any published intergovernmental agreement entered into in connection with the implementation of such Sections of the Code and any fiscal or regulatory legislation, rules or official practices adopted pursuant to any such intergovernmental agreement, treaty or convention among Governmental Authorities and implementing such Sections of the Code.</w:t>
      </w:r>
    </w:p>
    <w:p>
      <w:pPr>
        <w:spacing w:after="0" w:line="15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Effective Rate</w:t>
      </w:r>
      <w:r>
        <w:rPr>
          <w:rFonts w:ascii="Arial" w:cs="Arial" w:eastAsia="Arial" w:hAnsi="Arial"/>
          <w:sz w:val="19"/>
          <w:szCs w:val="19"/>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rate for any day shall be less than zero, such rate shall be deemed to be zero for all purposes of this Agreement.</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Reserve Board</w:t>
      </w:r>
      <w:r>
        <w:rPr>
          <w:rFonts w:ascii="Arial" w:cs="Arial" w:eastAsia="Arial" w:hAnsi="Arial"/>
          <w:sz w:val="19"/>
          <w:szCs w:val="19"/>
          <w:color w:val="auto"/>
        </w:rPr>
        <w:t>” means the Board of Governors of the Federal Reserve System of the United States of</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America.</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Fee Letter</w:t>
      </w:r>
      <w:r>
        <w:rPr>
          <w:rFonts w:ascii="Arial" w:cs="Arial" w:eastAsia="Arial" w:hAnsi="Arial"/>
          <w:sz w:val="22"/>
          <w:szCs w:val="22"/>
          <w:color w:val="auto"/>
        </w:rPr>
        <w:t>” means that certain fee letter dated August 19, 2021, between Remitly and JPMCB.</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Financial Officer</w:t>
      </w:r>
      <w:r>
        <w:rPr>
          <w:rFonts w:ascii="Arial" w:cs="Arial" w:eastAsia="Arial" w:hAnsi="Arial"/>
          <w:sz w:val="21"/>
          <w:szCs w:val="21"/>
          <w:color w:val="auto"/>
        </w:rPr>
        <w:t>” means the chief financial officer, principal accounting officer, treasurer or controller of</w:t>
      </w:r>
    </w:p>
    <w:p>
      <w:pPr>
        <w:spacing w:after="0"/>
        <w:rPr>
          <w:sz w:val="20"/>
          <w:szCs w:val="20"/>
          <w:color w:val="auto"/>
        </w:rPr>
      </w:pPr>
      <w:r>
        <w:rPr>
          <w:rFonts w:ascii="Arial" w:cs="Arial" w:eastAsia="Arial" w:hAnsi="Arial"/>
          <w:sz w:val="22"/>
          <w:szCs w:val="22"/>
          <w:color w:val="auto"/>
        </w:rPr>
        <w:t>Holdings.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Fitch</w:t>
      </w:r>
      <w:r>
        <w:rPr>
          <w:rFonts w:ascii="Arial" w:cs="Arial" w:eastAsia="Arial" w:hAnsi="Arial"/>
          <w:sz w:val="22"/>
          <w:szCs w:val="22"/>
          <w:color w:val="auto"/>
        </w:rPr>
        <w:t>” means Fitch Ratings Inc.</w:t>
      </w:r>
    </w:p>
    <w:p>
      <w:pPr>
        <w:spacing w:after="0" w:line="17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Flood Insurance Laws</w:t>
      </w:r>
      <w:r>
        <w:rPr>
          <w:rFonts w:ascii="Arial" w:cs="Arial" w:eastAsia="Arial" w:hAnsi="Arial"/>
          <w:sz w:val="22"/>
          <w:szCs w:val="22"/>
          <w:color w:val="auto"/>
        </w:rPr>
        <w:t>” means,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spacing w:after="0" w:line="158"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Floor</w:t>
      </w:r>
      <w:r>
        <w:rPr>
          <w:rFonts w:ascii="Arial" w:cs="Arial" w:eastAsia="Arial" w:hAnsi="Arial"/>
          <w:sz w:val="22"/>
          <w:szCs w:val="22"/>
          <w:color w:val="auto"/>
        </w:rPr>
        <w:t xml:space="preserve">” means the benchmark rate floor, if any, provided in this Agreement initially (as of the Effective Date, the modification, amendment or renewal of this Agreement or otherwise) with respect to </w:t>
      </w:r>
      <w:r>
        <w:rPr>
          <w:rFonts w:ascii="Arial" w:cs="Arial" w:eastAsia="Arial" w:hAnsi="Arial"/>
          <w:sz w:val="22"/>
          <w:szCs w:val="22"/>
          <w:color w:val="FF0000"/>
          <w:strike w:val="1"/>
        </w:rPr>
        <w:t>LIBO Rate.</w:t>
      </w:r>
      <w:r>
        <w:rPr>
          <w:rFonts w:ascii="Arial" w:cs="Arial" w:eastAsia="Arial" w:hAnsi="Arial"/>
          <w:sz w:val="22"/>
          <w:szCs w:val="22"/>
          <w:u w:val="single" w:color="auto"/>
          <w:color w:val="0000FF"/>
          <w:highlight w:val="lightGray"/>
        </w:rPr>
        <w:t>the Adjusted Term SOFR Rate</w:t>
      </w:r>
      <w:r>
        <w:rPr>
          <w:rFonts w:ascii="Arial" w:cs="Arial" w:eastAsia="Arial" w:hAnsi="Arial"/>
          <w:sz w:val="22"/>
          <w:szCs w:val="22"/>
          <w:color w:val="auto"/>
        </w:rPr>
        <w:t xml:space="preserve"> </w:t>
      </w:r>
      <w:r>
        <w:rPr>
          <w:rFonts w:ascii="Arial" w:cs="Arial" w:eastAsia="Arial" w:hAnsi="Arial"/>
          <w:sz w:val="22"/>
          <w:szCs w:val="22"/>
          <w:u w:val="single" w:color="auto"/>
          <w:color w:val="0000FF"/>
          <w:highlight w:val="lightGray"/>
        </w:rPr>
        <w:t>or the Adjusted Daily Simple SOFR, as applicable</w:t>
      </w:r>
      <w:r>
        <w:rPr>
          <w:rFonts w:ascii="Arial" w:cs="Arial" w:eastAsia="Arial" w:hAnsi="Arial"/>
          <w:sz w:val="22"/>
          <w:szCs w:val="22"/>
          <w:u w:val="single" w:color="auto"/>
          <w:color w:val="008000"/>
        </w:rPr>
        <w:t>. For the avoidance of doubt, the</w:t>
      </w:r>
      <w:r>
        <w:rPr>
          <w:rFonts w:ascii="Arial" w:cs="Arial" w:eastAsia="Arial" w:hAnsi="Arial"/>
          <w:sz w:val="22"/>
          <w:szCs w:val="22"/>
          <w:u w:val="single" w:color="auto"/>
          <w:color w:val="0000FF"/>
          <w:highlight w:val="lightGray"/>
        </w:rPr>
        <w:t xml:space="preserve"> initial Floor for each of the Adjusted Term SOFR Rate and the Adjusted Daily Simple SOFR shall be 0%.</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means any Lender that is organized under the laws of a jurisdiction other than that in which the Borrowers are located. For purposes of this definition,</w:t>
      </w:r>
    </w:p>
    <w:p>
      <w:pPr>
        <w:sectPr>
          <w:pgSz w:w="11900" w:h="16838" w:orient="portrait"/>
          <w:cols w:equalWidth="0" w:num="1">
            <w:col w:w="11240"/>
          </w:cols>
          <w:pgMar w:left="320" w:top="1401" w:right="339" w:bottom="1440" w:gutter="0" w:footer="0" w:header="0"/>
        </w:sectPr>
      </w:pPr>
    </w:p>
    <w:bookmarkStart w:id="75" w:name="page76"/>
    <w:bookmarkEnd w:id="75"/>
    <w:p>
      <w:pPr>
        <w:spacing w:after="0"/>
        <w:rPr>
          <w:sz w:val="20"/>
          <w:szCs w:val="20"/>
          <w:color w:val="auto"/>
        </w:rPr>
      </w:pPr>
      <w:r>
        <w:rPr>
          <w:rFonts w:ascii="Arial" w:cs="Arial" w:eastAsia="Arial" w:hAnsi="Arial"/>
          <w:sz w:val="19"/>
          <w:szCs w:val="19"/>
          <w:color w:val="auto"/>
        </w:rPr>
        <w:t>the United States of America, each State thereof and the District of Columbia shall be deemed to constitute a single jurisdiction.</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means any Subsidiary other than a Domestic Subsidiary.</w:t>
      </w:r>
    </w:p>
    <w:p>
      <w:pPr>
        <w:spacing w:after="0" w:line="17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Subsidiary Holdco</w:t>
      </w:r>
      <w:r>
        <w:rPr>
          <w:rFonts w:ascii="Arial" w:cs="Arial" w:eastAsia="Arial" w:hAnsi="Arial"/>
          <w:sz w:val="19"/>
          <w:szCs w:val="19"/>
          <w:color w:val="auto"/>
        </w:rPr>
        <w:t xml:space="preserve"> ” means each Subsidiary, including a Domestic Subsidiary, substantially all the assets of which consist of debt or Equity Interests in one or more Foreign Subsidiaries or Subsidiaries described in this definition.</w:t>
      </w:r>
    </w:p>
    <w:p>
      <w:pPr>
        <w:spacing w:after="0" w:line="105"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Form S-1</w:t>
      </w:r>
      <w:r>
        <w:rPr>
          <w:rFonts w:ascii="Arial" w:cs="Arial" w:eastAsia="Arial" w:hAnsi="Arial"/>
          <w:sz w:val="22"/>
          <w:szCs w:val="22"/>
          <w:color w:val="auto"/>
        </w:rPr>
        <w:t>” means the Registration Statement Under the Securities Act of 1933 on Form S-1 filed by Holdings on August 30, 2021.</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United States of America.</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Acts</w:t>
      </w:r>
      <w:r>
        <w:rPr>
          <w:rFonts w:ascii="Arial" w:cs="Arial" w:eastAsia="Arial" w:hAnsi="Arial"/>
          <w:sz w:val="22"/>
          <w:szCs w:val="22"/>
          <w:color w:val="auto"/>
        </w:rPr>
        <w:t>” means any act or omission, whether rightful or wrongful, of any present or future de jure or de facto government or Governmental Authority.</w:t>
      </w:r>
    </w:p>
    <w:p>
      <w:pPr>
        <w:spacing w:after="0" w:line="15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Grantor</w:t>
      </w:r>
      <w:r>
        <w:rPr>
          <w:rFonts w:ascii="Arial" w:cs="Arial" w:eastAsia="Arial" w:hAnsi="Arial"/>
          <w:sz w:val="22"/>
          <w:szCs w:val="22"/>
          <w:color w:val="auto"/>
        </w:rPr>
        <w:t>” has the meaning set forth in the Security Agreement.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 Members</w:t>
      </w:r>
      <w:r>
        <w:rPr>
          <w:rFonts w:ascii="Arial" w:cs="Arial" w:eastAsia="Arial" w:hAnsi="Arial"/>
          <w:sz w:val="22"/>
          <w:szCs w:val="22"/>
          <w:color w:val="auto"/>
        </w:rPr>
        <w:t>” means the collective reference to Holdings and its Restricted Subsidiaries.</w:t>
      </w:r>
    </w:p>
    <w:p>
      <w:pPr>
        <w:spacing w:after="0" w:line="179"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Guarantee</w:t>
      </w:r>
      <w:r>
        <w:rPr>
          <w:rFonts w:ascii="Arial" w:cs="Arial" w:eastAsia="Arial" w:hAnsi="Arial"/>
          <w:sz w:val="19"/>
          <w:szCs w:val="19"/>
          <w:color w:val="auto"/>
        </w:rPr>
        <w:t>” of or by any Person (the “</w:t>
      </w:r>
      <w:r>
        <w:rPr>
          <w:rFonts w:ascii="Arial" w:cs="Arial" w:eastAsia="Arial" w:hAnsi="Arial"/>
          <w:sz w:val="19"/>
          <w:szCs w:val="19"/>
          <w:u w:val="single" w:color="auto"/>
          <w:color w:val="auto"/>
        </w:rPr>
        <w:t>guarantor</w:t>
      </w:r>
      <w:r>
        <w:rPr>
          <w:rFonts w:ascii="Arial" w:cs="Arial" w:eastAsia="Arial" w:hAnsi="Arial"/>
          <w:sz w:val="19"/>
          <w:szCs w:val="19"/>
          <w:color w:val="auto"/>
        </w:rPr>
        <w:t>”) means any obligation, contingent or otherwise, of the guarantor guaranteeing or having the economic effect of guaranteeing any Indebtedness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Guarantee shall not include endorsements for collection or deposit in the ordinary course of business, or customary indemnification obligations entered into in connection with any Acquisition or disposition of assets or of other entities (other than to the extent that the primary obligations that are the subject of such indemnification obligation would be considered Indebtedness hereunder).</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Guaranteed Obligation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Guarantor</w:t>
      </w:r>
      <w:r>
        <w:rPr>
          <w:rFonts w:ascii="Arial" w:cs="Arial" w:eastAsia="Arial" w:hAnsi="Arial"/>
          <w:sz w:val="19"/>
          <w:szCs w:val="19"/>
          <w:color w:val="auto"/>
        </w:rPr>
        <w:t xml:space="preserve">” means each Person that shall have become a party hereto as a “Guarantor” and shall have provided a Guaranty of the Obligations by executing and delivering to the Administrative Agent a signature page hereto or a Counterpart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Article VII, the term “Guarantors” shall also include each Borrower (except with</w:t>
      </w:r>
    </w:p>
    <w:p>
      <w:pPr>
        <w:sectPr>
          <w:pgSz w:w="11900" w:h="16838" w:orient="portrait"/>
          <w:cols w:equalWidth="0" w:num="1">
            <w:col w:w="11240"/>
          </w:cols>
          <w:pgMar w:left="320" w:top="1401" w:right="339" w:bottom="1440" w:gutter="0" w:footer="0" w:header="0"/>
        </w:sectPr>
      </w:pPr>
    </w:p>
    <w:bookmarkStart w:id="76" w:name="page77"/>
    <w:bookmarkEnd w:id="76"/>
    <w:p>
      <w:pPr>
        <w:spacing w:after="0"/>
        <w:rPr>
          <w:sz w:val="20"/>
          <w:szCs w:val="20"/>
          <w:color w:val="auto"/>
        </w:rPr>
      </w:pPr>
      <w:r>
        <w:rPr>
          <w:rFonts w:ascii="Arial" w:cs="Arial" w:eastAsia="Arial" w:hAnsi="Arial"/>
          <w:sz w:val="19"/>
          <w:szCs w:val="19"/>
          <w:color w:val="auto"/>
        </w:rPr>
        <w:t xml:space="preserve">respect to the Direct Borrower Obligations of such Borrower);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Excluded Subsidiary shall be a Guarantor.</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Guaranty</w:t>
      </w:r>
      <w:r>
        <w:rPr>
          <w:rFonts w:ascii="Arial" w:cs="Arial" w:eastAsia="Arial" w:hAnsi="Arial"/>
          <w:sz w:val="22"/>
          <w:szCs w:val="22"/>
          <w:color w:val="auto"/>
        </w:rPr>
        <w:t xml:space="preserve">” means the guaranty of each Guarantor set forth in </w:t>
      </w:r>
      <w:r>
        <w:rPr>
          <w:rFonts w:ascii="Arial" w:cs="Arial" w:eastAsia="Arial" w:hAnsi="Arial"/>
          <w:sz w:val="22"/>
          <w:szCs w:val="22"/>
          <w:u w:val="single" w:color="auto"/>
          <w:color w:val="auto"/>
        </w:rPr>
        <w:t>Article VII</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Materials</w:t>
      </w:r>
      <w:r>
        <w:rPr>
          <w:rFonts w:ascii="Arial" w:cs="Arial" w:eastAsia="Arial" w:hAnsi="Arial"/>
          <w:sz w:val="22"/>
          <w:szCs w:val="22"/>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Impacted Interest Period</w:t>
      </w:r>
      <w:r>
        <w:rPr>
          <w:rFonts w:ascii="Arial" w:cs="Arial" w:eastAsia="Arial" w:hAnsi="Arial"/>
          <w:sz w:val="22"/>
          <w:szCs w:val="22"/>
          <w:color w:val="008000"/>
          <w:strike w:val="1"/>
        </w:rPr>
        <w:t>” has the meaning assigned to it</w:t>
      </w:r>
      <w:r>
        <w:rPr>
          <w:rFonts w:ascii="Arial" w:cs="Arial" w:eastAsia="Arial" w:hAnsi="Arial"/>
          <w:sz w:val="22"/>
          <w:szCs w:val="22"/>
          <w:color w:val="FF0000"/>
          <w:strike w:val="1"/>
        </w:rPr>
        <w:t xml:space="preserve"> in the definition of “LIBO Rate”.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Increase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2.19(a)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Increasing Lender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2.19(b)</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Amount</w:t>
      </w:r>
      <w:r>
        <w:rPr>
          <w:rFonts w:ascii="Arial" w:cs="Arial" w:eastAsia="Arial" w:hAnsi="Arial"/>
          <w:sz w:val="22"/>
          <w:szCs w:val="22"/>
          <w:color w:val="auto"/>
        </w:rPr>
        <w:t xml:space="preserve">” shall mean, at any time, $100,000,000 </w:t>
      </w:r>
      <w:r>
        <w:rPr>
          <w:rFonts w:ascii="Arial" w:cs="Arial" w:eastAsia="Arial" w:hAnsi="Arial"/>
          <w:sz w:val="22"/>
          <w:szCs w:val="22"/>
          <w:i w:val="1"/>
          <w:iCs w:val="1"/>
          <w:color w:val="auto"/>
        </w:rPr>
        <w:t>less</w:t>
      </w:r>
      <w:r>
        <w:rPr>
          <w:rFonts w:ascii="Arial" w:cs="Arial" w:eastAsia="Arial" w:hAnsi="Arial"/>
          <w:sz w:val="22"/>
          <w:szCs w:val="22"/>
          <w:color w:val="auto"/>
        </w:rPr>
        <w:t xml:space="preserve"> the sum of the aggregate amounts of each Commitment Increase and Other Permitted Debt effectuated prior to such time.</w:t>
      </w:r>
    </w:p>
    <w:p>
      <w:pPr>
        <w:spacing w:after="0" w:line="159"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of any Person at any date means, without duplication, (a) all indebtedness of such Person for borrowed money, (b) all obligations of such Person for the deferred purchase price of property or services (other than (i) accounts payable and accrued expenses (as defined under GAAP) incurred in the ordinary course of such Person’s business, (ii) purchase price adjustments, earnouts, holdbacks and other similar deferred consideration payable in connection with Acquisitions, and (iii) for the avoidance of doubt, financing, construction or other similar liabilities arising pursuant to of EITF 97-10 (ASC 840) or any successor accounting pronouncement and not reflecting any obligation to any other Person),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bankers’ acceptances, letters of credit, surety bonds or similar arrangements, (g) all Guarantees of such Person in respect of obligations of the kind referred to in clauses (a) through (f) above and (h) all obligations of the kind referred to in clauses (a) through (g) above secured by (or for which the holder of such obligation has an existing right, contingent or otherwise, to be secured by) any Lien on property (including accounts and contract rights) owned or acquired by such Person, whether or not such Person has assumed or become liable for the payment of such obligation.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 Notwithstanding the foregoing, the obligations of the Borrowers pursuant to any Permitted Call Spread Transaction shall not constitute Indebtedness for purposes of this Agreement. Notwithstanding anything to the contrary set forth herein, the obligations identified in the parenthetical to clause (b) above shall not constitute Indebtedness.</w:t>
      </w:r>
    </w:p>
    <w:p>
      <w:pPr>
        <w:spacing w:after="0" w:line="16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Indemnified Taxes</w:t>
      </w:r>
      <w:r>
        <w:rPr>
          <w:rFonts w:ascii="Arial" w:cs="Arial" w:eastAsia="Arial" w:hAnsi="Arial"/>
          <w:sz w:val="22"/>
          <w:szCs w:val="22"/>
          <w:color w:val="auto"/>
        </w:rPr>
        <w:t>” means (a) Taxes, other than Excluded Taxes, imposed on or with respect to any payment made by or on account of any obligation of any Loan Party under any Loan Document and (b) to the extent not otherwise described in (a), Other Taxes.</w:t>
      </w:r>
    </w:p>
    <w:p>
      <w:pPr>
        <w:sectPr>
          <w:pgSz w:w="11900" w:h="16838" w:orient="portrait"/>
          <w:cols w:equalWidth="0" w:num="1">
            <w:col w:w="11240"/>
          </w:cols>
          <w:pgMar w:left="320" w:top="1401" w:right="339" w:bottom="1440" w:gutter="0" w:footer="0" w:header="0"/>
        </w:sectPr>
      </w:pPr>
    </w:p>
    <w:bookmarkStart w:id="77" w:name="page78"/>
    <w:bookmarkEnd w:id="77"/>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10.3(c)</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10.12(a)</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Information Documents</w:t>
      </w:r>
      <w:r>
        <w:rPr>
          <w:rFonts w:ascii="Arial" w:cs="Arial" w:eastAsia="Arial" w:hAnsi="Arial"/>
          <w:sz w:val="19"/>
          <w:szCs w:val="19"/>
          <w:color w:val="auto"/>
        </w:rPr>
        <w:t xml:space="preserve"> ” means at any time any memorandum, lender’s presentation or other written information, in each case as then supplemented or amended and including any documents attached thereto or incorporated by reference therein, prepared by the Borrowers and given to any Lender in connection with the Transactions.</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has the meaning set forth in the Security Agreement.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 Security Agreements</w:t>
      </w:r>
      <w:r>
        <w:rPr>
          <w:rFonts w:ascii="Arial" w:cs="Arial" w:eastAsia="Arial" w:hAnsi="Arial"/>
          <w:sz w:val="22"/>
          <w:szCs w:val="22"/>
          <w:color w:val="auto"/>
        </w:rPr>
        <w:t>” has the meaning set forth in the Security Agreement.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Intercreditor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9.8</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Election Request</w:t>
      </w:r>
      <w:r>
        <w:rPr>
          <w:rFonts w:ascii="Arial" w:cs="Arial" w:eastAsia="Arial" w:hAnsi="Arial"/>
          <w:sz w:val="22"/>
          <w:szCs w:val="22"/>
          <w:color w:val="auto"/>
        </w:rPr>
        <w:t xml:space="preserve">” means a request by the Borrowers to convert or continue a Borrowing in accordance with </w:t>
      </w:r>
      <w:r>
        <w:rPr>
          <w:rFonts w:ascii="Arial" w:cs="Arial" w:eastAsia="Arial" w:hAnsi="Arial"/>
          <w:sz w:val="22"/>
          <w:szCs w:val="22"/>
          <w:u w:val="single" w:color="auto"/>
          <w:color w:val="auto"/>
        </w:rPr>
        <w:t>Section 2.7</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xml:space="preserve">” means (a) with respect to any ABR Loan, the last day of each March, June, September and December and the Maturity Date and (b) with respect to any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highlight w:val="lightGray"/>
        </w:rPr>
        <w:t>Term Benchmark</w:t>
      </w:r>
      <w:r>
        <w:rPr>
          <w:rFonts w:ascii="Arial" w:cs="Arial" w:eastAsia="Arial" w:hAnsi="Arial"/>
          <w:sz w:val="19"/>
          <w:szCs w:val="19"/>
          <w:color w:val="auto"/>
        </w:rPr>
        <w:t xml:space="preserve"> Loan, the last day of the Interest Period applicable to the Borrowing of which such Loan is a part and, in the case of a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highlight w:val="lightGray"/>
        </w:rPr>
        <w:t>Term Benchmark</w:t>
      </w:r>
      <w:r>
        <w:rPr>
          <w:rFonts w:ascii="Arial" w:cs="Arial" w:eastAsia="Arial" w:hAnsi="Arial"/>
          <w:sz w:val="19"/>
          <w:szCs w:val="19"/>
          <w:color w:val="auto"/>
        </w:rPr>
        <w:t xml:space="preserve">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49"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with respect to any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highlight w:val="lightGray"/>
        </w:rPr>
        <w:t>Term Benchmark</w:t>
      </w:r>
      <w:r>
        <w:rPr>
          <w:rFonts w:ascii="Arial" w:cs="Arial" w:eastAsia="Arial" w:hAnsi="Arial"/>
          <w:sz w:val="19"/>
          <w:szCs w:val="19"/>
          <w:color w:val="auto"/>
        </w:rPr>
        <w:t xml:space="preserve"> Borrowing, the period commencing on the date of such Borrowing and ending on the numerically corresponding day in the calendar month that is one, three or six months </w:t>
      </w:r>
      <w:r>
        <w:rPr>
          <w:rFonts w:ascii="Arial" w:cs="Arial" w:eastAsia="Arial" w:hAnsi="Arial"/>
          <w:sz w:val="19"/>
          <w:szCs w:val="19"/>
          <w:u w:val="single" w:color="auto"/>
          <w:color w:val="0000FF"/>
          <w:highlight w:val="lightGray"/>
        </w:rPr>
        <w:t>thereafter</w:t>
      </w:r>
      <w:r>
        <w:rPr>
          <w:rFonts w:ascii="Arial" w:cs="Arial" w:eastAsia="Arial" w:hAnsi="Arial"/>
          <w:sz w:val="19"/>
          <w:szCs w:val="19"/>
          <w:color w:val="auto"/>
        </w:rPr>
        <w:t xml:space="preserve"> (or, with the consent of each Lender, twelve months </w:t>
      </w:r>
      <w:r>
        <w:rPr>
          <w:rFonts w:ascii="Arial" w:cs="Arial" w:eastAsia="Arial" w:hAnsi="Arial"/>
          <w:sz w:val="19"/>
          <w:szCs w:val="19"/>
          <w:color w:val="FF0000"/>
        </w:rPr>
        <w:t>or less than one month) thereafter</w:t>
      </w:r>
      <w:r>
        <w:rPr>
          <w:rFonts w:ascii="Arial" w:cs="Arial" w:eastAsia="Arial" w:hAnsi="Arial"/>
          <w:sz w:val="19"/>
          <w:szCs w:val="19"/>
          <w:u w:val="single" w:color="auto"/>
          <w:color w:val="0000FF"/>
          <w:highlight w:val="lightGray"/>
        </w:rPr>
        <w:t>)</w:t>
      </w:r>
      <w:r>
        <w:rPr>
          <w:rFonts w:ascii="Arial" w:cs="Arial" w:eastAsia="Arial" w:hAnsi="Arial"/>
          <w:sz w:val="19"/>
          <w:szCs w:val="19"/>
          <w:color w:val="auto"/>
        </w:rPr>
        <w:t xml:space="preserve"> (in each case, subject to the availability for the Benchmark applicable to the relevant Loan or Commitment), as the Borrowers may elect;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3858895</wp:posOffset>
            </wp:positionH>
            <wp:positionV relativeFrom="paragraph">
              <wp:posOffset>-193675</wp:posOffset>
            </wp:positionV>
            <wp:extent cx="18878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1887855" cy="8255"/>
                    </a:xfrm>
                    <a:prstGeom prst="rect">
                      <a:avLst/>
                    </a:prstGeom>
                    <a:noFill/>
                  </pic:spPr>
                </pic:pic>
              </a:graphicData>
            </a:graphic>
          </wp:anchor>
        </w:drawing>
      </w:r>
    </w:p>
    <w:p>
      <w:pPr>
        <w:jc w:val="both"/>
        <w:ind w:firstLine="8"/>
        <w:spacing w:after="0" w:line="242" w:lineRule="auto"/>
        <w:tabs>
          <w:tab w:leader="none" w:pos="326" w:val="left"/>
        </w:tabs>
        <w:numPr>
          <w:ilvl w:val="0"/>
          <w:numId w:val="57"/>
        </w:numPr>
        <w:rPr>
          <w:rFonts w:ascii="Arial" w:cs="Arial" w:eastAsia="Arial" w:hAnsi="Arial"/>
          <w:sz w:val="19"/>
          <w:szCs w:val="19"/>
          <w:color w:val="auto"/>
        </w:rPr>
      </w:pPr>
      <w:r>
        <w:rPr>
          <w:rFonts w:ascii="Arial" w:cs="Arial" w:eastAsia="Arial" w:hAnsi="Arial"/>
          <w:sz w:val="19"/>
          <w:szCs w:val="19"/>
          <w:color w:val="auto"/>
        </w:rPr>
        <w:t>if any Interest Period would end on a day other than a Business Day, such Interest Period shall be extended to the next succeeding Business Day unless</w:t>
      </w:r>
      <w:r>
        <w:rPr>
          <w:rFonts w:ascii="Arial" w:cs="Arial" w:eastAsia="Arial" w:hAnsi="Arial"/>
          <w:sz w:val="19"/>
          <w:szCs w:val="19"/>
          <w:color w:val="FF0000"/>
          <w:strike w:val="1"/>
        </w:rPr>
        <w:t>, in the case of a Eurodollar Borrowing only,</w:t>
      </w:r>
      <w:r>
        <w:rPr>
          <w:rFonts w:ascii="Arial" w:cs="Arial" w:eastAsia="Arial" w:hAnsi="Arial"/>
          <w:sz w:val="19"/>
          <w:szCs w:val="19"/>
          <w:color w:val="auto"/>
        </w:rPr>
        <w:t xml:space="preserve"> such next succeeding Business Day would fall in the next calendar month, in which case such Interest Period shall end on the next preceding Business Day, (b) any Interest Period </w:t>
      </w:r>
      <w:r>
        <w:rPr>
          <w:rFonts w:ascii="Arial" w:cs="Arial" w:eastAsia="Arial" w:hAnsi="Arial"/>
          <w:sz w:val="19"/>
          <w:szCs w:val="19"/>
          <w:color w:val="FF0000"/>
          <w:strike w:val="1"/>
        </w:rPr>
        <w:t>pertaining to a Eurodollar Borrowing</w:t>
      </w:r>
      <w:r>
        <w:rPr>
          <w:rFonts w:ascii="Arial" w:cs="Arial" w:eastAsia="Arial" w:hAnsi="Arial"/>
          <w:sz w:val="19"/>
          <w:szCs w:val="19"/>
          <w:color w:val="FF0000"/>
        </w:rPr>
        <w:t xml:space="preserve"> </w:t>
      </w:r>
      <w:r>
        <w:rPr>
          <w:rFonts w:ascii="Arial" w:cs="Arial" w:eastAsia="Arial" w:hAnsi="Arial"/>
          <w:sz w:val="19"/>
          <w:szCs w:val="19"/>
          <w:color w:val="000000"/>
        </w:rPr>
        <w:t>that commences on the last Business Day of a calendar month (or on a day for which there</w:t>
      </w:r>
      <w:r>
        <w:rPr>
          <w:rFonts w:ascii="Arial" w:cs="Arial" w:eastAsia="Arial" w:hAnsi="Arial"/>
          <w:sz w:val="19"/>
          <w:szCs w:val="19"/>
          <w:color w:val="FF0000"/>
        </w:rPr>
        <w:t xml:space="preserve"> </w:t>
      </w:r>
      <w:r>
        <w:rPr>
          <w:rFonts w:ascii="Arial" w:cs="Arial" w:eastAsia="Arial" w:hAnsi="Arial"/>
          <w:sz w:val="19"/>
          <w:szCs w:val="19"/>
          <w:color w:val="000000"/>
        </w:rPr>
        <w:t>is no numerically corresponding day in the last calendar month of such Interest Period) shall end on the last Business Day of the last calendar month of such Interest Period and (c) no tenor that has been removed from this definition pursuant to Section 2.13(</w:t>
      </w:r>
      <w:r>
        <w:rPr>
          <w:rFonts w:ascii="Arial" w:cs="Arial" w:eastAsia="Arial" w:hAnsi="Arial"/>
          <w:sz w:val="19"/>
          <w:szCs w:val="19"/>
          <w:color w:val="FF0000"/>
          <w:strike w:val="1"/>
        </w:rPr>
        <w:t>f</w:t>
      </w:r>
      <w:r>
        <w:rPr>
          <w:rFonts w:ascii="Arial" w:cs="Arial" w:eastAsia="Arial" w:hAnsi="Arial"/>
          <w:sz w:val="19"/>
          <w:szCs w:val="19"/>
          <w:u w:val="single" w:color="auto"/>
          <w:color w:val="0000FF"/>
          <w:highlight w:val="lightGray"/>
        </w:rPr>
        <w:t>e</w:t>
      </w:r>
      <w:r>
        <w:rPr>
          <w:rFonts w:ascii="Arial" w:cs="Arial" w:eastAsia="Arial" w:hAnsi="Arial"/>
          <w:sz w:val="19"/>
          <w:szCs w:val="19"/>
          <w:color w:val="000000"/>
        </w:rPr>
        <w:t>)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Interpolated Rate</w:t>
      </w:r>
      <w:r>
        <w:rPr>
          <w:rFonts w:ascii="Arial" w:cs="Arial" w:eastAsia="Arial" w:hAnsi="Arial"/>
          <w:sz w:val="19"/>
          <w:szCs w:val="19"/>
          <w:color w:val="FF0000"/>
          <w:strike w:val="1"/>
        </w:rPr>
        <w:t xml:space="preserve">” means, at any time for any Impacted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applicable LIBO Screen Rate for the longest period for which the LIBO Screen Rate is available that is shorter than the Impacted Interest Period and (b) the applicable LIBO Screen Rate for the shortest period for which that LIBO Screen Rate is available that exceeds the Impacted Interest Period, in each case, at such time;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 xml:space="preserve"> that if any Interpolated Rate shall be less than zero</w:t>
      </w:r>
      <w:r>
        <w:rPr>
          <w:rFonts w:ascii="Arial" w:cs="Arial" w:eastAsia="Arial" w:hAnsi="Arial"/>
          <w:sz w:val="19"/>
          <w:szCs w:val="19"/>
          <w:color w:val="008000"/>
          <w:strike w:val="1"/>
        </w:rPr>
        <w:t>, such rate shall be deemed to be</w:t>
      </w:r>
      <w:r>
        <w:rPr>
          <w:rFonts w:ascii="Arial" w:cs="Arial" w:eastAsia="Arial" w:hAnsi="Arial"/>
          <w:sz w:val="19"/>
          <w:szCs w:val="19"/>
          <w:color w:val="FF0000"/>
          <w:strike w:val="1"/>
        </w:rPr>
        <w:t xml:space="preserve"> zero </w:t>
      </w:r>
      <w:r>
        <w:rPr>
          <w:rFonts w:ascii="Arial" w:cs="Arial" w:eastAsia="Arial" w:hAnsi="Arial"/>
          <w:sz w:val="19"/>
          <w:szCs w:val="19"/>
          <w:color w:val="008000"/>
          <w:strike w:val="1"/>
        </w:rPr>
        <w:t>for the purposes of this Agreement.</w:t>
      </w:r>
    </w:p>
    <w:p>
      <w:pPr>
        <w:sectPr>
          <w:pgSz w:w="11900" w:h="16838" w:orient="portrait"/>
          <w:cols w:equalWidth="0" w:num="1">
            <w:col w:w="11240"/>
          </w:cols>
          <w:pgMar w:left="320" w:top="1401" w:right="339" w:bottom="1440" w:gutter="0" w:footer="0" w:header="0"/>
        </w:sectPr>
      </w:pPr>
    </w:p>
    <w:bookmarkStart w:id="78" w:name="page79"/>
    <w:bookmarkEnd w:id="78"/>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w:t>
      </w:r>
      <w:r>
        <w:rPr>
          <w:rFonts w:ascii="Arial" w:cs="Arial" w:eastAsia="Arial" w:hAnsi="Arial"/>
          <w:sz w:val="22"/>
          <w:szCs w:val="22"/>
          <w:color w:val="auto"/>
        </w:rPr>
        <w:t xml:space="preserve">” means any loan, advance (other than advances to employees for moving, entertainment and travel expenses, drawing accounts and similar expenditures in the ordinary course of business), extension of credit (by way of Guarantee or otherwise) or capital contributions by Holdings or any of its Restricted Subsidiaries to any other Person (other than any Loan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Investment shall not include any Acquisitions.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U.S. Internal Revenue Service.</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ISDA Definitions</w:t>
      </w:r>
      <w:r>
        <w:rPr>
          <w:rFonts w:ascii="Arial" w:cs="Arial" w:eastAsia="Arial" w:hAnsi="Arial"/>
          <w:sz w:val="22"/>
          <w:szCs w:val="22"/>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6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ISP 98</w:t>
      </w:r>
      <w:r>
        <w:rPr>
          <w:rFonts w:ascii="Arial" w:cs="Arial" w:eastAsia="Arial" w:hAnsi="Arial"/>
          <w:sz w:val="22"/>
          <w:szCs w:val="22"/>
          <w:color w:val="auto"/>
        </w:rPr>
        <w:t>” means, with respect to any Letter of Credit, the “International Standby Practices 1998” published by the Institute of International Banking Law &amp; Practice, Inc. (or such later version thereof as may be acceptable to the applicable Issuing Bank and in effect at the time of issuance of such Letter of Credit).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Issuance Notice</w:t>
      </w:r>
      <w:r>
        <w:rPr>
          <w:rFonts w:ascii="Arial" w:cs="Arial" w:eastAsia="Arial" w:hAnsi="Arial"/>
          <w:sz w:val="22"/>
          <w:szCs w:val="22"/>
          <w:color w:val="auto"/>
        </w:rPr>
        <w:t xml:space="preserve">” means an Issuance Notice substantially in the form of </w:t>
      </w:r>
      <w:r>
        <w:rPr>
          <w:rFonts w:ascii="Arial" w:cs="Arial" w:eastAsia="Arial" w:hAnsi="Arial"/>
          <w:sz w:val="22"/>
          <w:szCs w:val="22"/>
          <w:u w:val="single" w:color="auto"/>
          <w:color w:val="auto"/>
        </w:rPr>
        <w:t>Exhibit B-2</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Issuing Bank</w:t>
      </w:r>
      <w:r>
        <w:rPr>
          <w:rFonts w:ascii="Arial" w:cs="Arial" w:eastAsia="Arial" w:hAnsi="Arial"/>
          <w:sz w:val="21"/>
          <w:szCs w:val="21"/>
          <w:color w:val="auto"/>
        </w:rPr>
        <w:t xml:space="preserve">” means (a) each of JPMCB, (b) Silicon Valley Bank and (c) each Lender that shall have become an Issuing Bank hereunder as provided in </w:t>
      </w:r>
      <w:r>
        <w:rPr>
          <w:rFonts w:ascii="Arial" w:cs="Arial" w:eastAsia="Arial" w:hAnsi="Arial"/>
          <w:sz w:val="21"/>
          <w:szCs w:val="21"/>
          <w:u w:val="single" w:color="auto"/>
          <w:color w:val="auto"/>
        </w:rPr>
        <w:t>Section 2.4(i)</w:t>
      </w:r>
      <w:r>
        <w:rPr>
          <w:rFonts w:ascii="Arial" w:cs="Arial" w:eastAsia="Arial" w:hAnsi="Arial"/>
          <w:sz w:val="21"/>
          <w:szCs w:val="21"/>
          <w:color w:val="auto"/>
        </w:rPr>
        <w:t xml:space="preserve"> (other than any Person that shall have ceased to be an Issuing Bank as provided in </w:t>
      </w:r>
      <w:r>
        <w:rPr>
          <w:rFonts w:ascii="Arial" w:cs="Arial" w:eastAsia="Arial" w:hAnsi="Arial"/>
          <w:sz w:val="21"/>
          <w:szCs w:val="21"/>
          <w:u w:val="single" w:color="auto"/>
          <w:color w:val="auto"/>
        </w:rPr>
        <w:t>Section 2.4(h)</w:t>
      </w:r>
      <w:r>
        <w:rPr>
          <w:rFonts w:ascii="Arial" w:cs="Arial" w:eastAsia="Arial" w:hAnsi="Arial"/>
          <w:sz w:val="21"/>
          <w:szCs w:val="21"/>
          <w:color w:val="auto"/>
        </w:rPr>
        <w:t xml:space="preserve">), each in its capacity as an issuer of Letters of Credit hereunder and together with its permitted successors and assigns in such capacity. Each Issuing Bank may, in its discretion, arrange for one or more Letters of Credit to be issued by Affiliates of such Issuing Bank, in which case the term “Issuing Bank” shall include any such Affiliate with respect to Letters of Credit issued by such Affiliate (it being agreed that such Issuing Bank shall, or shall cause such Affiliate to, comply with the requirements of </w:t>
      </w:r>
      <w:r>
        <w:rPr>
          <w:rFonts w:ascii="Arial" w:cs="Arial" w:eastAsia="Arial" w:hAnsi="Arial"/>
          <w:sz w:val="21"/>
          <w:szCs w:val="21"/>
          <w:u w:val="single" w:color="auto"/>
          <w:color w:val="auto"/>
        </w:rPr>
        <w:t>Section 2.4</w:t>
      </w:r>
      <w:r>
        <w:rPr>
          <w:rFonts w:ascii="Arial" w:cs="Arial" w:eastAsia="Arial" w:hAnsi="Arial"/>
          <w:sz w:val="21"/>
          <w:szCs w:val="21"/>
          <w:color w:val="auto"/>
        </w:rPr>
        <w:t xml:space="preserve"> with respect to such Letters of Credit).</w:t>
      </w:r>
    </w:p>
    <w:p>
      <w:pPr>
        <w:spacing w:after="0" w:line="16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Issuing Bank Sublimit</w:t>
      </w:r>
      <w:r>
        <w:rPr>
          <w:rFonts w:ascii="Arial" w:cs="Arial" w:eastAsia="Arial" w:hAnsi="Arial"/>
          <w:sz w:val="19"/>
          <w:szCs w:val="19"/>
          <w:color w:val="auto"/>
        </w:rPr>
        <w:t>” means, at any time, (a) with respect to JPMCB in its capacity as Issuing Bank, $35,000,000, (b) with respect to Silicon Valley Bank in its capacity as Issuing Bank, $25,000,000, and (c) with respect to any Lender that shall have become an Issuing Bank hereunder as provided in Section 2.4(i), such amount as set forth in the agreement referred to in Section 2.4(i) evidencing the appointment of such Lender (or its designated Affiliate) as an Issuing Bank.</w:t>
      </w:r>
    </w:p>
    <w:p>
      <w:pPr>
        <w:spacing w:after="0" w:line="14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Venture</w:t>
      </w:r>
      <w:r>
        <w:rPr>
          <w:rFonts w:ascii="Arial" w:cs="Arial" w:eastAsia="Arial" w:hAnsi="Arial"/>
          <w:sz w:val="22"/>
          <w:szCs w:val="22"/>
          <w:color w:val="auto"/>
        </w:rPr>
        <w:t xml:space="preserve"> ” means a joint venture, partnership or other similar arrangement, whether in corporate, partnership or other legal form;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no event shall any corporate subsidiary of any Person be considered to be a Joint Venture to which such Person is a party.</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JPMCB</w:t>
      </w:r>
      <w:r>
        <w:rPr>
          <w:rFonts w:ascii="Arial" w:cs="Arial" w:eastAsia="Arial" w:hAnsi="Arial"/>
          <w:sz w:val="22"/>
          <w:szCs w:val="22"/>
          <w:color w:val="auto"/>
        </w:rPr>
        <w:t>” means JPMorgan Chase Bank, N.A.</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Judgment Currency</w:t>
      </w:r>
      <w:r>
        <w:rPr>
          <w:rFonts w:ascii="Arial" w:cs="Arial" w:eastAsia="Arial" w:hAnsi="Arial"/>
          <w:sz w:val="22"/>
          <w:szCs w:val="22"/>
          <w:color w:val="auto"/>
        </w:rPr>
        <w:t>” has the meaning set forth in Section 10.19(b).</w:t>
      </w:r>
    </w:p>
    <w:p>
      <w:pPr>
        <w:spacing w:after="0" w:line="17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 Counterparty</w:t>
      </w:r>
      <w:r>
        <w:rPr>
          <w:rFonts w:ascii="Arial" w:cs="Arial" w:eastAsia="Arial" w:hAnsi="Arial"/>
          <w:sz w:val="22"/>
          <w:szCs w:val="22"/>
          <w:color w:val="auto"/>
        </w:rPr>
        <w:t>” means each Lender, each Agent and each of their respective Affiliates that is counterparty to a Swap Agreement or provider of Cash Management Services pursuant to a Cash Management Services Agreement, as applicable, including any Person who is an Agent or a Lender (and any Affiliate thereof) at the time of entry into such Swap Agreement or Cash Management Services Agreement, as applicable, but subsequently ceases to be an Agent or a Lender (or an Affiliate thereof), as the case may be.</w:t>
      </w:r>
    </w:p>
    <w:p>
      <w:pPr>
        <w:sectPr>
          <w:pgSz w:w="11900" w:h="16838" w:orient="portrait"/>
          <w:cols w:equalWidth="0" w:num="1">
            <w:col w:w="11240"/>
          </w:cols>
          <w:pgMar w:left="320" w:top="1401" w:right="339" w:bottom="1440" w:gutter="0" w:footer="0" w:header="0"/>
        </w:sectPr>
      </w:pPr>
    </w:p>
    <w:bookmarkStart w:id="79" w:name="page80"/>
    <w:bookmarkEnd w:id="79"/>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Lender-Related Person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10.3(a)</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xml:space="preserve">” means the Persons listed on </w:t>
      </w:r>
      <w:r>
        <w:rPr>
          <w:rFonts w:ascii="Arial" w:cs="Arial" w:eastAsia="Arial" w:hAnsi="Arial"/>
          <w:sz w:val="22"/>
          <w:szCs w:val="22"/>
          <w:u w:val="single" w:color="auto"/>
          <w:color w:val="auto"/>
        </w:rPr>
        <w:t>Schedule 2.1</w:t>
      </w:r>
      <w:r>
        <w:rPr>
          <w:rFonts w:ascii="Arial" w:cs="Arial" w:eastAsia="Arial" w:hAnsi="Arial"/>
          <w:sz w:val="22"/>
          <w:szCs w:val="22"/>
          <w:color w:val="auto"/>
        </w:rPr>
        <w:t xml:space="preserve"> and any other Person that shall have become a party hereto pursuant to an Assignment and Assumption or pursuant to </w:t>
      </w:r>
      <w:r>
        <w:rPr>
          <w:rFonts w:ascii="Arial" w:cs="Arial" w:eastAsia="Arial" w:hAnsi="Arial"/>
          <w:sz w:val="22"/>
          <w:szCs w:val="22"/>
          <w:u w:val="single" w:color="auto"/>
          <w:color w:val="auto"/>
        </w:rPr>
        <w:t>Section 2.19</w:t>
      </w:r>
      <w:r>
        <w:rPr>
          <w:rFonts w:ascii="Arial" w:cs="Arial" w:eastAsia="Arial" w:hAnsi="Arial"/>
          <w:sz w:val="22"/>
          <w:szCs w:val="22"/>
          <w:color w:val="auto"/>
        </w:rPr>
        <w:t>, other than any such Person that ceases to be a party hereto pursuant to an Assignment and Assumption.</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Letter of Credit</w:t>
      </w:r>
      <w:r>
        <w:rPr>
          <w:rFonts w:ascii="Arial" w:cs="Arial" w:eastAsia="Arial" w:hAnsi="Arial"/>
          <w:sz w:val="22"/>
          <w:szCs w:val="22"/>
          <w:color w:val="auto"/>
        </w:rPr>
        <w:t>” means a (a) standby letter of credit issued or to be issued by an Issuing Bank pursuant to this Agreement in a form and substance approved by such Issuing Bank and (b) for so long as the same remain outstanding, the Existing Letters of Credit.</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Sublimit</w:t>
      </w:r>
      <w:r>
        <w:rPr>
          <w:rFonts w:ascii="Arial" w:cs="Arial" w:eastAsia="Arial" w:hAnsi="Arial"/>
          <w:sz w:val="22"/>
          <w:szCs w:val="22"/>
          <w:color w:val="auto"/>
        </w:rPr>
        <w:t>” means the lesser of (a) $60,000,000 and (b) the aggregate unused amount of the Commitments then in effect.</w:t>
      </w:r>
    </w:p>
    <w:p>
      <w:pPr>
        <w:spacing w:after="0" w:line="15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Usage</w:t>
      </w:r>
      <w:r>
        <w:rPr>
          <w:rFonts w:ascii="Arial" w:cs="Arial" w:eastAsia="Arial" w:hAnsi="Arial"/>
          <w:sz w:val="19"/>
          <w:szCs w:val="19"/>
          <w:color w:val="auto"/>
        </w:rPr>
        <w:t xml:space="preserve">” means, as at any date of determination, the sum of (a) the sum of the Dollar Equivalents of the aggregate maximum amounts which are, or at any time thereafter may become, available for drawing under all Letters of Credit then outstanding and (b) the sum of the Dollar Equivalents of the aggregate amounts of all drawings under Letters of Credit honored by the Issuing Banks and not theretofore reimbursed by or on behalf of the Borrowers. The Letter of Credit Usage of any Lender at any time shall be its Applicable Percentage of the total Letter of Credit Usage at such time, adjusted to give effect to any reallocation under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of the Letter of Credit Usage of Defaulting Lenders in effect at such time.</w:t>
      </w:r>
    </w:p>
    <w:p>
      <w:pPr>
        <w:spacing w:after="0" w:line="152"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LIBO</w:t>
      </w:r>
      <w:r>
        <w:rPr>
          <w:rFonts w:ascii="Arial" w:cs="Arial" w:eastAsia="Arial" w:hAnsi="Arial"/>
          <w:sz w:val="22"/>
          <w:szCs w:val="22"/>
          <w:color w:val="FF0000"/>
          <w:strike w:val="1"/>
        </w:rPr>
        <w:t xml:space="preserve"> </w:t>
      </w:r>
      <w:r>
        <w:rPr>
          <w:rFonts w:ascii="Arial" w:cs="Arial" w:eastAsia="Arial" w:hAnsi="Arial"/>
          <w:sz w:val="22"/>
          <w:szCs w:val="22"/>
          <w:u w:val="single" w:color="auto"/>
          <w:color w:val="008000"/>
          <w:strike w:val="1"/>
        </w:rPr>
        <w:t>Rate</w:t>
      </w:r>
      <w:r>
        <w:rPr>
          <w:rFonts w:ascii="Arial" w:cs="Arial" w:eastAsia="Arial" w:hAnsi="Arial"/>
          <w:sz w:val="22"/>
          <w:szCs w:val="22"/>
          <w:color w:val="008000"/>
          <w:strike w:val="1"/>
        </w:rPr>
        <w:t>” means, with respect to any</w:t>
      </w:r>
      <w:r>
        <w:rPr>
          <w:rFonts w:ascii="Arial" w:cs="Arial" w:eastAsia="Arial" w:hAnsi="Arial"/>
          <w:sz w:val="22"/>
          <w:szCs w:val="22"/>
          <w:color w:val="FF0000"/>
          <w:strike w:val="1"/>
        </w:rPr>
        <w:t xml:space="preserve"> Eurodollar Borrowing for any Interest Period, the LIBO Screen Rate at approximately 11:00 a.m., London time, two </w:t>
      </w:r>
      <w:r>
        <w:rPr>
          <w:rFonts w:ascii="Arial" w:cs="Arial" w:eastAsia="Arial" w:hAnsi="Arial"/>
          <w:sz w:val="22"/>
          <w:szCs w:val="22"/>
          <w:color w:val="008000"/>
          <w:strike w:val="1"/>
        </w:rPr>
        <w:t>Business Days prior to the commencement of such</w:t>
      </w:r>
      <w:r>
        <w:rPr>
          <w:rFonts w:ascii="Arial" w:cs="Arial" w:eastAsia="Arial" w:hAnsi="Arial"/>
          <w:sz w:val="22"/>
          <w:szCs w:val="22"/>
          <w:color w:val="FF0000"/>
          <w:strike w:val="1"/>
        </w:rPr>
        <w:t xml:space="preserve"> Interest Period; </w:t>
      </w:r>
      <w:r>
        <w:rPr>
          <w:rFonts w:ascii="Arial" w:cs="Arial" w:eastAsia="Arial" w:hAnsi="Arial"/>
          <w:sz w:val="22"/>
          <w:szCs w:val="22"/>
          <w:u w:val="single" w:color="auto"/>
          <w:color w:val="FF0000"/>
          <w:strike w:val="1"/>
        </w:rPr>
        <w:t>provided</w:t>
      </w:r>
      <w:r>
        <w:rPr>
          <w:rFonts w:ascii="Arial" w:cs="Arial" w:eastAsia="Arial" w:hAnsi="Arial"/>
          <w:sz w:val="22"/>
          <w:szCs w:val="22"/>
          <w:color w:val="FF0000"/>
          <w:strike w:val="1"/>
        </w:rPr>
        <w:t xml:space="preserve"> that if the LIBO Screen Rate shall not be available at such time for such Interest Period (an “</w:t>
      </w:r>
      <w:r>
        <w:rPr>
          <w:rFonts w:ascii="Arial" w:cs="Arial" w:eastAsia="Arial" w:hAnsi="Arial"/>
          <w:sz w:val="22"/>
          <w:szCs w:val="22"/>
          <w:u w:val="single" w:color="auto"/>
          <w:color w:val="FF0000"/>
          <w:strike w:val="1"/>
        </w:rPr>
        <w:t>Impacted Interest Period</w:t>
      </w:r>
      <w:r>
        <w:rPr>
          <w:rFonts w:ascii="Arial" w:cs="Arial" w:eastAsia="Arial" w:hAnsi="Arial"/>
          <w:sz w:val="22"/>
          <w:szCs w:val="22"/>
          <w:color w:val="FF0000"/>
          <w:strike w:val="1"/>
        </w:rPr>
        <w:t xml:space="preserve">”) then the LIBO Rate shall be the Interpolated Rate; and </w:t>
      </w:r>
      <w:r>
        <w:rPr>
          <w:rFonts w:ascii="Arial" w:cs="Arial" w:eastAsia="Arial" w:hAnsi="Arial"/>
          <w:sz w:val="22"/>
          <w:szCs w:val="22"/>
          <w:u w:val="single" w:color="auto"/>
          <w:color w:val="FF0000"/>
          <w:strike w:val="1"/>
        </w:rPr>
        <w:t>provided further</w:t>
      </w:r>
      <w:r>
        <w:rPr>
          <w:rFonts w:ascii="Arial" w:cs="Arial" w:eastAsia="Arial" w:hAnsi="Arial"/>
          <w:sz w:val="22"/>
          <w:szCs w:val="22"/>
          <w:color w:val="FF0000"/>
          <w:strike w:val="1"/>
        </w:rPr>
        <w:t xml:space="preserve"> that if the LIBO Rate shall be less than zero</w:t>
      </w:r>
      <w:r>
        <w:rPr>
          <w:rFonts w:ascii="Arial" w:cs="Arial" w:eastAsia="Arial" w:hAnsi="Arial"/>
          <w:sz w:val="22"/>
          <w:szCs w:val="22"/>
          <w:color w:val="008000"/>
          <w:strike w:val="1"/>
        </w:rPr>
        <w:t>, such rate shall be deemed</w:t>
      </w:r>
      <w:r>
        <w:rPr>
          <w:rFonts w:ascii="Arial" w:cs="Arial" w:eastAsia="Arial" w:hAnsi="Arial"/>
          <w:sz w:val="22"/>
          <w:szCs w:val="22"/>
          <w:color w:val="FF0000"/>
          <w:strike w:val="1"/>
        </w:rPr>
        <w:t xml:space="preserve"> </w:t>
      </w:r>
      <w:r>
        <w:rPr>
          <w:rFonts w:ascii="Arial" w:cs="Arial" w:eastAsia="Arial" w:hAnsi="Arial"/>
          <w:sz w:val="22"/>
          <w:szCs w:val="22"/>
          <w:color w:val="008000"/>
          <w:strike w:val="1"/>
        </w:rPr>
        <w:t xml:space="preserve">to be </w:t>
      </w:r>
      <w:r>
        <w:rPr>
          <w:rFonts w:ascii="Arial" w:cs="Arial" w:eastAsia="Arial" w:hAnsi="Arial"/>
          <w:sz w:val="22"/>
          <w:szCs w:val="22"/>
          <w:color w:val="FF0000"/>
          <w:strike w:val="1"/>
        </w:rPr>
        <w:t>zero for all</w:t>
      </w:r>
      <w:r>
        <w:rPr>
          <w:rFonts w:ascii="Arial" w:cs="Arial" w:eastAsia="Arial" w:hAnsi="Arial"/>
          <w:sz w:val="22"/>
          <w:szCs w:val="22"/>
          <w:color w:val="008000"/>
          <w:strike w:val="1"/>
        </w:rPr>
        <w:t xml:space="preserve"> purposes of this Agreement.</w:t>
      </w:r>
    </w:p>
    <w:p>
      <w:pPr>
        <w:spacing w:after="0" w:line="158"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LIBO Screen</w:t>
      </w:r>
      <w:r>
        <w:rPr>
          <w:rFonts w:ascii="Arial" w:cs="Arial" w:eastAsia="Arial" w:hAnsi="Arial"/>
          <w:sz w:val="21"/>
          <w:szCs w:val="21"/>
          <w:color w:val="FF0000"/>
          <w:strike w:val="1"/>
        </w:rPr>
        <w:t xml:space="preserve"> </w:t>
      </w:r>
      <w:r>
        <w:rPr>
          <w:rFonts w:ascii="Arial" w:cs="Arial" w:eastAsia="Arial" w:hAnsi="Arial"/>
          <w:sz w:val="21"/>
          <w:szCs w:val="21"/>
          <w:u w:val="single" w:color="auto"/>
          <w:color w:val="008000"/>
          <w:strike w:val="1"/>
        </w:rPr>
        <w:t>Rate</w:t>
      </w:r>
      <w:r>
        <w:rPr>
          <w:rFonts w:ascii="Arial" w:cs="Arial" w:eastAsia="Arial" w:hAnsi="Arial"/>
          <w:sz w:val="21"/>
          <w:szCs w:val="21"/>
          <w:color w:val="008000"/>
          <w:strike w:val="1"/>
        </w:rPr>
        <w:t>” means, for any day and time</w:t>
      </w:r>
      <w:r>
        <w:rPr>
          <w:rFonts w:ascii="Arial" w:cs="Arial" w:eastAsia="Arial" w:hAnsi="Arial"/>
          <w:sz w:val="21"/>
          <w:szCs w:val="21"/>
          <w:color w:val="FF0000"/>
          <w:strike w:val="1"/>
        </w:rPr>
        <w:t xml:space="preserve">, with respect to any Eurodollar Borrowing for any Interest Period, the London interbank offered rate as administered by the ICE Benchmark Administration (or any other Person that takes over the administration of such rate) for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21"/>
          <w:szCs w:val="21"/>
          <w:u w:val="single" w:color="auto"/>
          <w:color w:val="FF0000"/>
          <w:strike w:val="1"/>
        </w:rPr>
        <w:t>provided</w:t>
      </w:r>
      <w:r>
        <w:rPr>
          <w:rFonts w:ascii="Arial" w:cs="Arial" w:eastAsia="Arial" w:hAnsi="Arial"/>
          <w:sz w:val="21"/>
          <w:szCs w:val="21"/>
          <w:color w:val="FF0000"/>
          <w:strike w:val="1"/>
        </w:rPr>
        <w:t xml:space="preserve"> that if the LIBO Screen Rate as so determined would be less than zero, the LIBO Screen Rate shall for all purposes of this Agreement be zero.</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LIBOR</w:t>
      </w:r>
      <w:r>
        <w:rPr>
          <w:rFonts w:ascii="Arial" w:cs="Arial" w:eastAsia="Arial" w:hAnsi="Arial"/>
          <w:sz w:val="22"/>
          <w:szCs w:val="22"/>
          <w:color w:val="FF0000"/>
          <w:strike w:val="1"/>
        </w:rPr>
        <w:t>” has the meaning assigned to such term in Section 1.7.</w:t>
      </w:r>
    </w:p>
    <w:p>
      <w:pPr>
        <w:spacing w:after="0" w:line="17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with respect to any property, right or asset, (a) any mortgage, deed of trust, lien, pledge, hypothecation, encumbrance, adverse ownership claim, charge or security interest in, on or of such property, right or asset and (b) the interest of a vendor or a lessor under any conditional sale agreement, capital lease or title retention agreement (or any financing lease having substantially the same economic effect as any of the foregoing) relating to such property, right or asset.</w:t>
      </w:r>
    </w:p>
    <w:p>
      <w:pPr>
        <w:spacing w:after="0" w:line="14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Limited Condition Acquisition</w:t>
      </w:r>
      <w:r>
        <w:rPr>
          <w:rFonts w:ascii="Arial" w:cs="Arial" w:eastAsia="Arial" w:hAnsi="Arial"/>
          <w:sz w:val="22"/>
          <w:szCs w:val="22"/>
          <w:color w:val="auto"/>
        </w:rPr>
        <w:t>” means any acquisition (including by means of a merger, amalgamation or consolidation) of, or Investment by one or more of Holdings and its Restricted Subsidiaries (other than intercompany Investments) in, any assets, business or person,</w:t>
      </w:r>
    </w:p>
    <w:p>
      <w:pPr>
        <w:sectPr>
          <w:pgSz w:w="11900" w:h="16838" w:orient="portrait"/>
          <w:cols w:equalWidth="0" w:num="1">
            <w:col w:w="11240"/>
          </w:cols>
          <w:pgMar w:left="320" w:top="1401" w:right="339" w:bottom="1440" w:gutter="0" w:footer="0" w:header="0"/>
        </w:sectPr>
      </w:pPr>
    </w:p>
    <w:bookmarkStart w:id="80" w:name="page81"/>
    <w:bookmarkEnd w:id="80"/>
    <w:p>
      <w:pPr>
        <w:spacing w:after="0"/>
        <w:rPr>
          <w:sz w:val="20"/>
          <w:szCs w:val="20"/>
          <w:color w:val="auto"/>
        </w:rPr>
      </w:pPr>
      <w:r>
        <w:rPr>
          <w:rFonts w:ascii="Arial" w:cs="Arial" w:eastAsia="Arial" w:hAnsi="Arial"/>
          <w:sz w:val="22"/>
          <w:szCs w:val="22"/>
          <w:color w:val="auto"/>
        </w:rPr>
        <w:t>in each case the consummation of which is not conditioned on the availability of, or on obtaining, financing.</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Limited Condition Transaction</w:t>
      </w:r>
      <w:r>
        <w:rPr>
          <w:rFonts w:ascii="Arial" w:cs="Arial" w:eastAsia="Arial" w:hAnsi="Arial"/>
          <w:sz w:val="22"/>
          <w:szCs w:val="22"/>
          <w:color w:val="auto"/>
        </w:rPr>
        <w:t>” means any (a) Limited Condition Acquisition or (b) redemption or repayment of Indebtedness requiring irrevocable advance notice or any irrevocable offer to purchase Indebtedness that is not subject to obtaining financing.</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Liquidity</w:t>
      </w:r>
      <w:r>
        <w:rPr>
          <w:rFonts w:ascii="Arial" w:cs="Arial" w:eastAsia="Arial" w:hAnsi="Arial"/>
          <w:sz w:val="22"/>
          <w:szCs w:val="22"/>
          <w:color w:val="auto"/>
        </w:rPr>
        <w:t xml:space="preserve">” means, at any time, the sum of (a) Unrestricted cash and Cash Equivalents held by Holdings and its Restricted Subsidiaries </w:t>
      </w:r>
      <w:r>
        <w:rPr>
          <w:rFonts w:ascii="Arial" w:cs="Arial" w:eastAsia="Arial" w:hAnsi="Arial"/>
          <w:sz w:val="22"/>
          <w:szCs w:val="22"/>
          <w:i w:val="1"/>
          <w:iCs w:val="1"/>
          <w:color w:val="auto"/>
        </w:rPr>
        <w:t>less</w:t>
      </w:r>
      <w:r>
        <w:rPr>
          <w:rFonts w:ascii="Arial" w:cs="Arial" w:eastAsia="Arial" w:hAnsi="Arial"/>
          <w:sz w:val="22"/>
          <w:szCs w:val="22"/>
          <w:color w:val="auto"/>
        </w:rPr>
        <w:t xml:space="preserve">, to the extent included in Unrestricted cash and Cash Equivalents, cash that is held for customers </w:t>
      </w:r>
      <w:r>
        <w:rPr>
          <w:rFonts w:ascii="Arial" w:cs="Arial" w:eastAsia="Arial" w:hAnsi="Arial"/>
          <w:sz w:val="22"/>
          <w:szCs w:val="22"/>
          <w:i w:val="1"/>
          <w:iCs w:val="1"/>
          <w:color w:val="auto"/>
        </w:rPr>
        <w:t>plus</w:t>
      </w:r>
      <w:r>
        <w:rPr>
          <w:rFonts w:ascii="Arial" w:cs="Arial" w:eastAsia="Arial" w:hAnsi="Arial"/>
          <w:sz w:val="22"/>
          <w:szCs w:val="22"/>
          <w:color w:val="auto"/>
        </w:rPr>
        <w:t xml:space="preserve"> (b) the Available Revolving Commitments.</w:t>
      </w:r>
    </w:p>
    <w:p>
      <w:pPr>
        <w:spacing w:after="0" w:line="159"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 Documents</w:t>
      </w:r>
      <w:r>
        <w:rPr>
          <w:rFonts w:ascii="Arial" w:cs="Arial" w:eastAsia="Arial" w:hAnsi="Arial"/>
          <w:sz w:val="21"/>
          <w:szCs w:val="21"/>
          <w:color w:val="auto"/>
        </w:rPr>
        <w:t>” means this Agreement (including any amendment hereto or waiver hereunder), the Notes (if any), any Counterpart Agreement, the Collateral Documents and any agreements, documents or certificates executed by the Borrowers in favor of any Issuing Bank relating to Letters of Credit and any other agreement entered into in connection herewith by any Borrower or any Loan Party with or in favor of the Administrative Agent, the Collateral Agent or the Lenders and designated by the terms thereof as a “Loan Document”.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Parties</w:t>
      </w:r>
      <w:r>
        <w:rPr>
          <w:rFonts w:ascii="Arial" w:cs="Arial" w:eastAsia="Arial" w:hAnsi="Arial"/>
          <w:sz w:val="22"/>
          <w:szCs w:val="22"/>
          <w:color w:val="auto"/>
        </w:rPr>
        <w:t>” means the Borrowers and the other Guarantors.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Loans</w:t>
      </w:r>
      <w:r>
        <w:rPr>
          <w:rFonts w:ascii="Arial" w:cs="Arial" w:eastAsia="Arial" w:hAnsi="Arial"/>
          <w:sz w:val="22"/>
          <w:szCs w:val="22"/>
          <w:color w:val="auto"/>
        </w:rPr>
        <w:t>” means the loans made by the Lenders to the Borrowers pursuant to this Agreement.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Margin Stock</w:t>
      </w:r>
      <w:r>
        <w:rPr>
          <w:rFonts w:ascii="Arial" w:cs="Arial" w:eastAsia="Arial" w:hAnsi="Arial"/>
          <w:sz w:val="19"/>
          <w:szCs w:val="19"/>
          <w:color w:val="auto"/>
        </w:rPr>
        <w:t>” has the meaning assigned to such term in Regulation U of the Board as in effect from time to</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161"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means a material adverse effect on (a) the business, property, financial condition or results of operations of Holdings and its Restricted Subsidiaries taken as a whole or (b) the rights and remedies of the Lenders, the Issuing Banks or the Administrative Agent under this Agreement or of any Agent, any Issuing Bank, any Lender or any other Secured Party under the Loan Documents.</w:t>
      </w:r>
    </w:p>
    <w:p>
      <w:pPr>
        <w:spacing w:after="0" w:line="161"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Domestic Subsidiary</w:t>
      </w:r>
      <w:r>
        <w:rPr>
          <w:rFonts w:ascii="Arial" w:cs="Arial" w:eastAsia="Arial" w:hAnsi="Arial"/>
          <w:sz w:val="19"/>
          <w:szCs w:val="19"/>
          <w:color w:val="auto"/>
        </w:rPr>
        <w:t xml:space="preserve"> ” means, at any time of determination, (a) each Domestic Subsidiary that is a Material IP Subsidiary and (b) each Domestic Restricted Subsidiary (i) whose consolidated total assets as of the last day of the most recent fiscal quarter in respect of which financial statements have been delivered pursuant to </w:t>
      </w:r>
      <w:r>
        <w:rPr>
          <w:rFonts w:ascii="Arial" w:cs="Arial" w:eastAsia="Arial" w:hAnsi="Arial"/>
          <w:sz w:val="19"/>
          <w:szCs w:val="19"/>
          <w:u w:val="single" w:color="auto"/>
          <w:color w:val="auto"/>
        </w:rPr>
        <w:t>Section 5.1(a)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3.4(a)</w:t>
      </w:r>
      <w:r>
        <w:rPr>
          <w:rFonts w:ascii="Arial" w:cs="Arial" w:eastAsia="Arial" w:hAnsi="Arial"/>
          <w:sz w:val="19"/>
          <w:szCs w:val="19"/>
          <w:color w:val="auto"/>
        </w:rPr>
        <w:t xml:space="preserve"> were equal to or greater than 5% of the consolidated total assets of Holdings and its Restricted Subsidiaries at such date or</w:t>
      </w:r>
    </w:p>
    <w:p>
      <w:pPr>
        <w:spacing w:after="0" w:line="1" w:lineRule="exact"/>
        <w:rPr>
          <w:sz w:val="20"/>
          <w:szCs w:val="20"/>
          <w:color w:val="auto"/>
        </w:rPr>
      </w:pPr>
    </w:p>
    <w:p>
      <w:pPr>
        <w:jc w:val="both"/>
        <w:ind w:firstLine="8"/>
        <w:spacing w:after="0" w:line="241" w:lineRule="auto"/>
        <w:tabs>
          <w:tab w:leader="none" w:pos="328"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whose consolidated gross revenues for the most recent period of four fiscal quarters in respect of which financial statements have been delivered pursuant to </w:t>
      </w:r>
      <w:r>
        <w:rPr>
          <w:rFonts w:ascii="Arial" w:cs="Arial" w:eastAsia="Arial" w:hAnsi="Arial"/>
          <w:sz w:val="19"/>
          <w:szCs w:val="19"/>
          <w:u w:val="single" w:color="auto"/>
          <w:color w:val="auto"/>
        </w:rPr>
        <w:t>Section 5.1(a)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3.4(a)</w:t>
      </w:r>
      <w:r>
        <w:rPr>
          <w:rFonts w:ascii="Arial" w:cs="Arial" w:eastAsia="Arial" w:hAnsi="Arial"/>
          <w:sz w:val="19"/>
          <w:szCs w:val="19"/>
          <w:color w:val="auto"/>
        </w:rPr>
        <w:t xml:space="preserve"> were equal to or greater than 5% of the consolidated gross revenues of Holdings and its Restricted Subsidiaries for such period, in each case determined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as of the most recent date or period referred to in </w:t>
      </w:r>
      <w:r>
        <w:rPr>
          <w:rFonts w:ascii="Arial" w:cs="Arial" w:eastAsia="Arial" w:hAnsi="Arial"/>
          <w:sz w:val="19"/>
          <w:szCs w:val="19"/>
          <w:u w:val="single" w:color="auto"/>
          <w:color w:val="auto"/>
        </w:rPr>
        <w:t>clause (b)(i)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the combined consolidated total assets or the combined consolidated gross revenues of all Domestic Restricted Subsidiaries that would not constitute Material Domestic Subsidiaries in accordance with this clause (b) or clause (a) above shall have exceeded 20% of the consolidated total assets of Holdings and its Restricted Subsidiaries at such date or 20% of consolidated gross revenues of Holdings and its Restricted Subsidiaries for such period, then one or more of such Domestic Restricted Subsidiaries that would not otherwise be Material Domestic Subsidiaries shall for all purposes of this Agreement be and automatically become Material Domestic Subsidiaries in descending order based on the amounts of their consolidated total assets or consolidated gross revenues, as the case may be, until such excess shall have been eliminated.</w:t>
      </w:r>
    </w:p>
    <w:p>
      <w:pPr>
        <w:sectPr>
          <w:pgSz w:w="11900" w:h="16838" w:orient="portrait"/>
          <w:cols w:equalWidth="0" w:num="1">
            <w:col w:w="11240"/>
          </w:cols>
          <w:pgMar w:left="320" w:top="1401" w:right="339" w:bottom="1440" w:gutter="0" w:footer="0" w:header="0"/>
        </w:sectPr>
      </w:pPr>
    </w:p>
    <w:bookmarkStart w:id="81" w:name="page82"/>
    <w:bookmarkEnd w:id="81"/>
    <w:p>
      <w:pPr>
        <w:jc w:val="both"/>
        <w:ind w:firstLine="1296"/>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Indebtedness</w:t>
      </w:r>
      <w:r>
        <w:rPr>
          <w:rFonts w:ascii="Arial" w:cs="Arial" w:eastAsia="Arial" w:hAnsi="Arial"/>
          <w:sz w:val="21"/>
          <w:szCs w:val="21"/>
          <w:color w:val="auto"/>
        </w:rPr>
        <w:t xml:space="preserve"> ” means Indebtedness (other than any Indebtedness under the Loan Documents), or obligations in respect of one or more Swap Agreements, of any one or more of Holdings and its Restricted Subsidiaries in a principal amount exceeding $25,000,000. For purposes of determining Material Indebtedness, the “principal amount” of the obligations of Holdings or any Restricted Subsidiary in respect of any Swap Agreement at any time shall be the maximum aggregate amount (giving effect to any netting agreements) that Holdings or such Restricted Subsidiary would be required to pay if such Swap Agreement were terminated at such time.</w:t>
      </w:r>
    </w:p>
    <w:p>
      <w:pPr>
        <w:spacing w:after="0" w:line="160"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IP</w:t>
      </w:r>
      <w:r>
        <w:rPr>
          <w:rFonts w:ascii="Arial" w:cs="Arial" w:eastAsia="Arial" w:hAnsi="Arial"/>
          <w:sz w:val="22"/>
          <w:szCs w:val="22"/>
          <w:color w:val="auto"/>
        </w:rPr>
        <w:t>” means any Intellectual Property that is material to the conduct of the business of Holdings and its Restricted Subsidiaries, taken as a whole.</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IP Subsidiary</w:t>
      </w:r>
      <w:r>
        <w:rPr>
          <w:rFonts w:ascii="Arial" w:cs="Arial" w:eastAsia="Arial" w:hAnsi="Arial"/>
          <w:sz w:val="22"/>
          <w:szCs w:val="22"/>
          <w:color w:val="auto"/>
        </w:rPr>
        <w:t>” means each Subsidiary that owns, directly or indirectly through one or more of its subsidiaries, any Material IP.</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Real Estate Asset</w:t>
      </w:r>
      <w:r>
        <w:rPr>
          <w:rFonts w:ascii="Arial" w:cs="Arial" w:eastAsia="Arial" w:hAnsi="Arial"/>
          <w:sz w:val="22"/>
          <w:szCs w:val="22"/>
          <w:color w:val="auto"/>
        </w:rPr>
        <w:t>” means any domestic fee owned Real Estate Asset having a Fair Market Value of at least $5,000,000 at the Effective Date or, with respect to any domestic fee owned Real Estate Asset acquired after the Effective Date, at the time of acquisition.</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xml:space="preserve">” means (a) September 13, 2026 or (b) with respect to the Commitments of Extending Lenders, as such date may be extended pursuant to </w:t>
      </w:r>
      <w:r>
        <w:rPr>
          <w:rFonts w:ascii="Arial" w:cs="Arial" w:eastAsia="Arial" w:hAnsi="Arial"/>
          <w:sz w:val="22"/>
          <w:szCs w:val="22"/>
          <w:u w:val="single" w:color="auto"/>
          <w:color w:val="auto"/>
        </w:rPr>
        <w:t>Section 2.20</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such date is not a Business Day, the Maturity Date shall be the preceding Business Day.</w:t>
      </w:r>
    </w:p>
    <w:p>
      <w:pPr>
        <w:spacing w:after="0" w:line="15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Maturity Date Extension Request</w:t>
      </w:r>
      <w:r>
        <w:rPr>
          <w:rFonts w:ascii="Arial" w:cs="Arial" w:eastAsia="Arial" w:hAnsi="Arial"/>
          <w:sz w:val="19"/>
          <w:szCs w:val="19"/>
          <w:color w:val="auto"/>
        </w:rPr>
        <w:t xml:space="preserve">” means a request by the Borrowers, in the form of </w:t>
      </w:r>
      <w:r>
        <w:rPr>
          <w:rFonts w:ascii="Arial" w:cs="Arial" w:eastAsia="Arial" w:hAnsi="Arial"/>
          <w:sz w:val="19"/>
          <w:szCs w:val="19"/>
          <w:u w:val="single" w:color="auto"/>
          <w:color w:val="auto"/>
        </w:rPr>
        <w:t>Exhibit G</w:t>
      </w:r>
      <w:r>
        <w:rPr>
          <w:rFonts w:ascii="Arial" w:cs="Arial" w:eastAsia="Arial" w:hAnsi="Arial"/>
          <w:sz w:val="19"/>
          <w:szCs w:val="19"/>
          <w:color w:val="auto"/>
        </w:rPr>
        <w:t xml:space="preserve"> hereto or such other form as shall be approved by the Administrative Agent, for the extension of the Maturity Date pursuant to </w:t>
      </w:r>
      <w:r>
        <w:rPr>
          <w:rFonts w:ascii="Arial" w:cs="Arial" w:eastAsia="Arial" w:hAnsi="Arial"/>
          <w:sz w:val="19"/>
          <w:szCs w:val="19"/>
          <w:u w:val="single" w:color="auto"/>
          <w:color w:val="auto"/>
        </w:rPr>
        <w:t>Section 2.20</w:t>
      </w:r>
      <w:r>
        <w:rPr>
          <w:rFonts w:ascii="Arial" w:cs="Arial" w:eastAsia="Arial" w:hAnsi="Arial"/>
          <w:sz w:val="19"/>
          <w:szCs w:val="19"/>
          <w:color w:val="auto"/>
        </w:rPr>
        <w:t>.</w:t>
      </w:r>
    </w:p>
    <w:p>
      <w:pPr>
        <w:spacing w:after="0" w:line="105"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Measurement Period</w:t>
      </w:r>
      <w:r>
        <w:rPr>
          <w:rFonts w:ascii="Arial" w:cs="Arial" w:eastAsia="Arial" w:hAnsi="Arial"/>
          <w:sz w:val="22"/>
          <w:szCs w:val="22"/>
          <w:color w:val="auto"/>
        </w:rPr>
        <w:t>” means, at any date of determination, the most recently completed four consecutive fiscal quarters of Holdings ended on or prior to such date.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and any successor to its rating agency business.</w:t>
      </w:r>
    </w:p>
    <w:p>
      <w:pPr>
        <w:spacing w:after="0" w:line="179"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Mortgage</w:t>
      </w:r>
      <w:r>
        <w:rPr>
          <w:rFonts w:ascii="Arial" w:cs="Arial" w:eastAsia="Arial" w:hAnsi="Arial"/>
          <w:sz w:val="21"/>
          <w:szCs w:val="21"/>
          <w:color w:val="auto"/>
        </w:rPr>
        <w:t>” means a mortgage, deed of trust, deed to secure debt, trust deed or other security document entered into by the owner of a Mortgaged Real Estate Asset in favor of the Administrative Agent for the benefit of the Secured Parties creating a Lien on such Mortgaged Real Estate Asset, substantially in such form as reasonably required by the Administrative Agent, as the same may be amended, supplemented or otherwise modified from time to time.</w:t>
      </w:r>
    </w:p>
    <w:p>
      <w:pPr>
        <w:spacing w:after="0" w:line="15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Mortgaged Real Estate Asset</w:t>
      </w:r>
      <w:r>
        <w:rPr>
          <w:rFonts w:ascii="Arial" w:cs="Arial" w:eastAsia="Arial" w:hAnsi="Arial"/>
          <w:sz w:val="22"/>
          <w:szCs w:val="22"/>
          <w:color w:val="auto"/>
        </w:rPr>
        <w:t>” means (a) all Material Real Estate Assets and (b) all real property owned in fee with respect to which a Mortgage is required to be granted pursuant to Section 5.13. For the avoidance of doubt, there are no Mortgaged Real Estate Assets as of the Effective Date.</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any multiemployer plan as defined in Section 4001(a)(3) of ERISA, which is contributed to by (or to which there is or could be an obligation to contribute of) Holdings or a Subsidiary or an ERISA Affiliate, and each such plan for the five- year period immediately following the latest date on which Holdings, or a Subsidiary or an ERISA Affiliate contributed to or had an obligation to contribute to such plan.</w:t>
      </w:r>
    </w:p>
    <w:p>
      <w:pPr>
        <w:sectPr>
          <w:pgSz w:w="11900" w:h="16838" w:orient="portrait"/>
          <w:cols w:equalWidth="0" w:num="1">
            <w:col w:w="11240"/>
          </w:cols>
          <w:pgMar w:left="320" w:top="1401" w:right="339" w:bottom="1440" w:gutter="0" w:footer="0" w:header="0"/>
        </w:sectPr>
      </w:pPr>
    </w:p>
    <w:bookmarkStart w:id="82" w:name="page83"/>
    <w:bookmarkEnd w:id="82"/>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Non-Consenting Lender</w:t>
      </w:r>
      <w:r>
        <w:rPr>
          <w:rFonts w:ascii="Arial" w:cs="Arial" w:eastAsia="Arial" w:hAnsi="Arial"/>
          <w:sz w:val="22"/>
          <w:szCs w:val="22"/>
          <w:color w:val="auto"/>
        </w:rPr>
        <w:t xml:space="preserve">” means any Lender that does not approve any consent, waiver or amendment that (a) requires the approval of all Lenders or all affected Lenders in accordance with the terms of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and (b) has been approved by the Required Lenders.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Non-Defaulting Lender</w:t>
      </w:r>
      <w:r>
        <w:rPr>
          <w:rFonts w:ascii="Arial" w:cs="Arial" w:eastAsia="Arial" w:hAnsi="Arial"/>
          <w:sz w:val="22"/>
          <w:szCs w:val="22"/>
          <w:color w:val="auto"/>
        </w:rPr>
        <w:t>” means, at any time, each Lender that is not a Defaulting Lender at such time.</w:t>
      </w:r>
    </w:p>
    <w:p>
      <w:pPr>
        <w:spacing w:after="0" w:line="179"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Non-U.S. Plan</w:t>
      </w:r>
      <w:r>
        <w:rPr>
          <w:rFonts w:ascii="Arial" w:cs="Arial" w:eastAsia="Arial" w:hAnsi="Arial"/>
          <w:sz w:val="22"/>
          <w:szCs w:val="22"/>
          <w:color w:val="auto"/>
        </w:rPr>
        <w:t>” means any plan, fund (including any superannuation fund) or other similar program established, contributed to (regardless of whether through direct contributions or through employee withholding) or maintained outside the United States by Holdings or one or more Subsidiaries primarily for the benefit of employees of Holdings or such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w:t>
      </w:r>
      <w:r>
        <w:rPr>
          <w:rFonts w:ascii="Arial" w:cs="Arial" w:eastAsia="Arial" w:hAnsi="Arial"/>
          <w:sz w:val="22"/>
          <w:szCs w:val="22"/>
          <w:color w:val="auto"/>
        </w:rPr>
        <w:t>” means a promissory note in the form of Exhibit D, as it may be amended, restated, supplemented or otherwise modified from time to time.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NYFRB</w:t>
      </w:r>
      <w:r>
        <w:rPr>
          <w:rFonts w:ascii="Arial" w:cs="Arial" w:eastAsia="Arial" w:hAnsi="Arial"/>
          <w:sz w:val="22"/>
          <w:szCs w:val="22"/>
          <w:color w:val="auto"/>
        </w:rPr>
        <w:t>” means the Federal Reserve Bank of New York.</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NYFRB Rate</w:t>
      </w:r>
      <w:r>
        <w:rPr>
          <w:rFonts w:ascii="Arial" w:cs="Arial" w:eastAsia="Arial" w:hAnsi="Arial"/>
          <w:sz w:val="19"/>
          <w:szCs w:val="19"/>
          <w:color w:val="auto"/>
        </w:rPr>
        <w:t>” means, for any day, the greater of (a) the Federal Funds Effective Rate in effect on such day and</w:t>
      </w:r>
    </w:p>
    <w:p>
      <w:pPr>
        <w:spacing w:after="0" w:line="16" w:lineRule="exact"/>
        <w:rPr>
          <w:sz w:val="20"/>
          <w:szCs w:val="20"/>
          <w:color w:val="auto"/>
        </w:rPr>
      </w:pPr>
    </w:p>
    <w:p>
      <w:pPr>
        <w:jc w:val="both"/>
        <w:ind w:firstLine="8"/>
        <w:spacing w:after="0" w:line="247" w:lineRule="auto"/>
        <w:tabs>
          <w:tab w:leader="none" w:pos="337"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the Overnight Bank Funding Rate in effect on such day (or for any day that is not a Business Day, for the immediately preceding Business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none of such rates are published for any day that is a Business Day, the term “NYFRB Rate” shall mean the rate for a federal funds transaction quoted at 11:00 a.m., New York City time, on such day received by the Administrative Agent from a federal funds broker of recognized standing selected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any of the aforesaid rates shall be less than zero, such rate shall be deemed to be zero for purposes of this Agreement.</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NYFRB’s Website</w:t>
      </w:r>
      <w:r>
        <w:rPr>
          <w:rFonts w:ascii="Arial" w:cs="Arial" w:eastAsia="Arial" w:hAnsi="Arial"/>
          <w:sz w:val="19"/>
          <w:szCs w:val="19"/>
          <w:color w:val="auto"/>
        </w:rPr>
        <w:t>” means the website of the NYFRB at http://www.newyorkfed.org, or any successor source.</w:t>
      </w:r>
    </w:p>
    <w:p>
      <w:pPr>
        <w:spacing w:after="0" w:line="214"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means all amounts owing by any Loan Party to any Agent, any Issuing Bank, any Lender or any Lender Counterparty pursuant to the terms of this Agreement, any Secured Swap Agreement (including payments for early termination of any Secured Swap Agreements), any Secured Cash Management Services Agreement or any other Loan Document,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or allowable claims in such proceeding. Without limiting the foregoing, the Obligations include (a) the obligation to pay principal, interest, reimbursement obligations, Letter of Credit commissions, charges, expenses, fees, indemnities and other amounts payable by any Loan Party under any Loan Document and (b) the obligation of any Loan Party to reimburse any amount in respect of any of the foregoing that the Administrative Agent or any Lender, in each case in its sole discretion, may elect to pay or advance on behalf of any Loan Party.</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Obligee Guarantor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7.6</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OFAC</w:t>
      </w:r>
      <w:r>
        <w:rPr>
          <w:rFonts w:ascii="Arial" w:cs="Arial" w:eastAsia="Arial" w:hAnsi="Arial"/>
          <w:sz w:val="22"/>
          <w:szCs w:val="22"/>
          <w:color w:val="auto"/>
        </w:rPr>
        <w:t>” means the United States Treasury Department Office of Foreign Assets Control.</w:t>
      </w:r>
    </w:p>
    <w:p>
      <w:pPr>
        <w:sectPr>
          <w:pgSz w:w="11900" w:h="16838" w:orient="portrait"/>
          <w:cols w:equalWidth="0" w:num="1">
            <w:col w:w="11240"/>
          </w:cols>
          <w:pgMar w:left="320" w:top="1401" w:right="339" w:bottom="1440" w:gutter="0" w:footer="0" w:header="0"/>
        </w:sectPr>
      </w:pPr>
    </w:p>
    <w:bookmarkStart w:id="83" w:name="page84"/>
    <w:bookmarkEnd w:id="83"/>
    <w:p>
      <w:pPr>
        <w:ind w:firstLine="1296"/>
        <w:spacing w:after="0" w:line="232"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Other Benchmark Rate Election</w:t>
      </w:r>
      <w:r>
        <w:rPr>
          <w:rFonts w:ascii="Arial" w:cs="Arial" w:eastAsia="Arial" w:hAnsi="Arial"/>
          <w:sz w:val="22"/>
          <w:szCs w:val="22"/>
          <w:color w:val="FF0000"/>
          <w:strike w:val="1"/>
        </w:rPr>
        <w:t>” means, with respect to any Loan, if the then-current Benchmark is the LIBO Rate, the occurrence of:</w:t>
      </w:r>
    </w:p>
    <w:p>
      <w:pPr>
        <w:spacing w:after="0" w:line="159" w:lineRule="exact"/>
        <w:rPr>
          <w:sz w:val="20"/>
          <w:szCs w:val="20"/>
          <w:color w:val="auto"/>
        </w:rPr>
      </w:pPr>
    </w:p>
    <w:p>
      <w:pPr>
        <w:jc w:val="both"/>
        <w:ind w:firstLine="1304"/>
        <w:spacing w:after="0" w:line="234" w:lineRule="auto"/>
        <w:tabs>
          <w:tab w:leader="none" w:pos="1609" w:val="left"/>
        </w:tabs>
        <w:numPr>
          <w:ilvl w:val="0"/>
          <w:numId w:val="60"/>
        </w:numPr>
        <w:rPr>
          <w:rFonts w:ascii="Arial" w:cs="Arial" w:eastAsia="Arial" w:hAnsi="Arial"/>
          <w:sz w:val="21"/>
          <w:szCs w:val="21"/>
          <w:color w:val="FF0000"/>
          <w:strike w:val="1"/>
        </w:rPr>
      </w:pPr>
      <w:r>
        <w:rPr>
          <w:rFonts w:ascii="Arial" w:cs="Arial" w:eastAsia="Arial" w:hAnsi="Arial"/>
          <w:sz w:val="21"/>
          <w:szCs w:val="21"/>
          <w:color w:val="FF0000"/>
          <w:strike w:val="1"/>
        </w:rPr>
        <w:t>a request by the Borrowers to the Administrative Agent to notify each of the other parties hereto that, at the determination of the Borrowers, dollar-denominated syndicated credit facilities at such time contain (as a result of amendment or as originally executed), in lieu of a LIBOR-based rate, a term benchmark rate as a benchmark rate, and</w:t>
      </w:r>
    </w:p>
    <w:p>
      <w:pPr>
        <w:spacing w:after="0" w:line="157" w:lineRule="exact"/>
        <w:rPr>
          <w:rFonts w:ascii="Arial" w:cs="Arial" w:eastAsia="Arial" w:hAnsi="Arial"/>
          <w:sz w:val="21"/>
          <w:szCs w:val="21"/>
          <w:color w:val="FF0000"/>
          <w:strike w:val="1"/>
        </w:rPr>
      </w:pPr>
    </w:p>
    <w:p>
      <w:pPr>
        <w:jc w:val="both"/>
        <w:ind w:firstLine="1304"/>
        <w:spacing w:after="0" w:line="223" w:lineRule="auto"/>
        <w:tabs>
          <w:tab w:leader="none" w:pos="1618" w:val="left"/>
        </w:tabs>
        <w:numPr>
          <w:ilvl w:val="0"/>
          <w:numId w:val="60"/>
        </w:numPr>
        <w:rPr>
          <w:rFonts w:ascii="Arial" w:cs="Arial" w:eastAsia="Arial" w:hAnsi="Arial"/>
          <w:sz w:val="22"/>
          <w:szCs w:val="22"/>
          <w:color w:val="FF0000"/>
          <w:strike w:val="1"/>
        </w:rPr>
      </w:pPr>
      <w:r>
        <w:rPr>
          <w:rFonts w:ascii="Arial" w:cs="Arial" w:eastAsia="Arial" w:hAnsi="Arial"/>
          <w:sz w:val="22"/>
          <w:szCs w:val="22"/>
          <w:color w:val="FF0000"/>
          <w:strike w:val="1"/>
        </w:rPr>
        <w:t>the Administrative Agent, in its sole discretion, and the Borrowers jointly elect to trigger a fallback from the LIBO Rate and the provision, as applicable, by the Administrative Agent of written notice of such election to the Borrowers and the Lenders.</w:t>
      </w:r>
    </w:p>
    <w:p>
      <w:pPr>
        <w:spacing w:after="0" w:line="15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Connection Taxes</w:t>
      </w:r>
      <w:r>
        <w:rPr>
          <w:rFonts w:ascii="Arial" w:cs="Arial" w:eastAsia="Arial" w:hAnsi="Arial"/>
          <w:sz w:val="19"/>
          <w:szCs w:val="19"/>
          <w:color w:val="auto"/>
        </w:rPr>
        <w:t>” means, with respect to any Recipient, Taxes imposed as a result of a present or former connection between such Recipient and the jurisdiction imposing such Taxes (other than connections arising solely from such Recipient having executed, delivered, become a party to, performed its obligations under, received payments under, received or perfected a security interest under, engaged in any other transaction pursuant to or enforced this Agreement or any other Loan Document, or sold or assigned an interest in this Agreement or any other Loan Document).</w:t>
      </w:r>
    </w:p>
    <w:p>
      <w:pPr>
        <w:spacing w:after="0" w:line="14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Other Permitted Debt</w:t>
      </w:r>
      <w:r>
        <w:rPr>
          <w:rFonts w:ascii="Arial" w:cs="Arial" w:eastAsia="Arial" w:hAnsi="Arial"/>
          <w:sz w:val="19"/>
          <w:szCs w:val="19"/>
          <w:color w:val="auto"/>
        </w:rPr>
        <w:t xml:space="preserve">” shall mean Indebtedness incurred by any Loan Party; provided that (i) any such Indebtedness, if guaranteed, shall not be guaranteed by any Subsidiary other than a Loan Party and, if secured, shall be secured solely by all or a portion of the Collateral pursuant to security documents no more favorable to the secured party or party, taken as a whole (as determined by Holdings in good faith), than the Collateral Documents, (ii) any such Indebtedness, if secured, shall be secured by Liens that are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or junior to the Liens securing the Obligations and subject to an intercreditor agreement in form and substance reasonably satisfactory to the Administrative Agent, (iii) such Indebtedness shall not mature prior to the date that is the latest final maturity date of the Loans and Commitments existing at the time of such incurrence (or in the case of unsecured Indebtedness or Indebtedness secured by Liens that are junior to the Liens securing the Obligations, until the date that is 91 days after the latest final maturity date of the Loans and Commitments existing at the time of such incurrence), and the weighted average life to maturity of any such Indebtedness shall be no shorter than the remaining weighted average life to maturity of the Loans with the latest final maturity at the time of such incurrence and (iv) any such Indebtedness shall (x) reflect market terms and conditions (taken as a whole) at the time (as determined by Holdings in good faith) or (y) shall not have negative covenants, financial covenants and/or default provisions that, taken as a whole, are materially more restrictive than those applicable to this Agreement as determined in good faith by Holdings unless such terms become applicable only after the latest final maturity date of the Loans and Commitments existing at the time of such incurrence.</w:t>
      </w:r>
    </w:p>
    <w:p>
      <w:pPr>
        <w:spacing w:after="0" w:line="165"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Taxes</w:t>
      </w:r>
      <w:r>
        <w:rPr>
          <w:rFonts w:ascii="Arial" w:cs="Arial" w:eastAsia="Arial" w:hAnsi="Arial"/>
          <w:sz w:val="22"/>
          <w:szCs w:val="22"/>
          <w:color w:val="auto"/>
        </w:rPr>
        <w:t xml:space="preserve"> ” means any and all present or future stamp, court or documentary Taxes or any other excise, intangible, recording, filing or similar Taxes which arise from any payment made, from the execution, delivery, performance, enforcement or registration of, from the receipt or perfection of a security interest under, or otherwise with respect to, this Agreement and the other Loan Documents; excluding, however, such Taxes that are Other Connection Taxes imposed with respect to an assignment (other than such Taxes imposed with respect to an assignment that occurs as a result of Borrowers’ request pursuant to </w:t>
      </w:r>
      <w:r>
        <w:rPr>
          <w:rFonts w:ascii="Arial" w:cs="Arial" w:eastAsia="Arial" w:hAnsi="Arial"/>
          <w:sz w:val="22"/>
          <w:szCs w:val="22"/>
          <w:u w:val="single" w:color="auto"/>
          <w:color w:val="auto"/>
        </w:rPr>
        <w:t>Section 2.18(b)</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Overnight Bank Funding Rate</w:t>
      </w:r>
      <w:r>
        <w:rPr>
          <w:rFonts w:ascii="Arial" w:cs="Arial" w:eastAsia="Arial" w:hAnsi="Arial"/>
          <w:sz w:val="19"/>
          <w:szCs w:val="19"/>
          <w:color w:val="auto"/>
        </w:rPr>
        <w:t xml:space="preserve">” means, for any day, the rate comprised of both overnight federal funds and overnight </w:t>
      </w:r>
      <w:r>
        <w:rPr>
          <w:rFonts w:ascii="Arial" w:cs="Arial" w:eastAsia="Arial" w:hAnsi="Arial"/>
          <w:sz w:val="19"/>
          <w:szCs w:val="19"/>
          <w:color w:val="FF0000"/>
          <w:strike w:val="1"/>
        </w:rPr>
        <w:t>E</w:t>
      </w:r>
      <w:r>
        <w:rPr>
          <w:rFonts w:ascii="Arial" w:cs="Arial" w:eastAsia="Arial" w:hAnsi="Arial"/>
          <w:sz w:val="19"/>
          <w:szCs w:val="19"/>
          <w:u w:val="single" w:color="auto"/>
          <w:color w:val="0000FF"/>
          <w:highlight w:val="lightGray"/>
        </w:rPr>
        <w:t>e</w:t>
      </w:r>
      <w:r>
        <w:rPr>
          <w:rFonts w:ascii="Arial" w:cs="Arial" w:eastAsia="Arial" w:hAnsi="Arial"/>
          <w:sz w:val="19"/>
          <w:szCs w:val="19"/>
          <w:color w:val="auto"/>
        </w:rPr>
        <w:t xml:space="preserve">urodollar </w:t>
      </w:r>
      <w:r>
        <w:rPr>
          <w:rFonts w:ascii="Arial" w:cs="Arial" w:eastAsia="Arial" w:hAnsi="Arial"/>
          <w:sz w:val="19"/>
          <w:szCs w:val="19"/>
          <w:color w:val="FF0000"/>
          <w:strike w:val="1"/>
        </w:rPr>
        <w:t>borrowings</w:t>
      </w:r>
      <w:r>
        <w:rPr>
          <w:rFonts w:ascii="Arial" w:cs="Arial" w:eastAsia="Arial" w:hAnsi="Arial"/>
          <w:sz w:val="19"/>
          <w:szCs w:val="19"/>
          <w:u w:val="single" w:color="auto"/>
          <w:color w:val="0000FF"/>
          <w:highlight w:val="lightGray"/>
        </w:rPr>
        <w:t>transactions denominated in dollars</w:t>
      </w:r>
      <w:r>
        <w:rPr>
          <w:rFonts w:ascii="Arial" w:cs="Arial" w:eastAsia="Arial" w:hAnsi="Arial"/>
          <w:sz w:val="19"/>
          <w:szCs w:val="19"/>
          <w:color w:val="auto"/>
        </w:rPr>
        <w:t xml:space="preserve"> by U.S.-managed banking offices of depository institutions, as such composite rate shall be determined by the NYFRB as set forth on the NYFRB’s Website from time to time, and</w:t>
      </w:r>
    </w:p>
    <w:p>
      <w:pPr>
        <w:sectPr>
          <w:pgSz w:w="11900" w:h="16838" w:orient="portrait"/>
          <w:cols w:equalWidth="0" w:num="1">
            <w:col w:w="11240"/>
          </w:cols>
          <w:pgMar w:left="320" w:top="1401" w:right="339" w:bottom="1440" w:gutter="0" w:footer="0" w:header="0"/>
        </w:sectPr>
      </w:pPr>
    </w:p>
    <w:bookmarkStart w:id="84" w:name="page85"/>
    <w:bookmarkEnd w:id="84"/>
    <w:p>
      <w:pPr>
        <w:jc w:val="both"/>
        <w:spacing w:after="0" w:line="232" w:lineRule="auto"/>
        <w:rPr>
          <w:sz w:val="20"/>
          <w:szCs w:val="20"/>
          <w:color w:val="auto"/>
        </w:rPr>
      </w:pPr>
      <w:r>
        <w:rPr>
          <w:rFonts w:ascii="Arial" w:cs="Arial" w:eastAsia="Arial" w:hAnsi="Arial"/>
          <w:sz w:val="22"/>
          <w:szCs w:val="22"/>
          <w:color w:val="auto"/>
        </w:rPr>
        <w:t>published on the next succeeding Business Day by the NYFRB as an overnight bank funding rate (from and after such date as the NYFRB shall commence to publish such composite rate).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10.4</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10.4(c)(iii)</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Patents</w:t>
      </w:r>
      <w:r>
        <w:rPr>
          <w:rFonts w:ascii="Arial" w:cs="Arial" w:eastAsia="Arial" w:hAnsi="Arial"/>
          <w:sz w:val="22"/>
          <w:szCs w:val="22"/>
          <w:color w:val="auto"/>
        </w:rPr>
        <w:t>” has the meaning set forth in the Security Agreement.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9.5(c)</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9.5(c)</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referred to and defined in ERISA and any successor entity performing similar functions.</w:t>
      </w:r>
    </w:p>
    <w:p>
      <w:pPr>
        <w:spacing w:after="0" w:line="159"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Pension Plan</w:t>
      </w:r>
      <w:r>
        <w:rPr>
          <w:rFonts w:ascii="Arial" w:cs="Arial" w:eastAsia="Arial" w:hAnsi="Arial"/>
          <w:sz w:val="21"/>
          <w:szCs w:val="21"/>
          <w:color w:val="auto"/>
        </w:rPr>
        <w:t>” means any “employee pension benefit plan” within the meaning of Section 3(2) of ERISA, other than a Multiemployer Plan, that is subject to Title IV of ERISA, Section 412 of the Code or Section 302 of ERISA and is maintained or contributed to (or obligated to be contributed) in whole or in part by Holdings, any Subsidiary or any ERISA Affiliate or with respect to which any of Holdings, any Subsidiary or any ERISA Affiliate has actual or contingent liability or had any such liability for the five-year period immediately following the latest date on which Holdings, a Subsidiary or an ERISA Affiliate maintained, contributed to or had an obligation to contribute to such plan.</w:t>
      </w:r>
    </w:p>
    <w:p>
      <w:pPr>
        <w:spacing w:after="0" w:line="160"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Perfection Certificate</w:t>
      </w:r>
      <w:r>
        <w:rPr>
          <w:rFonts w:ascii="Arial" w:cs="Arial" w:eastAsia="Arial" w:hAnsi="Arial"/>
          <w:sz w:val="22"/>
          <w:szCs w:val="22"/>
          <w:color w:val="auto"/>
        </w:rPr>
        <w:t>” means a certificate in form reasonably satisfactory to Collateral Agent that provides information with respect to the Collateral of each Loan Party.</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Acquisition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6.7(n)</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Call Spread Transaction</w:t>
      </w:r>
      <w:r>
        <w:rPr>
          <w:rFonts w:ascii="Arial" w:cs="Arial" w:eastAsia="Arial" w:hAnsi="Arial"/>
          <w:sz w:val="19"/>
          <w:szCs w:val="19"/>
          <w:color w:val="auto"/>
        </w:rPr>
        <w:t xml:space="preserve">” means (a) any call or capped call option (or substantively equivalent derivative transaction) relating to the Common Stock (or other securities or property following a merger event, reclassification or other change of the Common Stock) purchased by Holdings in connection with the issuance of any Permitted Convertible Indebtedness and settled in Common Stock (or such other securities or property following a merger event, reclassification or other change of the Common Stock), cash or a combination thereof (such amount of cash determined by reference to the price of the Common Stock or such other securities or property), and cash in lieu of fractional shares of Common Stock, and (b) any call option, warrant or right to purchase (or substantively equivalent derivative transaction) relating to the Common Stock (or other securities or property following a merger event, reclassification or other change of the Common Stock) sold by Holdings substantially concurrently with any purchase by Holdings of a Permitted Call Spread Transaction described in clause (a) and settled in Common Stock (or such other securities or property following a merger event, reclassification or other change of the Common Stock), cash or a combination thereof (such amount of cash determined by reference to the price of the Common Stock or such other securities or property), and cash in lieu of fractional shares of Common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terms, conditions and covenants of each such transaction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shall be such as are customary for transactions of such type (as determined by the Board of Directors in good faith);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purchase price for any such Permitted Call Spread Transaction described in clause (a), less the proceeds received by Holdings from the sale of any related Permitted Call Spread Transaction described in clause (b), shall not exceed the net proceeds received by Holdings from the sale of Permitted Convertible Indebtedness issued in connection with such Permitted Call Spread Transaction.</w:t>
      </w:r>
    </w:p>
    <w:p>
      <w:pPr>
        <w:sectPr>
          <w:pgSz w:w="11900" w:h="16838" w:orient="portrait"/>
          <w:cols w:equalWidth="0" w:num="1">
            <w:col w:w="11240"/>
          </w:cols>
          <w:pgMar w:left="320" w:top="1401" w:right="339" w:bottom="1440" w:gutter="0" w:footer="0" w:header="0"/>
        </w:sectPr>
      </w:pPr>
    </w:p>
    <w:bookmarkStart w:id="85" w:name="page86"/>
    <w:bookmarkEnd w:id="85"/>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Convertible Indebtedness</w:t>
      </w:r>
      <w:r>
        <w:rPr>
          <w:rFonts w:ascii="Arial" w:cs="Arial" w:eastAsia="Arial" w:hAnsi="Arial"/>
          <w:sz w:val="22"/>
          <w:szCs w:val="22"/>
          <w:color w:val="auto"/>
        </w:rPr>
        <w:t>” means unsecured Indebtedness of Holdings permitted under Section 6.1(c) in the form of notes that are convertible into shares of Common Stock (or other securities or property following a merger event, reclassification or other change of the Common Stock), cash or a combination thereof (such amount of cash determined by reference to the price of the Common Stock or such other securities or property), and cash in lieu of fractional shares of Common Stock.</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Encumbrances</w:t>
      </w:r>
      <w:r>
        <w:rPr>
          <w:rFonts w:ascii="Arial" w:cs="Arial" w:eastAsia="Arial" w:hAnsi="Arial"/>
          <w:sz w:val="22"/>
          <w:szCs w:val="22"/>
          <w:color w:val="auto"/>
        </w:rPr>
        <w:t>” means:</w:t>
      </w:r>
    </w:p>
    <w:p>
      <w:pPr>
        <w:spacing w:after="0" w:line="179" w:lineRule="exact"/>
        <w:rPr>
          <w:sz w:val="20"/>
          <w:szCs w:val="20"/>
          <w:color w:val="auto"/>
        </w:rPr>
      </w:pPr>
    </w:p>
    <w:p>
      <w:pPr>
        <w:ind w:firstLine="1304"/>
        <w:spacing w:after="0" w:line="232" w:lineRule="auto"/>
        <w:tabs>
          <w:tab w:leader="none" w:pos="1822"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Liens imposed by law for taxes, assessments or governmental charges or levies that are not yet due or are being contested in compliance with </w:t>
      </w:r>
      <w:r>
        <w:rPr>
          <w:rFonts w:ascii="Arial" w:cs="Arial" w:eastAsia="Arial" w:hAnsi="Arial"/>
          <w:sz w:val="22"/>
          <w:szCs w:val="22"/>
          <w:u w:val="single" w:color="auto"/>
          <w:color w:val="auto"/>
        </w:rPr>
        <w:t>Section 5.4</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12"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carriers’, warehousemen’s, mechanics’, materialmen’s, landlord’s, supplier’s, repairmen’s and other like Liens imposed by law, arising in the ordinary course of business and securing obligations that are not yet delinquent or are being contested in compliance with </w:t>
      </w:r>
      <w:r>
        <w:rPr>
          <w:rFonts w:ascii="Arial" w:cs="Arial" w:eastAsia="Arial" w:hAnsi="Arial"/>
          <w:sz w:val="22"/>
          <w:szCs w:val="22"/>
          <w:u w:val="single" w:color="auto"/>
          <w:color w:val="auto"/>
        </w:rPr>
        <w:t>Section 5.4</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837" w:val="left"/>
        </w:tabs>
        <w:numPr>
          <w:ilvl w:val="0"/>
          <w:numId w:val="61"/>
        </w:numPr>
        <w:rPr>
          <w:rFonts w:ascii="Arial" w:cs="Arial" w:eastAsia="Arial" w:hAnsi="Arial"/>
          <w:sz w:val="22"/>
          <w:szCs w:val="22"/>
          <w:color w:val="auto"/>
        </w:rPr>
      </w:pPr>
      <w:r>
        <w:rPr>
          <w:rFonts w:ascii="Arial" w:cs="Arial" w:eastAsia="Arial" w:hAnsi="Arial"/>
          <w:sz w:val="22"/>
          <w:szCs w:val="22"/>
          <w:color w:val="auto"/>
        </w:rPr>
        <w:t>pledges and deposits made in the ordinary course of business in compliance with workers’ compensation, unemployment insurance and other social security laws or regulations or employment laws or to secure other public, statutory or regulatory obligations;</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826" w:val="left"/>
        </w:tabs>
        <w:numPr>
          <w:ilvl w:val="0"/>
          <w:numId w:val="61"/>
        </w:numPr>
        <w:rPr>
          <w:rFonts w:ascii="Arial" w:cs="Arial" w:eastAsia="Arial" w:hAnsi="Arial"/>
          <w:sz w:val="22"/>
          <w:szCs w:val="22"/>
          <w:color w:val="auto"/>
        </w:rPr>
      </w:pPr>
      <w:r>
        <w:rPr>
          <w:rFonts w:ascii="Arial" w:cs="Arial" w:eastAsia="Arial" w:hAnsi="Arial"/>
          <w:sz w:val="22"/>
          <w:szCs w:val="22"/>
          <w:color w:val="auto"/>
        </w:rPr>
        <w:t>pledges and deposits to secure the performance of bids, trade and commercial contracts (other than for the payment of Indebtedness), leases, statutory obligations, surety and appeal bonds, performance bonds and other obligations of a like nature, in each case incurred in the ordinary course of business;</w:t>
      </w:r>
    </w:p>
    <w:p>
      <w:pPr>
        <w:spacing w:after="0" w:line="158" w:lineRule="exact"/>
        <w:rPr>
          <w:rFonts w:ascii="Arial" w:cs="Arial" w:eastAsia="Arial" w:hAnsi="Arial"/>
          <w:sz w:val="22"/>
          <w:szCs w:val="22"/>
          <w:color w:val="auto"/>
        </w:rPr>
      </w:pPr>
    </w:p>
    <w:p>
      <w:pPr>
        <w:ind w:firstLine="1304"/>
        <w:spacing w:after="0" w:line="232" w:lineRule="auto"/>
        <w:tabs>
          <w:tab w:leader="none" w:pos="1908"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judgment liens and deposits to secure obligations under appeal bonds or letters of credit in respect of judgments that do not constitute an Event of Default under clause (k) of </w:t>
      </w:r>
      <w:r>
        <w:rPr>
          <w:rFonts w:ascii="Arial" w:cs="Arial" w:eastAsia="Arial" w:hAnsi="Arial"/>
          <w:sz w:val="22"/>
          <w:szCs w:val="22"/>
          <w:u w:val="single" w:color="auto"/>
          <w:color w:val="auto"/>
        </w:rPr>
        <w:t>Article VIII</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firstLine="1304"/>
        <w:spacing w:after="0" w:line="232" w:lineRule="auto"/>
        <w:tabs>
          <w:tab w:leader="none" w:pos="1816" w:val="left"/>
        </w:tabs>
        <w:numPr>
          <w:ilvl w:val="0"/>
          <w:numId w:val="61"/>
        </w:numPr>
        <w:rPr>
          <w:rFonts w:ascii="Arial" w:cs="Arial" w:eastAsia="Arial" w:hAnsi="Arial"/>
          <w:sz w:val="22"/>
          <w:szCs w:val="22"/>
          <w:color w:val="auto"/>
        </w:rPr>
      </w:pPr>
      <w:r>
        <w:rPr>
          <w:rFonts w:ascii="Arial" w:cs="Arial" w:eastAsia="Arial" w:hAnsi="Arial"/>
          <w:sz w:val="22"/>
          <w:szCs w:val="22"/>
          <w:color w:val="auto"/>
        </w:rPr>
        <w:t>Uniform Commercial Code financing statements filed (or similar filings under applicable law) solely as a precautionary measure in connection with operating leases; and</w:t>
      </w:r>
    </w:p>
    <w:p>
      <w:pPr>
        <w:spacing w:after="0" w:line="158" w:lineRule="exact"/>
        <w:rPr>
          <w:rFonts w:ascii="Arial" w:cs="Arial" w:eastAsia="Arial" w:hAnsi="Arial"/>
          <w:sz w:val="22"/>
          <w:szCs w:val="22"/>
          <w:color w:val="auto"/>
        </w:rPr>
      </w:pPr>
    </w:p>
    <w:p>
      <w:pPr>
        <w:jc w:val="both"/>
        <w:ind w:firstLine="1304"/>
        <w:spacing w:after="0" w:line="229" w:lineRule="auto"/>
        <w:tabs>
          <w:tab w:leader="none" w:pos="2182" w:val="left"/>
        </w:tabs>
        <w:numPr>
          <w:ilvl w:val="0"/>
          <w:numId w:val="61"/>
        </w:numPr>
        <w:rPr>
          <w:rFonts w:ascii="Arial" w:cs="Arial" w:eastAsia="Arial" w:hAnsi="Arial"/>
          <w:sz w:val="21"/>
          <w:szCs w:val="21"/>
          <w:color w:val="auto"/>
        </w:rPr>
      </w:pPr>
      <w:r>
        <w:rPr>
          <w:rFonts w:ascii="Arial" w:cs="Arial" w:eastAsia="Arial" w:hAnsi="Arial"/>
          <w:sz w:val="21"/>
          <w:szCs w:val="21"/>
          <w:color w:val="auto"/>
        </w:rPr>
        <w:t>easements, zoning restrictions, rights-of-way, encroachments, covenants, conditions restrictions, declarations, minor defects in title, and similar encumbrances on real property imposed by law or arising in the ordinary course of business that do not secure any Indebtedness for borrowed money, and other matters of record, that do not materially interfere with the ordinary conduct of business of Holdings or any Subsidiary.</w:t>
      </w:r>
    </w:p>
    <w:p>
      <w:pPr>
        <w:spacing w:after="0" w:line="158"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Holders</w:t>
      </w:r>
      <w:r>
        <w:rPr>
          <w:rFonts w:ascii="Arial" w:cs="Arial" w:eastAsia="Arial" w:hAnsi="Arial"/>
          <w:sz w:val="22"/>
          <w:szCs w:val="22"/>
          <w:color w:val="auto"/>
        </w:rPr>
        <w:t xml:space="preserve"> ” means (a) any Person listed on </w:t>
      </w:r>
      <w:r>
        <w:rPr>
          <w:rFonts w:ascii="Arial" w:cs="Arial" w:eastAsia="Arial" w:hAnsi="Arial"/>
          <w:sz w:val="22"/>
          <w:szCs w:val="22"/>
          <w:u w:val="single" w:color="auto"/>
          <w:color w:val="auto"/>
        </w:rPr>
        <w:t>Schedule 1.2</w:t>
      </w:r>
      <w:r>
        <w:rPr>
          <w:rFonts w:ascii="Arial" w:cs="Arial" w:eastAsia="Arial" w:hAnsi="Arial"/>
          <w:sz w:val="22"/>
          <w:szCs w:val="22"/>
          <w:color w:val="auto"/>
        </w:rPr>
        <w:t xml:space="preserve">, (b) any Affiliate of any such Person, (c) any trust or partnership created solely for the benefit of any natural person listed on </w:t>
      </w:r>
      <w:r>
        <w:rPr>
          <w:rFonts w:ascii="Arial" w:cs="Arial" w:eastAsia="Arial" w:hAnsi="Arial"/>
          <w:sz w:val="22"/>
          <w:szCs w:val="22"/>
          <w:u w:val="single" w:color="auto"/>
          <w:color w:val="auto"/>
        </w:rPr>
        <w:t>Schedule 1.2</w:t>
      </w:r>
      <w:r>
        <w:rPr>
          <w:rFonts w:ascii="Arial" w:cs="Arial" w:eastAsia="Arial" w:hAnsi="Arial"/>
          <w:sz w:val="22"/>
          <w:szCs w:val="22"/>
          <w:color w:val="auto"/>
        </w:rPr>
        <w:t xml:space="preserve"> and/or members of the family of any natural person listed on </w:t>
      </w:r>
      <w:r>
        <w:rPr>
          <w:rFonts w:ascii="Arial" w:cs="Arial" w:eastAsia="Arial" w:hAnsi="Arial"/>
          <w:sz w:val="22"/>
          <w:szCs w:val="22"/>
          <w:u w:val="single" w:color="auto"/>
          <w:color w:val="auto"/>
        </w:rPr>
        <w:t>Schedule 1.2</w:t>
      </w:r>
      <w:r>
        <w:rPr>
          <w:rFonts w:ascii="Arial" w:cs="Arial" w:eastAsia="Arial" w:hAnsi="Arial"/>
          <w:sz w:val="22"/>
          <w:szCs w:val="22"/>
          <w:color w:val="auto"/>
        </w:rPr>
        <w:t xml:space="preserve"> and (d) any Person where the Voting Equity Interests in Holdings is Controlled by any of the foregoing.</w:t>
      </w:r>
    </w:p>
    <w:p>
      <w:pPr>
        <w:spacing w:after="0" w:line="161"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Permitted Refinancing Indebtedness</w:t>
      </w:r>
      <w:r>
        <w:rPr>
          <w:rFonts w:ascii="Arial" w:cs="Arial" w:eastAsia="Arial" w:hAnsi="Arial"/>
          <w:sz w:val="19"/>
          <w:szCs w:val="19"/>
          <w:color w:val="auto"/>
        </w:rPr>
        <w:t>” shall mean any Indebtedness issued in exchange for, or the net proceeds of which are used to extend, refinance, renew, replace, defease or refund (collectively, to “</w:t>
      </w:r>
      <w:r>
        <w:rPr>
          <w:rFonts w:ascii="Arial" w:cs="Arial" w:eastAsia="Arial" w:hAnsi="Arial"/>
          <w:sz w:val="19"/>
          <w:szCs w:val="19"/>
          <w:u w:val="single" w:color="auto"/>
          <w:color w:val="auto"/>
        </w:rPr>
        <w:t>Refinance</w:t>
      </w:r>
      <w:r>
        <w:rPr>
          <w:rFonts w:ascii="Arial" w:cs="Arial" w:eastAsia="Arial" w:hAnsi="Arial"/>
          <w:sz w:val="19"/>
          <w:szCs w:val="19"/>
          <w:color w:val="auto"/>
        </w:rPr>
        <w:t>”), the Indebtedness being Refinanced (or previous refinancings thereof constituting Permitted Refinancing Indebtedness); provided, that (a) the principal amount (or accreted value, if applicable) of such Permitted Refinancing Indebtedness does not exceed the principal amount (or accreted value, if applicable) of the Indebtedness so Refinanced (plus unpaid accrued interest and premium (including tender premiums) thereon and underwriting discounts, defeasance costs, fees, commissions and expenses), (b) except with respect to Section 6.01(b), (i) the final maturity date of such Permitted Refinancing Indebtedness</w:t>
      </w:r>
    </w:p>
    <w:p>
      <w:pPr>
        <w:sectPr>
          <w:pgSz w:w="11900" w:h="16838" w:orient="portrait"/>
          <w:cols w:equalWidth="0" w:num="1">
            <w:col w:w="11240"/>
          </w:cols>
          <w:pgMar w:left="320" w:top="1401" w:right="339" w:bottom="1440" w:gutter="0" w:footer="0" w:header="0"/>
        </w:sectPr>
      </w:pPr>
    </w:p>
    <w:bookmarkStart w:id="86" w:name="page87"/>
    <w:bookmarkEnd w:id="86"/>
    <w:p>
      <w:pPr>
        <w:jc w:val="both"/>
        <w:spacing w:after="0"/>
        <w:rPr>
          <w:sz w:val="20"/>
          <w:szCs w:val="20"/>
          <w:color w:val="auto"/>
        </w:rPr>
      </w:pPr>
      <w:r>
        <w:rPr>
          <w:rFonts w:ascii="Arial" w:cs="Arial" w:eastAsia="Arial" w:hAnsi="Arial"/>
          <w:sz w:val="19"/>
          <w:szCs w:val="19"/>
          <w:color w:val="auto"/>
        </w:rPr>
        <w:t>is on or after the earlier of (x) the final maturity date of the Indebtedness being Refinanced and (y) the 91st day following the date that is the latest final maturity date of the Loans and Commitments existing at the time of such Refinancing and (ii) the weighted average life to maturity of such Permitted Refinancing Indebtedness is greater than or equal to the lesser of (x) the weighted average life to maturity of the Indebtedness being Refinanced and (y) 91 days after the weighted average life to maturity of the Loans with the latest final maturity at the time of such incurrence, (c) if the Indebtedness being Refinanced is by its terms subordinated in right of payment to the Obligations, such Permitted Refinancing Indebtedness shall be subordinated in right of payment to the Obligations on terms in the aggregate not materially less favorable to the Lenders as those contained in the documentation governing the Indebtedness being Refinanced (as determined by the Borrower in good faith), (d) no Permitted Refinancing Indebtedness shall have any borrower which is different than the borrower of the respective Indebtedness being so Refinanced or have guarantors that are not (or would not have been required to become) guarantors with respect to the Indebtedness being so Refinanced (except that one or more Loan Parties may be added as additional guarantors), (e) if the Indebtedness being Refinanced is secured (and permitted to be secured), such Permitted Refinancing Indebtedness may be secured by Liens on the same (or any subset of the) assets as secured (or would have been required to secure) the Indebtedness being Refinanced, on terms in the aggregate that are no less favorable to the Secured Parties than, the Indebtedness being refinanced or on terms otherwise permitted by Section 6.2 (as determined by the Borrower in good faith) and (f) if the Indebtedness being Refinanced was subject to an Intercreditor Agreement, and if the respective Permitted Refinancing Indebtedness is to be secured by the Collateral, the Permitted Refinancing Indebtedness shall likewise be subject to an Intercreditor Agreement.</w:t>
      </w:r>
    </w:p>
    <w:p>
      <w:pPr>
        <w:spacing w:after="0" w:line="390"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limited liability company, trust, Joint Venture, association, company, partnership, Governmental Authority or other entity.</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any “employee benefit plan” as defined in Section 3(3) of ERISA (other than a Multiemployer</w:t>
      </w:r>
    </w:p>
    <w:p>
      <w:pPr>
        <w:spacing w:after="0"/>
        <w:rPr>
          <w:sz w:val="20"/>
          <w:szCs w:val="20"/>
          <w:color w:val="auto"/>
        </w:rPr>
      </w:pPr>
      <w:r>
        <w:rPr>
          <w:rFonts w:ascii="Arial" w:cs="Arial" w:eastAsia="Arial" w:hAnsi="Arial"/>
          <w:sz w:val="22"/>
          <w:szCs w:val="22"/>
          <w:color w:val="auto"/>
        </w:rPr>
        <w:t>Plan).</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Platform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Pledged Collateral</w:t>
      </w:r>
      <w:r>
        <w:rPr>
          <w:rFonts w:ascii="Arial" w:cs="Arial" w:eastAsia="Arial" w:hAnsi="Arial"/>
          <w:sz w:val="22"/>
          <w:szCs w:val="22"/>
          <w:color w:val="auto"/>
        </w:rPr>
        <w:t>” has the meaning set forth in the Security Agreement.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Portfolio Interest Certificate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2.16(e)(iii)(C)</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1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 Funding Line of Credit</w:t>
      </w:r>
      <w:r>
        <w:rPr>
          <w:rFonts w:ascii="Arial" w:cs="Arial" w:eastAsia="Arial" w:hAnsi="Arial"/>
          <w:sz w:val="22"/>
          <w:szCs w:val="22"/>
          <w:color w:val="auto"/>
        </w:rPr>
        <w:t>” means any Indebtedness evidenced by a written agreement between one or more Group Members and any bank, financial institution or other Person under which such bank, financial institution or other Person may from time to time provide credit to such Group Members in connection with the post-funding trade payables of such Group Members, where such Indebtedness (a) provides for the payment of interest, (b) has a term of greater than forty-five (45) days and (c) represents amounts not in excess of those which such Group Members would otherwise have been obligated to pay to its post-funding counterparty in respect of the applicable post-funding trade payables. For the avoidance of doubt, nothing in this definition or Agreement shall be interpreted to cause any current post-funding trade payable to be treated as Indebtedness hereunder.</w:t>
      </w:r>
    </w:p>
    <w:p>
      <w:pPr>
        <w:spacing w:after="0" w:line="165"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Prime Rate</w:t>
      </w:r>
      <w:r>
        <w:rPr>
          <w:rFonts w:ascii="Arial" w:cs="Arial" w:eastAsia="Arial" w:hAnsi="Arial"/>
          <w:sz w:val="22"/>
          <w:szCs w:val="22"/>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w:t>
      </w:r>
    </w:p>
    <w:p>
      <w:pPr>
        <w:sectPr>
          <w:pgSz w:w="11900" w:h="16838" w:orient="portrait"/>
          <w:cols w:equalWidth="0" w:num="1">
            <w:col w:w="11240"/>
          </w:cols>
          <w:pgMar w:left="320" w:top="1401" w:right="339" w:bottom="1440" w:gutter="0" w:footer="0" w:header="0"/>
        </w:sectPr>
      </w:pPr>
    </w:p>
    <w:bookmarkStart w:id="87" w:name="page88"/>
    <w:bookmarkEnd w:id="87"/>
    <w:p>
      <w:pPr>
        <w:jc w:val="both"/>
        <w:spacing w:after="0" w:line="232" w:lineRule="auto"/>
        <w:rPr>
          <w:sz w:val="20"/>
          <w:szCs w:val="20"/>
          <w:color w:val="auto"/>
        </w:rPr>
      </w:pPr>
      <w:r>
        <w:rPr>
          <w:rFonts w:ascii="Arial" w:cs="Arial" w:eastAsia="Arial" w:hAnsi="Arial"/>
          <w:sz w:val="22"/>
          <w:szCs w:val="22"/>
          <w:color w:val="auto"/>
        </w:rPr>
        <w:t>Agent). Each change in the Prime Rate shall be effective from and including the date such change is publicly announced or quoted as being effective.</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Projections</w:t>
      </w:r>
      <w:r>
        <w:rPr>
          <w:rFonts w:ascii="Arial" w:cs="Arial" w:eastAsia="Arial" w:hAnsi="Arial"/>
          <w:sz w:val="22"/>
          <w:szCs w:val="22"/>
          <w:color w:val="auto"/>
        </w:rPr>
        <w:t>” means the projections of Holdings and its Restricted Subsidiaries for the period of fiscal year 2021 through and including fiscal year 2023 included in the Information Documents and any other projections and any forward looking statements of such entities furnished to the Lenders or the Administrative Agent by or on behalf of Holdings and its Restricted Subsidiaries prior to the Effective Date.</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PTE</w:t>
      </w:r>
      <w:r>
        <w:rPr>
          <w:rFonts w:ascii="Arial" w:cs="Arial" w:eastAsia="Arial" w:hAnsi="Arial"/>
          <w:sz w:val="22"/>
          <w:szCs w:val="22"/>
          <w:color w:val="auto"/>
        </w:rPr>
        <w:t>” means a prohibited transaction class exemption issued by the U.S. Department of Labor, as any such exemption may be amended from time to time.</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w:t>
      </w:r>
      <w:r>
        <w:rPr>
          <w:rFonts w:ascii="Arial" w:cs="Arial" w:eastAsia="Arial" w:hAnsi="Arial"/>
          <w:sz w:val="22"/>
          <w:szCs w:val="22"/>
          <w:color w:val="auto"/>
        </w:rPr>
        <w:t>” has the meaning assigned to the term “qualified financial contract” in, and shall be interpreted in accordance with, 12 U.S.C. 5390(c)(8)(D).</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 Credit Support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10.20</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ECP Guarantor</w:t>
      </w:r>
      <w:r>
        <w:rPr>
          <w:rFonts w:ascii="Arial" w:cs="Arial" w:eastAsia="Arial" w:hAnsi="Arial"/>
          <w:sz w:val="19"/>
          <w:szCs w:val="19"/>
          <w:color w:val="auto"/>
        </w:rPr>
        <w:t xml:space="preserve">” means, in respect of any Swap Obligation, each Loan Party that has total assets exceeding $10,000,000 at the time the relevant Guaranty or grant of the relevant security interest becomes effective with respect to such Swap Obligation or such other Loan Party as constitutes an “eligible contract participant” under the Commodity Exchange Act or any regulations promulgated thereunder at such time and can cause another Person to qualify as an “eligible contract participant” at such time (including as a result of the agreements in </w:t>
      </w:r>
      <w:r>
        <w:rPr>
          <w:rFonts w:ascii="Arial" w:cs="Arial" w:eastAsia="Arial" w:hAnsi="Arial"/>
          <w:sz w:val="19"/>
          <w:szCs w:val="19"/>
          <w:u w:val="single" w:color="auto"/>
          <w:color w:val="auto"/>
        </w:rPr>
        <w:t>Section 7.11(b)</w:t>
      </w:r>
      <w:r>
        <w:rPr>
          <w:rFonts w:ascii="Arial" w:cs="Arial" w:eastAsia="Arial" w:hAnsi="Arial"/>
          <w:sz w:val="19"/>
          <w:szCs w:val="19"/>
          <w:color w:val="auto"/>
        </w:rPr>
        <w:t xml:space="preserve"> or any other Guarantee or other support agreement or any other keepwell agreement under Section 1a(18)(A)(v)(II) of the Commodity Exchange Act in respect of the obligations of such Guarantor by another Loan Party, in each case that constitutes an “eligible contract participant”).</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Equity Interests</w:t>
      </w:r>
      <w:r>
        <w:rPr>
          <w:rFonts w:ascii="Arial" w:cs="Arial" w:eastAsia="Arial" w:hAnsi="Arial"/>
          <w:sz w:val="22"/>
          <w:szCs w:val="22"/>
          <w:color w:val="auto"/>
        </w:rPr>
        <w:t>” means Equity Interests other than Disqualified Equity Interests.</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Qualifying IPO</w:t>
      </w:r>
      <w:r>
        <w:rPr>
          <w:rFonts w:ascii="Arial" w:cs="Arial" w:eastAsia="Arial" w:hAnsi="Arial"/>
          <w:sz w:val="22"/>
          <w:szCs w:val="22"/>
          <w:color w:val="auto"/>
        </w:rPr>
        <w:t>” means the sale of common Equity Interests of Holdings in an underwritten primary public offering (other than a public offering pursuant to a registration statement on Form S-8) pursuant to an effective registration statement filed with the SEC in accordance with the Securities Act (whether alone or in connection with a secondary public offering) with total gross proceeds in excess of $200,000,000.</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Quick Assets</w:t>
      </w:r>
      <w:r>
        <w:rPr>
          <w:rFonts w:ascii="Arial" w:cs="Arial" w:eastAsia="Arial" w:hAnsi="Arial"/>
          <w:sz w:val="22"/>
          <w:szCs w:val="22"/>
          <w:color w:val="auto"/>
        </w:rPr>
        <w:t>” means the result of (without duplication):</w:t>
      </w:r>
    </w:p>
    <w:p>
      <w:pPr>
        <w:spacing w:after="0" w:line="179" w:lineRule="exact"/>
        <w:rPr>
          <w:sz w:val="20"/>
          <w:szCs w:val="20"/>
          <w:color w:val="auto"/>
        </w:rPr>
      </w:pPr>
    </w:p>
    <w:p>
      <w:pPr>
        <w:ind w:left="1760" w:hanging="456"/>
        <w:spacing w:after="0"/>
        <w:tabs>
          <w:tab w:leader="none" w:pos="176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aggregate value of the unrestricted cash and disbursement prefunding of the Group Members, plus</w:t>
      </w:r>
    </w:p>
    <w:p>
      <w:pPr>
        <w:spacing w:after="0" w:line="213" w:lineRule="exact"/>
        <w:rPr>
          <w:rFonts w:ascii="Arial" w:cs="Arial" w:eastAsia="Arial" w:hAnsi="Arial"/>
          <w:sz w:val="19"/>
          <w:szCs w:val="19"/>
          <w:color w:val="auto"/>
        </w:rPr>
      </w:pPr>
    </w:p>
    <w:p>
      <w:pPr>
        <w:ind w:left="1780" w:hanging="476"/>
        <w:spacing w:after="0"/>
        <w:tabs>
          <w:tab w:leader="none" w:pos="17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aggregate value of the Group Members’ customer funds in transit and Accounts, plus</w:t>
      </w:r>
    </w:p>
    <w:p>
      <w:pPr>
        <w:spacing w:after="0" w:line="179" w:lineRule="exact"/>
        <w:rPr>
          <w:rFonts w:ascii="Arial" w:cs="Arial" w:eastAsia="Arial" w:hAnsi="Arial"/>
          <w:sz w:val="22"/>
          <w:szCs w:val="22"/>
          <w:color w:val="auto"/>
        </w:rPr>
      </w:pPr>
    </w:p>
    <w:p>
      <w:pPr>
        <w:ind w:left="1760" w:hanging="456"/>
        <w:spacing w:after="0"/>
        <w:tabs>
          <w:tab w:leader="none" w:pos="17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aggregate value of Cash Equivalents of the Group Members, minus</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aggregate value of customer funds held by the Group Members, minus</w:t>
      </w:r>
    </w:p>
    <w:p>
      <w:pPr>
        <w:spacing w:after="0" w:line="179" w:lineRule="exact"/>
        <w:rPr>
          <w:rFonts w:ascii="Arial" w:cs="Arial" w:eastAsia="Arial" w:hAnsi="Arial"/>
          <w:sz w:val="22"/>
          <w:szCs w:val="22"/>
          <w:color w:val="auto"/>
        </w:rPr>
      </w:pPr>
    </w:p>
    <w:p>
      <w:pPr>
        <w:ind w:left="1760" w:hanging="456"/>
        <w:spacing w:after="0"/>
        <w:tabs>
          <w:tab w:leader="none" w:pos="17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aggregate amount of all Loans and Letter of Credit Usage, minus</w:t>
      </w:r>
    </w:p>
    <w:p>
      <w:pPr>
        <w:spacing w:after="0" w:line="179" w:lineRule="exact"/>
        <w:rPr>
          <w:rFonts w:ascii="Arial" w:cs="Arial" w:eastAsia="Arial" w:hAnsi="Arial"/>
          <w:sz w:val="22"/>
          <w:szCs w:val="22"/>
          <w:color w:val="auto"/>
        </w:rPr>
      </w:pPr>
    </w:p>
    <w:p>
      <w:pPr>
        <w:ind w:left="1740" w:hanging="436"/>
        <w:spacing w:after="0"/>
        <w:tabs>
          <w:tab w:leader="none" w:pos="17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aggregate amount of spot trades in transit re-classed to accrued liabilities of the Group Members, minus</w:t>
      </w:r>
    </w:p>
    <w:p>
      <w:pPr>
        <w:sectPr>
          <w:pgSz w:w="11900" w:h="16838" w:orient="portrait"/>
          <w:cols w:equalWidth="0" w:num="1">
            <w:col w:w="11240"/>
          </w:cols>
          <w:pgMar w:left="320" w:top="1401" w:right="339" w:bottom="1440" w:gutter="0" w:footer="0" w:header="0"/>
        </w:sectPr>
      </w:pPr>
    </w:p>
    <w:bookmarkStart w:id="88" w:name="page89"/>
    <w:bookmarkEnd w:id="88"/>
    <w:p>
      <w:pPr>
        <w:ind w:left="1300"/>
        <w:spacing w:after="0"/>
        <w:tabs>
          <w:tab w:leader="none" w:pos="176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19"/>
          <w:szCs w:val="19"/>
          <w:color w:val="auto"/>
        </w:rPr>
        <w:t>the aggregate amount outstanding under any Post Funding Line of Credit.</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 Estate Asset</w:t>
      </w:r>
      <w:r>
        <w:rPr>
          <w:rFonts w:ascii="Arial" w:cs="Arial" w:eastAsia="Arial" w:hAnsi="Arial"/>
          <w:sz w:val="22"/>
          <w:szCs w:val="22"/>
          <w:color w:val="auto"/>
        </w:rPr>
        <w:t>” means all right, title and interest (fee, leasehold, mineral or otherwise) in any and all parcels of or interest in real property then owned or leased by any Loan Party in any real property, together with all easements, hereditaments and appurtenances related thereto, all improvements and appurtenant fixtures and equipment, all general intangibles and contract rights and other property rights incidental to the ownership thereof.</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Recipient</w:t>
      </w:r>
      <w:r>
        <w:rPr>
          <w:rFonts w:ascii="Arial" w:cs="Arial" w:eastAsia="Arial" w:hAnsi="Arial"/>
          <w:sz w:val="22"/>
          <w:szCs w:val="22"/>
          <w:color w:val="auto"/>
        </w:rPr>
        <w:t>” means the Administrative Agent, any Lender and any Issuing Bank, or any combination thereof (as the context requires).</w:t>
      </w:r>
    </w:p>
    <w:p>
      <w:pPr>
        <w:spacing w:after="0" w:line="159"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Reference Time</w:t>
      </w:r>
      <w:r>
        <w:rPr>
          <w:rFonts w:ascii="Arial" w:cs="Arial" w:eastAsia="Arial" w:hAnsi="Arial"/>
          <w:sz w:val="21"/>
          <w:szCs w:val="21"/>
          <w:color w:val="auto"/>
        </w:rPr>
        <w:t xml:space="preserve">” with respect to any setting of the then-current Benchmark means (1) if such Benchmark is </w:t>
      </w:r>
      <w:r>
        <w:rPr>
          <w:rFonts w:ascii="Arial" w:cs="Arial" w:eastAsia="Arial" w:hAnsi="Arial"/>
          <w:sz w:val="21"/>
          <w:szCs w:val="21"/>
          <w:color w:val="FF0000"/>
          <w:strike w:val="1"/>
        </w:rPr>
        <w:t>LIBO</w:t>
      </w:r>
      <w:r>
        <w:rPr>
          <w:rFonts w:ascii="Arial" w:cs="Arial" w:eastAsia="Arial" w:hAnsi="Arial"/>
          <w:sz w:val="21"/>
          <w:szCs w:val="21"/>
          <w:u w:val="single" w:color="auto"/>
          <w:color w:val="0000FF"/>
          <w:highlight w:val="lightGray"/>
        </w:rPr>
        <w:t>the Term SOFR</w:t>
      </w:r>
      <w:r>
        <w:rPr>
          <w:rFonts w:ascii="Arial" w:cs="Arial" w:eastAsia="Arial" w:hAnsi="Arial"/>
          <w:sz w:val="21"/>
          <w:szCs w:val="21"/>
          <w:color w:val="FF0000"/>
        </w:rPr>
        <w:t xml:space="preserve"> </w:t>
      </w:r>
      <w:r>
        <w:rPr>
          <w:rFonts w:ascii="Arial" w:cs="Arial" w:eastAsia="Arial" w:hAnsi="Arial"/>
          <w:sz w:val="21"/>
          <w:szCs w:val="21"/>
          <w:color w:val="000000"/>
        </w:rPr>
        <w:t>Rate,</w:t>
      </w:r>
      <w:r>
        <w:rPr>
          <w:rFonts w:ascii="Arial" w:cs="Arial" w:eastAsia="Arial" w:hAnsi="Arial"/>
          <w:sz w:val="21"/>
          <w:szCs w:val="21"/>
          <w:color w:val="FF0000"/>
        </w:rPr>
        <w:t xml:space="preserve"> </w:t>
      </w:r>
      <w:r>
        <w:rPr>
          <w:rFonts w:ascii="Arial" w:cs="Arial" w:eastAsia="Arial" w:hAnsi="Arial"/>
          <w:sz w:val="21"/>
          <w:szCs w:val="21"/>
          <w:color w:val="FF0000"/>
          <w:strike w:val="1"/>
        </w:rPr>
        <w:t>11:00 a.m. (London</w:t>
      </w:r>
      <w:r>
        <w:rPr>
          <w:rFonts w:ascii="Arial" w:cs="Arial" w:eastAsia="Arial" w:hAnsi="Arial"/>
          <w:sz w:val="21"/>
          <w:szCs w:val="21"/>
          <w:u w:val="single" w:color="auto"/>
          <w:color w:val="0000FF"/>
          <w:highlight w:val="lightGray"/>
        </w:rPr>
        <w:t>5:00 a.m. (Chicago</w:t>
      </w:r>
      <w:r>
        <w:rPr>
          <w:rFonts w:ascii="Arial" w:cs="Arial" w:eastAsia="Arial" w:hAnsi="Arial"/>
          <w:sz w:val="21"/>
          <w:szCs w:val="21"/>
          <w:color w:val="FF0000"/>
        </w:rPr>
        <w:t xml:space="preserve"> </w:t>
      </w:r>
      <w:r>
        <w:rPr>
          <w:rFonts w:ascii="Arial" w:cs="Arial" w:eastAsia="Arial" w:hAnsi="Arial"/>
          <w:sz w:val="21"/>
          <w:szCs w:val="21"/>
          <w:color w:val="000000"/>
        </w:rPr>
        <w:t>time) on the day that is two</w:t>
      </w:r>
      <w:r>
        <w:rPr>
          <w:rFonts w:ascii="Arial" w:cs="Arial" w:eastAsia="Arial" w:hAnsi="Arial"/>
          <w:sz w:val="21"/>
          <w:szCs w:val="21"/>
          <w:color w:val="FF0000"/>
        </w:rPr>
        <w:t xml:space="preserve"> </w:t>
      </w:r>
      <w:r>
        <w:rPr>
          <w:rFonts w:ascii="Arial" w:cs="Arial" w:eastAsia="Arial" w:hAnsi="Arial"/>
          <w:sz w:val="21"/>
          <w:szCs w:val="21"/>
          <w:color w:val="FF0000"/>
          <w:strike w:val="1"/>
        </w:rPr>
        <w:t>London banking</w:t>
      </w:r>
      <w:r>
        <w:rPr>
          <w:rFonts w:ascii="Arial" w:cs="Arial" w:eastAsia="Arial" w:hAnsi="Arial"/>
          <w:sz w:val="21"/>
          <w:szCs w:val="21"/>
          <w:u w:val="single" w:color="auto"/>
          <w:color w:val="0000FF"/>
          <w:highlight w:val="lightGray"/>
        </w:rPr>
        <w:t>U.S. Government</w:t>
      </w:r>
      <w:r>
        <w:rPr>
          <w:rFonts w:ascii="Arial" w:cs="Arial" w:eastAsia="Arial" w:hAnsi="Arial"/>
          <w:sz w:val="21"/>
          <w:szCs w:val="21"/>
          <w:color w:val="FF0000"/>
        </w:rPr>
        <w:t xml:space="preserve"> </w:t>
      </w:r>
      <w:r>
        <w:rPr>
          <w:rFonts w:ascii="Arial" w:cs="Arial" w:eastAsia="Arial" w:hAnsi="Arial"/>
          <w:sz w:val="21"/>
          <w:szCs w:val="21"/>
          <w:u w:val="single" w:color="auto"/>
          <w:color w:val="0000FF"/>
          <w:highlight w:val="lightGray"/>
        </w:rPr>
        <w:t>Securities Business</w:t>
      </w:r>
      <w:r>
        <w:rPr>
          <w:rFonts w:ascii="Arial" w:cs="Arial" w:eastAsia="Arial" w:hAnsi="Arial"/>
          <w:sz w:val="21"/>
          <w:szCs w:val="21"/>
          <w:color w:val="0000FF"/>
          <w:highlight w:val="lightGray"/>
        </w:rPr>
        <w:t xml:space="preserve"> </w:t>
      </w:r>
      <w:r>
        <w:rPr>
          <w:rFonts w:ascii="Arial" w:cs="Arial" w:eastAsia="Arial" w:hAnsi="Arial"/>
          <w:sz w:val="21"/>
          <w:szCs w:val="21"/>
          <w:color w:val="FF0000"/>
          <w:strike w:val="1"/>
        </w:rPr>
        <w:t>d</w:t>
      </w:r>
      <w:r>
        <w:rPr>
          <w:rFonts w:ascii="Arial" w:cs="Arial" w:eastAsia="Arial" w:hAnsi="Arial"/>
          <w:sz w:val="21"/>
          <w:szCs w:val="21"/>
          <w:u w:val="single" w:color="auto"/>
          <w:color w:val="0000FF"/>
          <w:highlight w:val="lightGray"/>
        </w:rPr>
        <w:t>D</w:t>
      </w:r>
      <w:r>
        <w:rPr>
          <w:rFonts w:ascii="Arial" w:cs="Arial" w:eastAsia="Arial" w:hAnsi="Arial"/>
          <w:sz w:val="21"/>
          <w:szCs w:val="21"/>
          <w:color w:val="0000FF"/>
          <w:highlight w:val="lightGray"/>
        </w:rPr>
        <w:t xml:space="preserve"> </w:t>
      </w:r>
      <w:r>
        <w:rPr>
          <w:rFonts w:ascii="Arial" w:cs="Arial" w:eastAsia="Arial" w:hAnsi="Arial"/>
          <w:sz w:val="21"/>
          <w:szCs w:val="21"/>
          <w:color w:val="000000"/>
        </w:rPr>
        <w:t>ays preceding the date of such setting, and (2) if such Benchmark is not</w:t>
      </w:r>
      <w:r>
        <w:rPr>
          <w:rFonts w:ascii="Arial" w:cs="Arial" w:eastAsia="Arial" w:hAnsi="Arial"/>
          <w:sz w:val="21"/>
          <w:szCs w:val="21"/>
          <w:color w:val="0000FF"/>
          <w:highlight w:val="lightGray"/>
        </w:rPr>
        <w:t xml:space="preserve"> </w:t>
      </w:r>
      <w:r>
        <w:rPr>
          <w:rFonts w:ascii="Arial" w:cs="Arial" w:eastAsia="Arial" w:hAnsi="Arial"/>
          <w:sz w:val="21"/>
          <w:szCs w:val="21"/>
          <w:color w:val="FF0000"/>
          <w:strike w:val="1"/>
        </w:rPr>
        <w:t>LIBO</w:t>
      </w:r>
      <w:r>
        <w:rPr>
          <w:rFonts w:ascii="Arial" w:cs="Arial" w:eastAsia="Arial" w:hAnsi="Arial"/>
          <w:sz w:val="21"/>
          <w:szCs w:val="21"/>
          <w:u w:val="single" w:color="auto"/>
          <w:color w:val="0000FF"/>
          <w:highlight w:val="lightGray"/>
        </w:rPr>
        <w:t>the Term SOFR</w:t>
      </w:r>
      <w:r>
        <w:rPr>
          <w:rFonts w:ascii="Arial" w:cs="Arial" w:eastAsia="Arial" w:hAnsi="Arial"/>
          <w:sz w:val="21"/>
          <w:szCs w:val="21"/>
          <w:color w:val="0000FF"/>
          <w:highlight w:val="lightGray"/>
        </w:rPr>
        <w:t xml:space="preserve"> </w:t>
      </w:r>
      <w:r>
        <w:rPr>
          <w:rFonts w:ascii="Arial" w:cs="Arial" w:eastAsia="Arial" w:hAnsi="Arial"/>
          <w:sz w:val="21"/>
          <w:szCs w:val="21"/>
          <w:color w:val="000000"/>
        </w:rPr>
        <w:t>Rate, the</w:t>
      </w:r>
      <w:r>
        <w:rPr>
          <w:rFonts w:ascii="Arial" w:cs="Arial" w:eastAsia="Arial" w:hAnsi="Arial"/>
          <w:sz w:val="21"/>
          <w:szCs w:val="21"/>
          <w:color w:val="0000FF"/>
          <w:highlight w:val="lightGray"/>
        </w:rPr>
        <w:t xml:space="preserve"> </w:t>
      </w:r>
      <w:r>
        <w:rPr>
          <w:rFonts w:ascii="Arial" w:cs="Arial" w:eastAsia="Arial" w:hAnsi="Arial"/>
          <w:sz w:val="21"/>
          <w:szCs w:val="21"/>
          <w:color w:val="000000"/>
        </w:rPr>
        <w:t>time determined by the Administrative Agent in its reasonable discretion.</w:t>
      </w:r>
    </w:p>
    <w:p>
      <w:pPr>
        <w:spacing w:after="0" w:line="158"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Refinance</w:t>
      </w:r>
      <w:r>
        <w:rPr>
          <w:rFonts w:ascii="Arial" w:cs="Arial" w:eastAsia="Arial" w:hAnsi="Arial"/>
          <w:sz w:val="22"/>
          <w:szCs w:val="22"/>
          <w:color w:val="auto"/>
        </w:rPr>
        <w:t>” shall have the meaning assigned to such term in the definition of the term “Permitted Refinancing Indebtedness,” and “Refinanced” and “Refinancing” shall have meanings correlative thereto.</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10.4</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Reimbursement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2.4(d)</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Parties</w:t>
      </w:r>
      <w:r>
        <w:rPr>
          <w:rFonts w:ascii="Arial" w:cs="Arial" w:eastAsia="Arial" w:hAnsi="Arial"/>
          <w:sz w:val="22"/>
          <w:szCs w:val="22"/>
          <w:color w:val="auto"/>
        </w:rPr>
        <w:t>” means, with respect to any specified Person, such Person’s Affiliates and the respective directors, officers, employees, agents and advisors of such Person and such Person’s Affiliates.</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Governmental Body</w:t>
      </w:r>
      <w:r>
        <w:rPr>
          <w:rFonts w:ascii="Arial" w:cs="Arial" w:eastAsia="Arial" w:hAnsi="Arial"/>
          <w:sz w:val="22"/>
          <w:szCs w:val="22"/>
          <w:color w:val="auto"/>
        </w:rPr>
        <w:t>” means the Federal Reserve Board and/or the NYFRB, or a committee officially endorsed or convened by the Federal Reserve Board and/or the NYFRB, or any successor thereto.</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Lenders</w:t>
      </w:r>
      <w:r>
        <w:rPr>
          <w:rFonts w:ascii="Arial" w:cs="Arial" w:eastAsia="Arial" w:hAnsi="Arial"/>
          <w:sz w:val="22"/>
          <w:szCs w:val="22"/>
          <w:color w:val="auto"/>
        </w:rPr>
        <w:t>” means, at any time, Lenders having more than 50% of the aggregate Revolving Exposure and unused Commitments at such time. The Revolving Exposure and Commitment of any Defaulting Lender shall be disregarded in determining Required Lenders at any time.</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means an EEA Resolution Authority or, with respect to any UK Financial Institution, a UK Resolution Authority.</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Responsible Officer</w:t>
      </w:r>
      <w:r>
        <w:rPr>
          <w:rFonts w:ascii="Arial" w:cs="Arial" w:eastAsia="Arial" w:hAnsi="Arial"/>
          <w:sz w:val="22"/>
          <w:szCs w:val="22"/>
          <w:color w:val="auto"/>
        </w:rPr>
        <w:t>” means any of the President and Chief Executive Officer, Senior Vice President and Chief Financial Officer of the applicable Loan Party, or any person designated by any such Loan Party in writing to the Administrative Agent from time to time, acting singly.</w:t>
      </w:r>
    </w:p>
    <w:p>
      <w:pPr>
        <w:spacing w:after="0" w:line="15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w:t>
      </w:r>
      <w:r>
        <w:rPr>
          <w:rFonts w:ascii="Arial" w:cs="Arial" w:eastAsia="Arial" w:hAnsi="Arial"/>
          <w:sz w:val="19"/>
          <w:szCs w:val="19"/>
          <w:color w:val="auto"/>
        </w:rPr>
        <w:t>” means, when referring to cash or Cash Equivalents of Holdings and its Restricted Subsidiaries, that such cash or Cash Equivalents (a) appear (or would be required to appear) as “restricted” on the consolidated balance sheet of Holdings, (b) are subject to any Lien in favor of any Person (other than (1) Liens permitted under Section 6.2(k), (2) Liens granted pursuant to the Loan Documents and (3) Liens permitted under Section 6.2(r)) or (c) are not otherwise generally available for use by such Person or any Restricted Subsidiary of such Person so long as such Restricted Subsidiary is not prohibited by applicable law, contractual obligation or otherwise from transferring such cash or Cash Equivalents to Holdings.</w:t>
      </w:r>
    </w:p>
    <w:p>
      <w:pPr>
        <w:sectPr>
          <w:pgSz w:w="11900" w:h="16838" w:orient="portrait"/>
          <w:cols w:equalWidth="0" w:num="1">
            <w:col w:w="11240"/>
          </w:cols>
          <w:pgMar w:left="320" w:top="1401" w:right="339" w:bottom="1440" w:gutter="0" w:footer="0" w:header="0"/>
        </w:sectPr>
      </w:pPr>
    </w:p>
    <w:bookmarkStart w:id="89" w:name="page90"/>
    <w:bookmarkEnd w:id="89"/>
    <w:p>
      <w:pPr>
        <w:jc w:val="both"/>
        <w:ind w:firstLine="1296"/>
        <w:spacing w:after="0" w:line="21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Payment</w:t>
      </w:r>
      <w:r>
        <w:rPr>
          <w:rFonts w:ascii="Arial" w:cs="Arial" w:eastAsia="Arial" w:hAnsi="Arial"/>
          <w:sz w:val="22"/>
          <w:szCs w:val="22"/>
          <w:color w:val="auto"/>
        </w:rPr>
        <w:t>” means any dividend or other distribution (whether in cash, securities or other property) with respect to any Equity Interests in Holdings or any Subsidiary, or any payment (whether in cash, securities or other property), including any sinking fund, similar deposit or withholding of shares for tax purposes, on account of the purchase, redemption, retirement, acquisition, cancellation or termination of any such Equity Interests in Holdings or any Subsidiary. For the avoidance of doubt, (i) the conversion of, or payment for (including, without limitation, payments of principal and payments upon redemption or repurchase), or paying any interest with respect to, any debt securities (including Permitted Convertible Indebtedness) that are convertible into or exchangeable for any combination of Equity Interests and/or cash shall not constitute a Restricted Payment and (ii) the settlement or unwinding of any Permitted Call Spread Transaction shall not constitute a Restricted Payment.</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Subsidiary</w:t>
      </w:r>
      <w:r>
        <w:rPr>
          <w:rFonts w:ascii="Arial" w:cs="Arial" w:eastAsia="Arial" w:hAnsi="Arial"/>
          <w:sz w:val="22"/>
          <w:szCs w:val="22"/>
          <w:color w:val="auto"/>
        </w:rPr>
        <w:t>” means any Subsidiary other than an Unrestricted Subsidiary.</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Reuters</w:t>
      </w:r>
      <w:r>
        <w:rPr>
          <w:rFonts w:ascii="Arial" w:cs="Arial" w:eastAsia="Arial" w:hAnsi="Arial"/>
          <w:sz w:val="22"/>
          <w:szCs w:val="22"/>
          <w:color w:val="auto"/>
        </w:rPr>
        <w:t>” means, as applicable, Thomson Reuters Corp., Refinitiv, or any successor thereto.</w:t>
      </w:r>
    </w:p>
    <w:p>
      <w:pPr>
        <w:spacing w:after="0" w:line="17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Exposure</w:t>
      </w:r>
      <w:r>
        <w:rPr>
          <w:rFonts w:ascii="Arial" w:cs="Arial" w:eastAsia="Arial" w:hAnsi="Arial"/>
          <w:sz w:val="19"/>
          <w:szCs w:val="19"/>
          <w:color w:val="auto"/>
        </w:rPr>
        <w:t>” means, with respect to any Lender as of any date of determination, the sum of (a) the aggregate outstanding principal amount of the Revolving Loans of that Lender and (b) the Letter of Credit Usage of that Lender.</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Loan</w:t>
      </w:r>
      <w:r>
        <w:rPr>
          <w:rFonts w:ascii="Arial" w:cs="Arial" w:eastAsia="Arial" w:hAnsi="Arial"/>
          <w:sz w:val="22"/>
          <w:szCs w:val="22"/>
          <w:color w:val="auto"/>
        </w:rPr>
        <w:t xml:space="preserve">” means a Loan made by a Lender to the Borrowers pursuant to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Standard &amp; Poor’s Rating Services, a Standard &amp; Poor’s Financial Services LLC business, and any successor to its rating agency business.</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means, at any time, a country, region or territory which is the subject or target of any Sanctions (on the Effective Date, Crimea, Cuba, Iran, North Korea, and Syria).</w:t>
      </w:r>
    </w:p>
    <w:p>
      <w:pPr>
        <w:spacing w:after="0" w:line="159"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Sanctioned Person</w:t>
      </w:r>
      <w:r>
        <w:rPr>
          <w:rFonts w:ascii="Arial" w:cs="Arial" w:eastAsia="Arial" w:hAnsi="Arial"/>
          <w:sz w:val="21"/>
          <w:szCs w:val="21"/>
          <w:color w:val="auto"/>
        </w:rPr>
        <w:t>” means, at any time, (a) any Person listed in any Sanctions-related list of designated Persons maintained by OFAC, the U.S. Department of State, the United Nations Security Council, the European Union, Her Majesty’s Treasury of the United Kingdom, or Canada, (b) any Person operating, organized or resident in a Sanctioned Country, (c) any Person owned 50% or more or otherwise controlled by any such Person or Persons described in the foregoing clauses (a) or (b) or (d) any Person otherwise the subject of any Sanctions.</w:t>
      </w:r>
    </w:p>
    <w:p>
      <w:pPr>
        <w:spacing w:after="0" w:line="15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Sanctions</w:t>
      </w:r>
      <w:r>
        <w:rPr>
          <w:rFonts w:ascii="Arial" w:cs="Arial" w:eastAsia="Arial" w:hAnsi="Arial"/>
          <w:sz w:val="19"/>
          <w:szCs w:val="19"/>
          <w:color w:val="auto"/>
        </w:rPr>
        <w:t>” means all economic or financial sanctions or trade embargoes imposed, administered or enforced from time to time by (a) the U.S. government, including those administered by OFAC or the U.S. Department of State, or (b) the United Nations Security Council, the European Union, Her Majesty’s Treasury of the United Kingdom, or Canada.</w:t>
      </w:r>
    </w:p>
    <w:p>
      <w:pPr>
        <w:spacing w:after="0" w:line="132"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Cash Management Services</w:t>
      </w:r>
      <w:r>
        <w:rPr>
          <w:rFonts w:ascii="Arial" w:cs="Arial" w:eastAsia="Arial" w:hAnsi="Arial"/>
          <w:sz w:val="22"/>
          <w:szCs w:val="22"/>
          <w:color w:val="auto"/>
        </w:rPr>
        <w:t>” means Cash Management Services provided to any Loan Party pursuant to a Secured Cash Management Services Agreement.</w:t>
      </w:r>
    </w:p>
    <w:p>
      <w:pPr>
        <w:spacing w:after="0" w:line="159"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Cash Management Services Agreement</w:t>
      </w:r>
      <w:r>
        <w:rPr>
          <w:rFonts w:ascii="Arial" w:cs="Arial" w:eastAsia="Arial" w:hAnsi="Arial"/>
          <w:sz w:val="22"/>
          <w:szCs w:val="22"/>
          <w:color w:val="auto"/>
        </w:rPr>
        <w:t>” means any agreement with respect to the provision of Secured Cash Management Services to any Loan Party by any bank or other financial institution; provided that, if the counterparty to any such agreement is not a Lender Counterparty, it shall be a Secured Cash Management Services Agreement only to the extent (i) such agreement is in respect of Cash Management Services entered into in the ordinary course of business and (ii) such agreement is designated in writing by a Borrower to the Administrative Agent to be included as a Secured Cash Management Services Agreement, which</w:t>
      </w:r>
    </w:p>
    <w:p>
      <w:pPr>
        <w:sectPr>
          <w:pgSz w:w="11900" w:h="16838" w:orient="portrait"/>
          <w:cols w:equalWidth="0" w:num="1">
            <w:col w:w="11240"/>
          </w:cols>
          <w:pgMar w:left="320" w:top="1401" w:right="339" w:bottom="1440" w:gutter="0" w:footer="0" w:header="0"/>
        </w:sectPr>
      </w:pPr>
    </w:p>
    <w:bookmarkStart w:id="90" w:name="page91"/>
    <w:bookmarkEnd w:id="90"/>
    <w:p>
      <w:pPr>
        <w:jc w:val="both"/>
        <w:spacing w:after="0" w:line="232" w:lineRule="auto"/>
        <w:rPr>
          <w:sz w:val="20"/>
          <w:szCs w:val="20"/>
          <w:color w:val="auto"/>
        </w:rPr>
      </w:pPr>
      <w:r>
        <w:rPr>
          <w:rFonts w:ascii="Arial" w:cs="Arial" w:eastAsia="Arial" w:hAnsi="Arial"/>
          <w:sz w:val="22"/>
          <w:szCs w:val="22"/>
          <w:color w:val="auto"/>
        </w:rPr>
        <w:t>designation shall include a representation that such Cash Management Services are entered into in the ordinary course of business.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Obligations</w:t>
      </w:r>
      <w:r>
        <w:rPr>
          <w:rFonts w:ascii="Arial" w:cs="Arial" w:eastAsia="Arial" w:hAnsi="Arial"/>
          <w:sz w:val="22"/>
          <w:szCs w:val="22"/>
          <w:color w:val="auto"/>
        </w:rPr>
        <w:t>” has the meaning set forth in the Security Agreement.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Parties</w:t>
      </w:r>
      <w:r>
        <w:rPr>
          <w:rFonts w:ascii="Arial" w:cs="Arial" w:eastAsia="Arial" w:hAnsi="Arial"/>
          <w:sz w:val="22"/>
          <w:szCs w:val="22"/>
          <w:color w:val="auto"/>
        </w:rPr>
        <w:t>” has the meaning set forth in the Security Agreement.</w:t>
      </w:r>
    </w:p>
    <w:p>
      <w:pPr>
        <w:spacing w:after="0" w:line="179"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Secured Swap Agreement</w:t>
      </w:r>
      <w:r>
        <w:rPr>
          <w:rFonts w:ascii="Arial" w:cs="Arial" w:eastAsia="Arial" w:hAnsi="Arial"/>
          <w:sz w:val="21"/>
          <w:szCs w:val="21"/>
          <w:color w:val="auto"/>
        </w:rPr>
        <w:t>” means a Swap Agreement (excluding any Permitted Call Spread Transaction) among one or more Loan Parties and a bank or other financial institution; provided that, if the counterparty to any such agreement is not a Lender Counterparty, it shall be a Secured Swap Agreement only to the extent (i) such Swap Agreement would otherwise be permitted under Section 6.1(i) and is entered into in the ordinary course of business and (ii) such Swap Agreement is designated in writing by a Borrower to the Administrative Agent to be included as a Secured Swap Agreement, which designation shall include a representation that such Swap Agreement would otherwise be permitted under Section 6.1(i) and is entered into in the ordinary course of business.</w:t>
      </w:r>
    </w:p>
    <w:p>
      <w:pPr>
        <w:spacing w:after="0" w:line="164"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Agreement</w:t>
      </w:r>
      <w:r>
        <w:rPr>
          <w:rFonts w:ascii="Arial" w:cs="Arial" w:eastAsia="Arial" w:hAnsi="Arial"/>
          <w:sz w:val="19"/>
          <w:szCs w:val="19"/>
          <w:color w:val="auto"/>
        </w:rPr>
        <w:t>” means the Pledge and Security Agreement to be executed by each Loan Party substantially in the form of Exhibit E, as it may be amended, restated, supplemented or otherwise modified from time to time.</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Singapore Dollar</w:t>
      </w:r>
      <w:r>
        <w:rPr>
          <w:rFonts w:ascii="Arial" w:cs="Arial" w:eastAsia="Arial" w:hAnsi="Arial"/>
          <w:sz w:val="22"/>
          <w:szCs w:val="22"/>
          <w:color w:val="auto"/>
        </w:rPr>
        <w:t>” means the lawful currency of Singapore.</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w:t>
      </w:r>
      <w:r>
        <w:rPr>
          <w:rFonts w:ascii="Arial" w:cs="Arial" w:eastAsia="Arial" w:hAnsi="Arial"/>
          <w:sz w:val="22"/>
          <w:szCs w:val="22"/>
          <w:color w:val="auto"/>
        </w:rPr>
        <w:t>” means</w:t>
      </w:r>
      <w:r>
        <w:rPr>
          <w:rFonts w:ascii="Arial" w:cs="Arial" w:eastAsia="Arial" w:hAnsi="Arial"/>
          <w:sz w:val="22"/>
          <w:szCs w:val="22"/>
          <w:color w:val="FF0000"/>
          <w:strike w:val="1"/>
        </w:rPr>
        <w:t>, with respect to any Business Day,</w:t>
      </w:r>
      <w:r>
        <w:rPr>
          <w:rFonts w:ascii="Arial" w:cs="Arial" w:eastAsia="Arial" w:hAnsi="Arial"/>
          <w:sz w:val="22"/>
          <w:szCs w:val="22"/>
          <w:color w:val="auto"/>
        </w:rPr>
        <w:t xml:space="preserve"> a rate </w:t>
      </w:r>
      <w:r>
        <w:rPr>
          <w:rFonts w:ascii="Arial" w:cs="Arial" w:eastAsia="Arial" w:hAnsi="Arial"/>
          <w:sz w:val="22"/>
          <w:szCs w:val="22"/>
          <w:color w:val="FF0000"/>
          <w:strike w:val="1"/>
        </w:rPr>
        <w:t>per annum</w:t>
      </w:r>
      <w:r>
        <w:rPr>
          <w:rFonts w:ascii="Arial" w:cs="Arial" w:eastAsia="Arial" w:hAnsi="Arial"/>
          <w:sz w:val="22"/>
          <w:szCs w:val="22"/>
          <w:color w:val="auto"/>
        </w:rPr>
        <w:t xml:space="preserve"> equal to the secured overnight financing rate </w:t>
      </w:r>
      <w:r>
        <w:rPr>
          <w:rFonts w:ascii="Arial" w:cs="Arial" w:eastAsia="Arial" w:hAnsi="Arial"/>
          <w:sz w:val="22"/>
          <w:szCs w:val="22"/>
          <w:color w:val="FF0000"/>
          <w:strike w:val="1"/>
        </w:rPr>
        <w:t>for such Business Day published</w:t>
      </w:r>
      <w:r>
        <w:rPr>
          <w:rFonts w:ascii="Arial" w:cs="Arial" w:eastAsia="Arial" w:hAnsi="Arial"/>
          <w:sz w:val="22"/>
          <w:szCs w:val="22"/>
          <w:u w:val="single" w:color="auto"/>
          <w:color w:val="0000FF"/>
          <w:highlight w:val="lightGray"/>
        </w:rPr>
        <w:t>as administered</w:t>
      </w:r>
      <w:r>
        <w:rPr>
          <w:rFonts w:ascii="Arial" w:cs="Arial" w:eastAsia="Arial" w:hAnsi="Arial"/>
          <w:sz w:val="22"/>
          <w:szCs w:val="22"/>
          <w:color w:val="FF0000"/>
        </w:rPr>
        <w:t xml:space="preserve"> </w:t>
      </w:r>
      <w:r>
        <w:rPr>
          <w:rFonts w:ascii="Arial" w:cs="Arial" w:eastAsia="Arial" w:hAnsi="Arial"/>
          <w:sz w:val="22"/>
          <w:szCs w:val="22"/>
          <w:color w:val="000000"/>
        </w:rPr>
        <w:t>by the SOFR Administrator</w:t>
      </w:r>
      <w:r>
        <w:rPr>
          <w:rFonts w:ascii="Arial" w:cs="Arial" w:eastAsia="Arial" w:hAnsi="Arial"/>
          <w:sz w:val="22"/>
          <w:szCs w:val="22"/>
          <w:color w:val="FF0000"/>
        </w:rPr>
        <w:t xml:space="preserve"> </w:t>
      </w:r>
      <w:r>
        <w:rPr>
          <w:rFonts w:ascii="Arial" w:cs="Arial" w:eastAsia="Arial" w:hAnsi="Arial"/>
          <w:sz w:val="22"/>
          <w:szCs w:val="22"/>
          <w:color w:val="008000"/>
        </w:rPr>
        <w:t>on the SOFR Administrator’s Website</w:t>
      </w:r>
      <w:r>
        <w:rPr>
          <w:rFonts w:ascii="Arial" w:cs="Arial" w:eastAsia="Arial" w:hAnsi="Arial"/>
          <w:sz w:val="22"/>
          <w:szCs w:val="22"/>
          <w:color w:val="FF0000"/>
        </w:rPr>
        <w:t xml:space="preserve"> </w:t>
      </w:r>
      <w:r>
        <w:rPr>
          <w:rFonts w:ascii="Arial" w:cs="Arial" w:eastAsia="Arial" w:hAnsi="Arial"/>
          <w:sz w:val="22"/>
          <w:szCs w:val="22"/>
          <w:color w:val="FF0000"/>
          <w:strike w:val="1"/>
        </w:rPr>
        <w:t>on the</w:t>
      </w:r>
      <w:r>
        <w:rPr>
          <w:rFonts w:ascii="Arial" w:cs="Arial" w:eastAsia="Arial" w:hAnsi="Arial"/>
          <w:sz w:val="22"/>
          <w:szCs w:val="22"/>
          <w:color w:val="FF0000"/>
        </w:rPr>
        <w:t xml:space="preserve"> </w:t>
      </w:r>
      <w:r>
        <w:rPr>
          <w:rFonts w:ascii="Arial" w:cs="Arial" w:eastAsia="Arial" w:hAnsi="Arial"/>
          <w:sz w:val="22"/>
          <w:szCs w:val="22"/>
          <w:color w:val="FF0000"/>
          <w:strike w:val="1"/>
        </w:rPr>
        <w:t>immediately succeeding Business Day</w:t>
      </w:r>
      <w:r>
        <w:rPr>
          <w:rFonts w:ascii="Arial" w:cs="Arial" w:eastAsia="Arial" w:hAnsi="Arial"/>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4456430</wp:posOffset>
            </wp:positionH>
            <wp:positionV relativeFrom="paragraph">
              <wp:posOffset>-219075</wp:posOffset>
            </wp:positionV>
            <wp:extent cx="23139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2313940" cy="8255"/>
                    </a:xfrm>
                    <a:prstGeom prst="rect">
                      <a:avLst/>
                    </a:prstGeom>
                    <a:noFill/>
                  </pic:spPr>
                </pic:pic>
              </a:graphicData>
            </a:graphic>
          </wp:anchor>
        </w:drawing>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 Administrator</w:t>
      </w:r>
      <w:r>
        <w:rPr>
          <w:rFonts w:ascii="Arial" w:cs="Arial" w:eastAsia="Arial" w:hAnsi="Arial"/>
          <w:sz w:val="19"/>
          <w:szCs w:val="19"/>
          <w:color w:val="auto"/>
        </w:rPr>
        <w:t>” means the NYFRB (or a successor administrator of the secured overnight financing rate).</w:t>
      </w:r>
    </w:p>
    <w:p>
      <w:pPr>
        <w:spacing w:after="0" w:line="214"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 Administrator’s Website</w:t>
      </w:r>
      <w:r>
        <w:rPr>
          <w:rFonts w:ascii="Arial" w:cs="Arial" w:eastAsia="Arial" w:hAnsi="Arial"/>
          <w:sz w:val="19"/>
          <w:szCs w:val="19"/>
          <w:color w:val="auto"/>
        </w:rPr>
        <w:t>” means the NYFRB’s Website, currently at http://www.newyorkfed.org, or any successor source for the secured overnight financing rate identified as such by the SOFR Administrator from time to time.</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0000FF"/>
          <w:highlight w:val="lightGray"/>
        </w:rPr>
        <w:t>“SOFR Determination Date” has the meaning specified in the definition of “Daily Simple SOFR”.</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0000FF"/>
          <w:highlight w:val="lightGray"/>
        </w:rPr>
        <w:t>“SOFR Rate Day” has the meaning specified in the definition of “Daily Simple SOFR”.</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Solvency Certificate</w:t>
      </w:r>
      <w:r>
        <w:rPr>
          <w:rFonts w:ascii="Arial" w:cs="Arial" w:eastAsia="Arial" w:hAnsi="Arial"/>
          <w:sz w:val="22"/>
          <w:szCs w:val="22"/>
          <w:color w:val="auto"/>
        </w:rPr>
        <w:t>” means a Solvency Certificate of a Financial Officer of Holdings substantially in the form of</w:t>
      </w:r>
    </w:p>
    <w:p>
      <w:pPr>
        <w:spacing w:after="0"/>
        <w:rPr>
          <w:sz w:val="20"/>
          <w:szCs w:val="20"/>
          <w:color w:val="auto"/>
        </w:rPr>
      </w:pPr>
      <w:r>
        <w:rPr>
          <w:rFonts w:ascii="Arial" w:cs="Arial" w:eastAsia="Arial" w:hAnsi="Arial"/>
          <w:sz w:val="22"/>
          <w:szCs w:val="22"/>
          <w:u w:val="single" w:color="auto"/>
          <w:color w:val="auto"/>
        </w:rPr>
        <w:t>Exhibit I</w:t>
      </w:r>
      <w:r>
        <w:rPr>
          <w:rFonts w:ascii="Arial" w:cs="Arial" w:eastAsia="Arial" w:hAnsi="Arial"/>
          <w:sz w:val="22"/>
          <w:szCs w:val="22"/>
          <w:color w:val="auto"/>
        </w:rPr>
        <w:t>.</w:t>
      </w:r>
    </w:p>
    <w:p>
      <w:pPr>
        <w:spacing w:after="0" w:line="161"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Solvent</w:t>
      </w:r>
      <w:r>
        <w:rPr>
          <w:rFonts w:ascii="Arial" w:cs="Arial" w:eastAsia="Arial" w:hAnsi="Arial"/>
          <w:sz w:val="21"/>
          <w:szCs w:val="21"/>
          <w:color w:val="auto"/>
        </w:rPr>
        <w:t>” means, with respect to Holdings and its Restricted Subsidiaries on a particular date, that on such date (a) the fair value of the present assets of Holdings and its Restricted Subsidiaries, taken as a whole, is greater than the total amount of liabilities, including contingent liabilities, of Holdings and its Restricted Subsidiaries, taken as a whole, (b) the present fair saleable value of the assets of Holdings and its Restricted Subsidiaries, taken as a whole, is not less than the amount that will be required to pay the probable liability of Holdings and its Restricted Subsidiaries, taken as a whole, on their debts as they become absolute and matured, (c) Holdings and its Restricted Subsidiaries, taken as a whole, do not intend to, and do not believe that they will, incur debts or liabilities (including current obligations and contingent liabilities) beyond their ability to pay such debts and liabilities as they mature in the ordinary</w:t>
      </w:r>
    </w:p>
    <w:p>
      <w:pPr>
        <w:sectPr>
          <w:pgSz w:w="11900" w:h="16838" w:orient="portrait"/>
          <w:cols w:equalWidth="0" w:num="1">
            <w:col w:w="11240"/>
          </w:cols>
          <w:pgMar w:left="320" w:top="1401" w:right="339" w:bottom="1440" w:gutter="0" w:footer="0" w:header="0"/>
        </w:sectPr>
      </w:pPr>
    </w:p>
    <w:bookmarkStart w:id="91" w:name="page92"/>
    <w:bookmarkEnd w:id="91"/>
    <w:p>
      <w:pPr>
        <w:jc w:val="both"/>
        <w:spacing w:after="0" w:line="214" w:lineRule="auto"/>
        <w:rPr>
          <w:sz w:val="20"/>
          <w:szCs w:val="20"/>
          <w:color w:val="auto"/>
        </w:rPr>
      </w:pPr>
      <w:r>
        <w:rPr>
          <w:rFonts w:ascii="Arial" w:cs="Arial" w:eastAsia="Arial" w:hAnsi="Arial"/>
          <w:sz w:val="22"/>
          <w:szCs w:val="22"/>
          <w:color w:val="auto"/>
        </w:rPr>
        <w:t>course of business and (d) Holdings and its Restricted Subsidiaries, taken as a whole, are not engaged in business or a transaction, and are not about to engage in business or a transaction, in relation to which their property would constitute an unreasonably small capital. The amount of contingent liabilities at any time shall be computed as the amount that, in the light of all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5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Material IP</w:t>
      </w:r>
      <w:r>
        <w:rPr>
          <w:rFonts w:ascii="Arial" w:cs="Arial" w:eastAsia="Arial" w:hAnsi="Arial"/>
          <w:sz w:val="19"/>
          <w:szCs w:val="19"/>
          <w:color w:val="auto"/>
        </w:rPr>
        <w:t>” means any Intellectual Property consisting of (a) any issued Patent (or any application therefor), (b) any registered Trademark (or any application therefor) or (c) any registered Copyright (or any application therefor) that, in each case, is material to the conduct of the business of Holdings and its Restricted Subsidiaries, taken as a whole.</w:t>
      </w:r>
    </w:p>
    <w:p>
      <w:pPr>
        <w:spacing w:after="0" w:line="132"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Transaction</w:t>
      </w:r>
      <w:r>
        <w:rPr>
          <w:rFonts w:ascii="Arial" w:cs="Arial" w:eastAsia="Arial" w:hAnsi="Arial"/>
          <w:sz w:val="22"/>
          <w:szCs w:val="22"/>
          <w:color w:val="auto"/>
        </w:rPr>
        <w:t>” means, with respect to any period, any Acquisition, Investment, Asset Sale, incurrence, assumption or repayment of Indebtedness, Restricted Payment or designation of a Restricted Subsidiary as an Unrestricted Subsidiary or of an Unrestricted Subsidiary as a Restricted Subsidiary.</w:t>
      </w:r>
    </w:p>
    <w:p>
      <w:pPr>
        <w:spacing w:after="0" w:line="159"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Statutory Reserve Rate</w:t>
      </w:r>
      <w:r>
        <w:rPr>
          <w:rFonts w:ascii="Arial" w:cs="Arial" w:eastAsia="Arial" w:hAnsi="Arial"/>
          <w:sz w:val="19"/>
          <w:szCs w:val="19"/>
          <w:color w:val="FF0000"/>
          <w:strike w:val="1"/>
        </w:rPr>
        <w:t xml:space="preserve">” means a fraction (expressed as a decimal), the numerator of which is the number one and the denominator of which is the number one </w:t>
      </w:r>
      <w:r>
        <w:rPr>
          <w:rFonts w:ascii="Arial" w:cs="Arial" w:eastAsia="Arial" w:hAnsi="Arial"/>
          <w:sz w:val="19"/>
          <w:szCs w:val="19"/>
          <w:u w:val="single" w:color="auto"/>
          <w:color w:val="FF0000"/>
          <w:strike w:val="1"/>
        </w:rPr>
        <w:t>minus</w:t>
      </w:r>
      <w:r>
        <w:rPr>
          <w:rFonts w:ascii="Arial" w:cs="Arial" w:eastAsia="Arial" w:hAnsi="Arial"/>
          <w:sz w:val="19"/>
          <w:szCs w:val="19"/>
          <w:color w:val="FF0000"/>
          <w:strike w:val="1"/>
        </w:rPr>
        <w:t xml:space="preserve">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of the Board). Such reserve percentages shall include those imposed pursuant to such Regulation D. Eurodollar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Sterling</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means the lawful currency of the United Kingdom.</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any subsidiary of Holdings.</w:t>
      </w:r>
    </w:p>
    <w:p>
      <w:pPr>
        <w:spacing w:after="0" w:line="179" w:lineRule="exact"/>
        <w:rPr>
          <w:sz w:val="20"/>
          <w:szCs w:val="20"/>
          <w:color w:val="auto"/>
        </w:rPr>
      </w:pPr>
    </w:p>
    <w:p>
      <w:pPr>
        <w:jc w:val="both"/>
        <w:ind w:firstLine="1296"/>
        <w:spacing w:after="0" w:line="21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any Person (the “</w:t>
      </w:r>
      <w:r>
        <w:rPr>
          <w:rFonts w:ascii="Arial" w:cs="Arial" w:eastAsia="Arial" w:hAnsi="Arial"/>
          <w:sz w:val="22"/>
          <w:szCs w:val="22"/>
          <w:u w:val="single" w:color="auto"/>
          <w:color w:val="auto"/>
        </w:rPr>
        <w:t>parent</w:t>
      </w:r>
      <w:r>
        <w:rPr>
          <w:rFonts w:ascii="Arial" w:cs="Arial" w:eastAsia="Arial" w:hAnsi="Arial"/>
          <w:sz w:val="22"/>
          <w:szCs w:val="22"/>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and which is required by GAAP to be consolidated in the consolidated financial statements of the parent.</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Supported QFC</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10.20</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Survey</w:t>
      </w:r>
      <w:r>
        <w:rPr>
          <w:rFonts w:ascii="Arial" w:cs="Arial" w:eastAsia="Arial" w:hAnsi="Arial"/>
          <w:sz w:val="22"/>
          <w:szCs w:val="22"/>
          <w:color w:val="auto"/>
        </w:rPr>
        <w:t>” has the meaning specified in Section 5.13(c).</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Swap Agreement</w:t>
      </w:r>
      <w:r>
        <w:rPr>
          <w:rFonts w:ascii="Arial" w:cs="Arial" w:eastAsia="Arial" w:hAnsi="Arial"/>
          <w:sz w:val="22"/>
          <w:szCs w:val="22"/>
          <w:color w:val="auto"/>
        </w:rPr>
        <w:t>” means any agreement with respect to any swap, forward, future or derivative transaction or option or similar agreement involving, or settled by reference to, one or more rates, currencies, commodities, equity or debt instruments or securities, or</w:t>
      </w:r>
    </w:p>
    <w:p>
      <w:pPr>
        <w:sectPr>
          <w:pgSz w:w="11900" w:h="16838" w:orient="portrait"/>
          <w:cols w:equalWidth="0" w:num="1">
            <w:col w:w="11240"/>
          </w:cols>
          <w:pgMar w:left="320" w:top="1401" w:right="339" w:bottom="1440" w:gutter="0" w:footer="0" w:header="0"/>
        </w:sectPr>
      </w:pPr>
    </w:p>
    <w:bookmarkStart w:id="92" w:name="page93"/>
    <w:bookmarkEnd w:id="92"/>
    <w:p>
      <w:pPr>
        <w:jc w:val="both"/>
        <w:spacing w:after="0" w:line="218" w:lineRule="auto"/>
        <w:rPr>
          <w:sz w:val="20"/>
          <w:szCs w:val="20"/>
          <w:color w:val="auto"/>
        </w:rPr>
      </w:pPr>
      <w:r>
        <w:rPr>
          <w:rFonts w:ascii="Arial" w:cs="Arial" w:eastAsia="Arial" w:hAnsi="Arial"/>
          <w:sz w:val="22"/>
          <w:szCs w:val="22"/>
          <w:color w:val="auto"/>
        </w:rPr>
        <w:t xml:space="preserve">economic, financial or pricing indices or measures of economic, financial or pricing risk or value or any similar transaction or any combination of these transactions (including any Permitted Call Spread Transaction);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phantom stock or similar plan providing for payments only on account of services provided by current or former directors, officers, employees or consultants of Holdings or the Subsidiaries shall be a Swap Agreement.</w:t>
      </w:r>
    </w:p>
    <w:p>
      <w:pPr>
        <w:spacing w:after="0" w:line="161"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Obligation</w:t>
      </w:r>
      <w:r>
        <w:rPr>
          <w:rFonts w:ascii="Arial" w:cs="Arial" w:eastAsia="Arial" w:hAnsi="Arial"/>
          <w:sz w:val="19"/>
          <w:szCs w:val="19"/>
          <w:color w:val="auto"/>
        </w:rPr>
        <w:t>” means, with respect to any Guarantor, any obligation to pay or perform under any agreement, contract or transaction that constitutes a “swap” within the meaning of Section 1a(47) of the Commodity Exchange Act.</w:t>
      </w:r>
    </w:p>
    <w:p>
      <w:pPr>
        <w:spacing w:after="0" w:line="105"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any and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Term SOFR</w:t>
      </w:r>
      <w:r>
        <w:rPr>
          <w:rFonts w:ascii="Arial" w:cs="Arial" w:eastAsia="Arial" w:hAnsi="Arial"/>
          <w:sz w:val="21"/>
          <w:szCs w:val="21"/>
          <w:color w:val="FF0000"/>
          <w:strike w:val="1"/>
        </w:rPr>
        <w:t xml:space="preserve">” means, for the applicable Corresponding Tenor as of the applicable Reference Time, </w:t>
      </w:r>
      <w:r>
        <w:rPr>
          <w:rFonts w:ascii="Arial" w:cs="Arial" w:eastAsia="Arial" w:hAnsi="Arial"/>
          <w:sz w:val="21"/>
          <w:szCs w:val="21"/>
          <w:color w:val="008000"/>
          <w:strike w:val="1"/>
        </w:rPr>
        <w:t xml:space="preserve">the forward-looking term rate based on SOFR </w:t>
      </w:r>
      <w:r>
        <w:rPr>
          <w:rFonts w:ascii="Arial" w:cs="Arial" w:eastAsia="Arial" w:hAnsi="Arial"/>
          <w:sz w:val="21"/>
          <w:szCs w:val="21"/>
          <w:color w:val="FF0000"/>
          <w:strike w:val="1"/>
        </w:rPr>
        <w:t>that has been selected or recommended by the Relevant Governmental Body.</w:t>
      </w:r>
    </w:p>
    <w:p>
      <w:pPr>
        <w:spacing w:after="0" w:line="151"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u w:val="single" w:color="auto"/>
          <w:color w:val="0000FF"/>
          <w:highlight w:val="lightGray"/>
        </w:rPr>
        <w:t xml:space="preserve">“Term Benchmark” </w:t>
      </w:r>
      <w:r>
        <w:rPr>
          <w:rFonts w:ascii="Arial" w:cs="Arial" w:eastAsia="Arial" w:hAnsi="Arial"/>
          <w:sz w:val="19"/>
          <w:szCs w:val="19"/>
          <w:u w:val="single" w:color="auto"/>
          <w:color w:val="008000"/>
        </w:rPr>
        <w:t>when used in reference to any Loan or Borrowing, refers to whether such Loan, or the Loans</w:t>
      </w:r>
      <w:r>
        <w:rPr>
          <w:rFonts w:ascii="Arial" w:cs="Arial" w:eastAsia="Arial" w:hAnsi="Arial"/>
          <w:sz w:val="19"/>
          <w:szCs w:val="19"/>
          <w:u w:val="single" w:color="auto"/>
          <w:color w:val="0000FF"/>
          <w:highlight w:val="lightGray"/>
        </w:rPr>
        <w:t xml:space="preserve"> </w:t>
      </w:r>
      <w:r>
        <w:rPr>
          <w:rFonts w:ascii="Arial" w:cs="Arial" w:eastAsia="Arial" w:hAnsi="Arial"/>
          <w:sz w:val="19"/>
          <w:szCs w:val="19"/>
          <w:u w:val="single" w:color="auto"/>
          <w:color w:val="008000"/>
        </w:rPr>
        <w:t xml:space="preserve">comprising such Borrowing, are bearing interest at a rate determined by reference to the Adjusted </w:t>
      </w:r>
      <w:r>
        <w:rPr>
          <w:rFonts w:ascii="Arial" w:cs="Arial" w:eastAsia="Arial" w:hAnsi="Arial"/>
          <w:sz w:val="19"/>
          <w:szCs w:val="19"/>
          <w:u w:val="single" w:color="auto"/>
          <w:color w:val="0000FF"/>
          <w:highlight w:val="lightGray"/>
        </w:rPr>
        <w:t>Term SOFR Rate.</w:t>
      </w:r>
    </w:p>
    <w:p>
      <w:pPr>
        <w:spacing w:after="0" w:line="105"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Term SOFR</w:t>
      </w:r>
      <w:r>
        <w:rPr>
          <w:rFonts w:ascii="Arial" w:cs="Arial" w:eastAsia="Arial" w:hAnsi="Arial"/>
          <w:sz w:val="22"/>
          <w:szCs w:val="22"/>
          <w:color w:val="auto"/>
        </w:rPr>
        <w:t xml:space="preserve"> </w:t>
      </w:r>
      <w:r>
        <w:rPr>
          <w:rFonts w:ascii="Arial" w:cs="Arial" w:eastAsia="Arial" w:hAnsi="Arial"/>
          <w:sz w:val="22"/>
          <w:szCs w:val="22"/>
          <w:u w:val="single" w:color="auto"/>
          <w:color w:val="FF0000"/>
        </w:rPr>
        <w:t>Notice</w:t>
      </w:r>
      <w:r>
        <w:rPr>
          <w:rFonts w:ascii="Arial" w:cs="Arial" w:eastAsia="Arial" w:hAnsi="Arial"/>
          <w:sz w:val="22"/>
          <w:szCs w:val="22"/>
          <w:color w:val="FF0000"/>
        </w:rPr>
        <w:t>” means a notification by the Administrative Agent to the Lenders and the Borrowers of the</w:t>
      </w:r>
      <w:r>
        <w:rPr>
          <w:rFonts w:ascii="Arial" w:cs="Arial" w:eastAsia="Arial" w:hAnsi="Arial"/>
          <w:sz w:val="22"/>
          <w:szCs w:val="22"/>
          <w:color w:val="auto"/>
        </w:rPr>
        <w:t xml:space="preserve"> </w:t>
      </w:r>
      <w:r>
        <w:rPr>
          <w:rFonts w:ascii="Arial" w:cs="Arial" w:eastAsia="Arial" w:hAnsi="Arial"/>
          <w:sz w:val="22"/>
          <w:szCs w:val="22"/>
          <w:color w:val="FF0000"/>
          <w:strike w:val="1"/>
        </w:rPr>
        <w:t xml:space="preserve">occurrence of a Term SOFR Transition Event. </w:t>
      </w:r>
      <w:r>
        <w:rPr>
          <w:rFonts w:ascii="Arial" w:cs="Arial" w:eastAsia="Arial" w:hAnsi="Arial"/>
          <w:sz w:val="22"/>
          <w:szCs w:val="22"/>
          <w:u w:val="single" w:color="auto"/>
          <w:color w:val="0000FF"/>
          <w:highlight w:val="lightGray"/>
          <w:strike w:val="1"/>
        </w:rPr>
        <w:t>Determination Day</w:t>
      </w:r>
      <w:r>
        <w:rPr>
          <w:rFonts w:ascii="Arial" w:cs="Arial" w:eastAsia="Arial" w:hAnsi="Arial"/>
          <w:sz w:val="22"/>
          <w:szCs w:val="22"/>
          <w:u w:val="single" w:color="auto"/>
          <w:color w:val="008000"/>
          <w:strike w:val="1"/>
        </w:rPr>
        <w:t>” has the meaning assigned to it</w:t>
      </w:r>
      <w:r>
        <w:rPr>
          <w:rFonts w:ascii="Arial" w:cs="Arial" w:eastAsia="Arial" w:hAnsi="Arial"/>
          <w:sz w:val="22"/>
          <w:szCs w:val="22"/>
          <w:color w:val="FF0000"/>
          <w:strike w:val="1"/>
        </w:rPr>
        <w:t xml:space="preserve"> </w:t>
      </w:r>
      <w:r>
        <w:rPr>
          <w:rFonts w:ascii="Arial" w:cs="Arial" w:eastAsia="Arial" w:hAnsi="Arial"/>
          <w:sz w:val="22"/>
          <w:szCs w:val="22"/>
          <w:u w:val="single" w:color="auto"/>
          <w:color w:val="0000FF"/>
          <w:highlight w:val="lightGray"/>
          <w:strike w:val="1"/>
        </w:rPr>
        <w:t>under the definition of Term</w:t>
      </w:r>
      <w:r>
        <w:rPr>
          <w:rFonts w:ascii="Arial" w:cs="Arial" w:eastAsia="Arial" w:hAnsi="Arial"/>
          <w:sz w:val="22"/>
          <w:szCs w:val="22"/>
          <w:color w:val="FF0000"/>
          <w:strike w:val="1"/>
        </w:rPr>
        <w:t xml:space="preserve"> </w:t>
      </w:r>
      <w:r>
        <w:rPr>
          <w:rFonts w:ascii="Arial" w:cs="Arial" w:eastAsia="Arial" w:hAnsi="Arial"/>
          <w:sz w:val="22"/>
          <w:szCs w:val="22"/>
          <w:u w:val="single" w:color="auto"/>
          <w:color w:val="0000FF"/>
          <w:highlight w:val="lightGray"/>
          <w:strike w:val="1"/>
        </w:rPr>
        <w:t>SOFR Reference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-356235</wp:posOffset>
            </wp:positionV>
            <wp:extent cx="55289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5528945" cy="8255"/>
                    </a:xfrm>
                    <a:prstGeom prst="rect">
                      <a:avLst/>
                    </a:prstGeom>
                    <a:noFill/>
                  </pic:spPr>
                </pic:pic>
              </a:graphicData>
            </a:graphic>
          </wp:anchor>
        </w:drawing>
      </w:r>
    </w:p>
    <w:p>
      <w:pPr>
        <w:spacing w:after="0" w:line="139"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SOFR</w:t>
      </w:r>
      <w:r>
        <w:rPr>
          <w:rFonts w:ascii="Arial" w:cs="Arial" w:eastAsia="Arial" w:hAnsi="Arial"/>
          <w:sz w:val="19"/>
          <w:szCs w:val="19"/>
          <w:color w:val="auto"/>
        </w:rPr>
        <w:t xml:space="preserve"> </w:t>
      </w:r>
      <w:r>
        <w:rPr>
          <w:rFonts w:ascii="Arial" w:cs="Arial" w:eastAsia="Arial" w:hAnsi="Arial"/>
          <w:sz w:val="19"/>
          <w:szCs w:val="19"/>
          <w:u w:val="single" w:color="auto"/>
          <w:color w:val="FF0000"/>
        </w:rPr>
        <w:t>Transition Event</w:t>
      </w:r>
      <w:r>
        <w:rPr>
          <w:rFonts w:ascii="Arial" w:cs="Arial" w:eastAsia="Arial" w:hAnsi="Arial"/>
          <w:sz w:val="19"/>
          <w:szCs w:val="19"/>
          <w:color w:val="FF0000"/>
        </w:rPr>
        <w:t>” means the determination by the Administrative Agent that (a) Term SOFR has</w:t>
      </w:r>
      <w:r>
        <w:rPr>
          <w:rFonts w:ascii="Arial" w:cs="Arial" w:eastAsia="Arial" w:hAnsi="Arial"/>
          <w:sz w:val="19"/>
          <w:szCs w:val="19"/>
          <w:color w:val="auto"/>
        </w:rPr>
        <w:t xml:space="preserve"> </w:t>
      </w:r>
      <w:r>
        <w:rPr>
          <w:rFonts w:ascii="Arial" w:cs="Arial" w:eastAsia="Arial" w:hAnsi="Arial"/>
          <w:sz w:val="19"/>
          <w:szCs w:val="19"/>
          <w:color w:val="FF0000"/>
          <w:strike w:val="1"/>
        </w:rPr>
        <w:t xml:space="preserve">been recommended for use by the Relevant Governmental Body, (b) the administration of Term SOFR is administratively feasible for the Administrative Agent and (c) </w:t>
      </w:r>
      <w:r>
        <w:rPr>
          <w:rFonts w:ascii="Arial" w:cs="Arial" w:eastAsia="Arial" w:hAnsi="Arial"/>
          <w:sz w:val="19"/>
          <w:szCs w:val="19"/>
          <w:color w:val="008000"/>
          <w:strike w:val="1"/>
        </w:rPr>
        <w:t>a Benchmark Transition Event or</w:t>
      </w:r>
      <w:r>
        <w:rPr>
          <w:rFonts w:ascii="Arial" w:cs="Arial" w:eastAsia="Arial" w:hAnsi="Arial"/>
          <w:sz w:val="19"/>
          <w:szCs w:val="19"/>
          <w:color w:val="FF0000"/>
          <w:strike w:val="1"/>
        </w:rPr>
        <w:t xml:space="preserve"> an Early Opt-in Election, as applicable (and, for the avoidance of doubt, not in the case of an Other Benchmark Rate Election), has previously occurred resulting in a Benchmark Replacement in accordance with Section 2.13 that is not Term SOFR. </w:t>
      </w:r>
      <w:r>
        <w:rPr>
          <w:rFonts w:ascii="Arial" w:cs="Arial" w:eastAsia="Arial" w:hAnsi="Arial"/>
          <w:sz w:val="19"/>
          <w:szCs w:val="19"/>
          <w:u w:val="single" w:color="auto"/>
          <w:color w:val="008000"/>
          <w:strike w:val="1"/>
        </w:rPr>
        <w:t>Rate” means, with respect to any</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highlight w:val="lightGray"/>
          <w:strike w:val="1"/>
        </w:rPr>
        <w:t>Term Benchmark</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highlight w:val="lightGray"/>
          <w:strike w:val="1"/>
        </w:rPr>
        <w:t xml:space="preserve">Borrowing and for any tenor comparable to the applicable Interest Period, the Term SOFR Reference Rate at approximately 5:00 a.m., Chicago time, two U.S. Government Securities </w:t>
      </w:r>
      <w:r>
        <w:rPr>
          <w:rFonts w:ascii="Arial" w:cs="Arial" w:eastAsia="Arial" w:hAnsi="Arial"/>
          <w:sz w:val="19"/>
          <w:szCs w:val="19"/>
          <w:u w:val="single" w:color="auto"/>
          <w:color w:val="008000"/>
          <w:strike w:val="1"/>
        </w:rPr>
        <w:t>Business Days prior to the commencement of such</w:t>
      </w:r>
      <w:r>
        <w:rPr>
          <w:rFonts w:ascii="Arial" w:cs="Arial" w:eastAsia="Arial" w:hAnsi="Arial"/>
          <w:sz w:val="19"/>
          <w:szCs w:val="19"/>
          <w:u w:val="single" w:color="auto"/>
          <w:color w:val="0000FF"/>
          <w:highlight w:val="lightGray"/>
          <w:strike w:val="1"/>
        </w:rPr>
        <w:t xml:space="preserve"> tenor comparable to the applicable Interest Period, as such rate is published by the CME Term SOFR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1621790</wp:posOffset>
            </wp:positionH>
            <wp:positionV relativeFrom="paragraph">
              <wp:posOffset>-1046480</wp:posOffset>
            </wp:positionV>
            <wp:extent cx="55156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5515610" cy="8255"/>
                    </a:xfrm>
                    <a:prstGeom prst="rect">
                      <a:avLst/>
                    </a:prstGeom>
                    <a:noFill/>
                  </pic:spPr>
                </pic:pic>
              </a:graphicData>
            </a:graphic>
          </wp:anchor>
        </w:drawing>
      </w:r>
    </w:p>
    <w:p>
      <w:pPr>
        <w:spacing w:after="0" w:line="132"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u w:val="single" w:color="auto"/>
          <w:color w:val="0000FF"/>
          <w:highlight w:val="lightGray"/>
        </w:rPr>
        <w:t xml:space="preserve">“Term SOFR Reference </w:t>
      </w:r>
      <w:r>
        <w:rPr>
          <w:rFonts w:ascii="Arial" w:cs="Arial" w:eastAsia="Arial" w:hAnsi="Arial"/>
          <w:sz w:val="21"/>
          <w:szCs w:val="21"/>
          <w:u w:val="single" w:color="auto"/>
          <w:color w:val="008000"/>
        </w:rPr>
        <w:t>Rate” means, for any day and time</w:t>
      </w:r>
      <w:r>
        <w:rPr>
          <w:rFonts w:ascii="Arial" w:cs="Arial" w:eastAsia="Arial" w:hAnsi="Arial"/>
          <w:sz w:val="21"/>
          <w:szCs w:val="21"/>
          <w:u w:val="single" w:color="auto"/>
          <w:color w:val="0000FF"/>
          <w:highlight w:val="lightGray"/>
        </w:rPr>
        <w:t xml:space="preserve"> (such day, the “Term SOFR Determination Day”), with respect to any Term Benchmark Borrowing denominated in Dollars and for any tenor comparable to the applicable Interest Period, the rate per annum published by the CME Term SOFR Administrator and identified by the Administrative Agent as </w:t>
      </w:r>
      <w:r>
        <w:rPr>
          <w:rFonts w:ascii="Arial" w:cs="Arial" w:eastAsia="Arial" w:hAnsi="Arial"/>
          <w:sz w:val="21"/>
          <w:szCs w:val="21"/>
          <w:u w:val="single" w:color="auto"/>
          <w:color w:val="008000"/>
        </w:rPr>
        <w:t>the</w:t>
      </w:r>
      <w:r>
        <w:rPr>
          <w:rFonts w:ascii="Arial" w:cs="Arial" w:eastAsia="Arial" w:hAnsi="Arial"/>
          <w:sz w:val="21"/>
          <w:szCs w:val="21"/>
          <w:u w:val="single" w:color="auto"/>
          <w:color w:val="0000FF"/>
          <w:highlight w:val="lightGray"/>
        </w:rPr>
        <w:t xml:space="preserve"> </w:t>
      </w:r>
      <w:r>
        <w:rPr>
          <w:rFonts w:ascii="Arial" w:cs="Arial" w:eastAsia="Arial" w:hAnsi="Arial"/>
          <w:sz w:val="21"/>
          <w:szCs w:val="21"/>
          <w:u w:val="single" w:color="auto"/>
          <w:color w:val="008000"/>
        </w:rPr>
        <w:t>forward-looking term rate based on SOFR</w:t>
      </w:r>
      <w:r>
        <w:rPr>
          <w:rFonts w:ascii="Arial" w:cs="Arial" w:eastAsia="Arial" w:hAnsi="Arial"/>
          <w:sz w:val="21"/>
          <w:szCs w:val="21"/>
          <w:u w:val="single" w:color="auto"/>
          <w:color w:val="0000FF"/>
          <w:highlight w:val="lightGray"/>
        </w:rPr>
        <w:t>. If by 5:00 pm (New York City time) on such Term SOFR Determination Day, the</w:t>
      </w:r>
      <w:r>
        <w:rPr>
          <w:rFonts w:ascii="Arial" w:cs="Arial" w:eastAsia="Arial" w:hAnsi="Arial"/>
          <w:sz w:val="21"/>
          <w:szCs w:val="21"/>
          <w:u w:val="single" w:color="auto"/>
          <w:color w:val="008000"/>
        </w:rPr>
        <w:t xml:space="preserve"> </w:t>
      </w:r>
      <w:r>
        <w:rPr>
          <w:rFonts w:ascii="Arial" w:cs="Arial" w:eastAsia="Arial" w:hAnsi="Arial"/>
          <w:sz w:val="21"/>
          <w:szCs w:val="21"/>
          <w:u w:val="single" w:color="auto"/>
          <w:color w:val="0000FF"/>
          <w:highlight w:val="lightGray"/>
        </w:rPr>
        <w:t>“Term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ectPr>
          <w:pgSz w:w="11900" w:h="16838" w:orient="portrait"/>
          <w:cols w:equalWidth="0" w:num="1">
            <w:col w:w="11240"/>
          </w:cols>
          <w:pgMar w:left="320" w:top="1401" w:right="339" w:bottom="1440" w:gutter="0" w:footer="0" w:header="0"/>
        </w:sectPr>
      </w:pPr>
    </w:p>
    <w:bookmarkStart w:id="93" w:name="page94"/>
    <w:bookmarkEnd w:id="93"/>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10.17(c)</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Title Company</w:t>
      </w:r>
      <w:r>
        <w:rPr>
          <w:rFonts w:ascii="Arial" w:cs="Arial" w:eastAsia="Arial" w:hAnsi="Arial"/>
          <w:sz w:val="22"/>
          <w:szCs w:val="22"/>
          <w:color w:val="auto"/>
        </w:rPr>
        <w:t>” means a nationally recognized and financially stable title insurance company reasonably acceptable to the Administrative Agent retained to issue the Title Policies pursuant to Section 5.13(b).</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Title Policy</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5.13(b)</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Market Cap</w:t>
      </w:r>
      <w:r>
        <w:rPr>
          <w:rFonts w:ascii="Arial" w:cs="Arial" w:eastAsia="Arial" w:hAnsi="Arial"/>
          <w:sz w:val="22"/>
          <w:szCs w:val="22"/>
          <w:color w:val="auto"/>
        </w:rPr>
        <w:t>” means, as at any date of determination, the value of Holdings’ common shares on the principal national securities exchange on which Holdings’ common shares are registered and listed for trading at the close of trading on the preceding Business Day multiplied by the aggregate number of common shares outstanding as of the close of trading on such day.</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10.4(e)</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Utilization of Commitments</w:t>
      </w:r>
      <w:r>
        <w:rPr>
          <w:rFonts w:ascii="Arial" w:cs="Arial" w:eastAsia="Arial" w:hAnsi="Arial"/>
          <w:sz w:val="22"/>
          <w:szCs w:val="22"/>
          <w:color w:val="auto"/>
        </w:rPr>
        <w:t>” means, as at any date of determination, the sum of (a) the aggregate principal amount of all outstanding Revolving Loans and (b) the aggregate Letter of Credit Usage.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Trademarks</w:t>
      </w:r>
      <w:r>
        <w:rPr>
          <w:rFonts w:ascii="Arial" w:cs="Arial" w:eastAsia="Arial" w:hAnsi="Arial"/>
          <w:sz w:val="22"/>
          <w:szCs w:val="22"/>
          <w:color w:val="auto"/>
        </w:rPr>
        <w:t>” has the meaning set forth in the Security Agreement.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Transactions</w:t>
      </w:r>
      <w:r>
        <w:rPr>
          <w:rFonts w:ascii="Arial" w:cs="Arial" w:eastAsia="Arial" w:hAnsi="Arial"/>
          <w:sz w:val="22"/>
          <w:szCs w:val="22"/>
          <w:color w:val="auto"/>
        </w:rPr>
        <w:t>” means the execution, delivery and performance by the Loan Parties of each Loan Document to which it is a party, the borrowing of Loans and the use of the proceeds thereof, the issuance of Letters of Credit and the use thereof, and the granting of Liens in the Collateral under the Collateral Documents.</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xml:space="preserve">”, when used in reference to any Loan or Borrowing, refers to whether the rate of interest on such Loan, or on the Loans comprising such Borrowing, is determined by reference to the Adjusted </w:t>
      </w:r>
      <w:r>
        <w:rPr>
          <w:rFonts w:ascii="Arial" w:cs="Arial" w:eastAsia="Arial" w:hAnsi="Arial"/>
          <w:sz w:val="22"/>
          <w:szCs w:val="22"/>
          <w:color w:val="FF0000"/>
          <w:strike w:val="1"/>
        </w:rPr>
        <w:t>LIBO</w:t>
      </w:r>
      <w:r>
        <w:rPr>
          <w:rFonts w:ascii="Arial" w:cs="Arial" w:eastAsia="Arial" w:hAnsi="Arial"/>
          <w:sz w:val="22"/>
          <w:szCs w:val="22"/>
          <w:u w:val="single" w:color="auto"/>
          <w:color w:val="0000FF"/>
          <w:highlight w:val="lightGray"/>
        </w:rPr>
        <w:t>Term SOFR</w:t>
      </w:r>
      <w:r>
        <w:rPr>
          <w:rFonts w:ascii="Arial" w:cs="Arial" w:eastAsia="Arial" w:hAnsi="Arial"/>
          <w:sz w:val="22"/>
          <w:szCs w:val="22"/>
          <w:color w:val="auto"/>
        </w:rPr>
        <w:t xml:space="preserve"> Rate or the Alternate Base Rate.</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Uniform Commercial Code</w:t>
      </w:r>
      <w:r>
        <w:rPr>
          <w:rFonts w:ascii="Arial" w:cs="Arial" w:eastAsia="Arial" w:hAnsi="Arial"/>
          <w:sz w:val="22"/>
          <w:szCs w:val="22"/>
          <w:color w:val="auto"/>
        </w:rPr>
        <w:t>” shall mean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Government Obligations</w:t>
      </w:r>
      <w:r>
        <w:rPr>
          <w:rFonts w:ascii="Arial" w:cs="Arial" w:eastAsia="Arial" w:hAnsi="Arial"/>
          <w:sz w:val="22"/>
          <w:szCs w:val="22"/>
          <w:color w:val="auto"/>
        </w:rPr>
        <w:t xml:space="preserve">” means obligations issued or directly and fully guaranteed or insured by the United States of America or by any agent or instrumentality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full faith and credit of the United States of America is pledged in support thereof.</w:t>
      </w:r>
    </w:p>
    <w:p>
      <w:pPr>
        <w:spacing w:after="0" w:line="15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u w:val="single" w:color="auto"/>
          <w:color w:val="0000FF"/>
          <w:highlight w:val="lightGray"/>
        </w:rPr>
        <w:t>“U.S. Government Securities Business Day”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Person</w:t>
      </w:r>
      <w:r>
        <w:rPr>
          <w:rFonts w:ascii="Arial" w:cs="Arial" w:eastAsia="Arial" w:hAnsi="Arial"/>
          <w:sz w:val="19"/>
          <w:szCs w:val="19"/>
          <w:color w:val="auto"/>
        </w:rPr>
        <w:t>” means any Person that is a “United States Person” as defined in Section 7701(a)(30) of the Code.</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Special Resolution Regime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10.20</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Subsidiary</w:t>
      </w:r>
      <w:r>
        <w:rPr>
          <w:rFonts w:ascii="Arial" w:cs="Arial" w:eastAsia="Arial" w:hAnsi="Arial"/>
          <w:sz w:val="22"/>
          <w:szCs w:val="22"/>
          <w:color w:val="auto"/>
        </w:rPr>
        <w:t xml:space="preserve"> ” means any Subsidiary incorporated or organized under the laws of the United States of America, any State thereof or the District of Columbia.</w:t>
      </w:r>
    </w:p>
    <w:p>
      <w:pPr>
        <w:sectPr>
          <w:pgSz w:w="11900" w:h="16838" w:orient="portrait"/>
          <w:cols w:equalWidth="0" w:num="1">
            <w:col w:w="11240"/>
          </w:cols>
          <w:pgMar w:left="320" w:top="1401" w:right="339" w:bottom="1440" w:gutter="0" w:footer="0" w:header="0"/>
        </w:sectPr>
      </w:pPr>
    </w:p>
    <w:bookmarkStart w:id="94" w:name="page95"/>
    <w:bookmarkEnd w:id="94"/>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Financial Institutions</w:t>
      </w:r>
      <w:r>
        <w:rPr>
          <w:rFonts w:ascii="Arial" w:cs="Arial" w:eastAsia="Arial" w:hAnsi="Arial"/>
          <w:sz w:val="22"/>
          <w:szCs w:val="22"/>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58"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Resolution Authority</w:t>
      </w:r>
      <w:r>
        <w:rPr>
          <w:rFonts w:ascii="Arial" w:cs="Arial" w:eastAsia="Arial" w:hAnsi="Arial"/>
          <w:sz w:val="22"/>
          <w:szCs w:val="22"/>
          <w:color w:val="auto"/>
        </w:rPr>
        <w:t>” means the Bank of England or any other public administrative authority having responsibility for the resolution of any UK Financial Institution.</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Unadjusted Benchmark Replacement</w:t>
      </w:r>
      <w:r>
        <w:rPr>
          <w:rFonts w:ascii="Arial" w:cs="Arial" w:eastAsia="Arial" w:hAnsi="Arial"/>
          <w:sz w:val="22"/>
          <w:szCs w:val="22"/>
          <w:color w:val="auto"/>
        </w:rPr>
        <w:t>” means the applicable Benchmark Replacement excluding the related Benchmark Replacement Adjustment.</w:t>
      </w:r>
    </w:p>
    <w:p>
      <w:pPr>
        <w:spacing w:after="0" w:line="15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Unfriendly Acquisition</w:t>
      </w:r>
      <w:r>
        <w:rPr>
          <w:rFonts w:ascii="Arial" w:cs="Arial" w:eastAsia="Arial" w:hAnsi="Arial"/>
          <w:sz w:val="22"/>
          <w:szCs w:val="22"/>
          <w:color w:val="auto"/>
        </w:rPr>
        <w:t>” means any acquisition that has not, at the time of the first public announcement of an offer relating thereto, been approved by the board of directors (or other legally recognized governing body) of the Person to be acquired; except that with respect to any acquisition of a non-U.S. Person, an otherwise friendly acquisition shall not be deemed to be unfriendly if it is not customary in such jurisdiction to obtain such approval prior to the first public announcement of an offer relating to a friendly acquisition.</w:t>
      </w:r>
    </w:p>
    <w:p>
      <w:pPr>
        <w:spacing w:after="0" w:line="15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Unfunded Pension Liability</w:t>
      </w:r>
      <w:r>
        <w:rPr>
          <w:rFonts w:ascii="Arial" w:cs="Arial" w:eastAsia="Arial" w:hAnsi="Arial"/>
          <w:sz w:val="22"/>
          <w:szCs w:val="22"/>
          <w:color w:val="auto"/>
        </w:rPr>
        <w:t>” means the excess of a Pension Plan’s benefit liabilities under Section 4001(a)(16) of ERISA, over the current value of that Pension Plan’s assets, determined in accordance with the assumptions used for funding the Pension Plan pursuant to Section 412 of the Code for the applicable plan year.</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Unrestricted</w:t>
      </w:r>
      <w:r>
        <w:rPr>
          <w:rFonts w:ascii="Arial" w:cs="Arial" w:eastAsia="Arial" w:hAnsi="Arial"/>
          <w:sz w:val="19"/>
          <w:szCs w:val="19"/>
          <w:color w:val="auto"/>
        </w:rPr>
        <w:t>” means, when referring to cash or Cash Equivalents, that such cash or Cash Equivalents are not</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Restricted.</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Subsidiary</w:t>
      </w:r>
      <w:r>
        <w:rPr>
          <w:rFonts w:ascii="Arial" w:cs="Arial" w:eastAsia="Arial" w:hAnsi="Arial"/>
          <w:sz w:val="22"/>
          <w:szCs w:val="22"/>
          <w:color w:val="auto"/>
        </w:rPr>
        <w:t xml:space="preserve">” means any Subsidiary that at the time of determination has previously been designated, and continues to be, an Unrestricted Subsidiary in accordance with </w:t>
      </w:r>
      <w:r>
        <w:rPr>
          <w:rFonts w:ascii="Arial" w:cs="Arial" w:eastAsia="Arial" w:hAnsi="Arial"/>
          <w:sz w:val="22"/>
          <w:szCs w:val="22"/>
          <w:u w:val="single" w:color="auto"/>
          <w:color w:val="auto"/>
        </w:rPr>
        <w:t>Section 5.12</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USA Patriot Act</w:t>
      </w:r>
      <w:r>
        <w:rPr>
          <w:rFonts w:ascii="Arial" w:cs="Arial" w:eastAsia="Arial" w:hAnsi="Arial"/>
          <w:sz w:val="22"/>
          <w:szCs w:val="22"/>
          <w:color w:val="auto"/>
        </w:rPr>
        <w:t>” means the Uniting and Strengthening America by Providing Appropriate Tools Required to Intercept and Obstruct Terrorism Act of 2001 (Title III of Pub. L. No. 107-56 (signed into law October 26, 2001)), as amended from time to time.</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Voting Equity Interests</w:t>
      </w:r>
      <w:r>
        <w:rPr>
          <w:rFonts w:ascii="Arial" w:cs="Arial" w:eastAsia="Arial" w:hAnsi="Arial"/>
          <w:sz w:val="22"/>
          <w:szCs w:val="22"/>
          <w:color w:val="auto"/>
        </w:rPr>
        <w:t>” in a Person means Equity Interests in such Person of the class or classes the holders of which are entitled (without regard to the occurrence of any contingency) to vote in the election of the Person or Persons (whether directors, trustees or other Persons performing similar functions) having the power to direct or cause the direction of the management and policies of such Person.</w:t>
      </w:r>
    </w:p>
    <w:p>
      <w:pPr>
        <w:spacing w:after="0" w:line="161"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wholly owned</w:t>
      </w:r>
      <w:r>
        <w:rPr>
          <w:rFonts w:ascii="Arial" w:cs="Arial" w:eastAsia="Arial" w:hAnsi="Arial"/>
          <w:sz w:val="22"/>
          <w:szCs w:val="22"/>
          <w:color w:val="auto"/>
        </w:rPr>
        <w:t>”, when used in reference to a subsidiary of any Person, means that all the Equity Interests in such subsidiary (other than directors’ qualifying shares and other nominal amounts of Equity Interests that are required to be held by other Persons under applicable law) are owned, beneficially and of record, by such Person, another wholly owned subsidiary of such Person or any combination thereof.</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Withholding Agent</w:t>
      </w:r>
      <w:r>
        <w:rPr>
          <w:rFonts w:ascii="Arial" w:cs="Arial" w:eastAsia="Arial" w:hAnsi="Arial"/>
          <w:sz w:val="22"/>
          <w:szCs w:val="22"/>
          <w:color w:val="auto"/>
        </w:rPr>
        <w:t>” means the Borrowers and the Administrative Agent.</w:t>
      </w:r>
    </w:p>
    <w:p>
      <w:pPr>
        <w:spacing w:after="0" w:line="17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w:t>
      </w:r>
    </w:p>
    <w:p>
      <w:pPr>
        <w:sectPr>
          <w:pgSz w:w="11900" w:h="16838" w:orient="portrait"/>
          <w:cols w:equalWidth="0" w:num="1">
            <w:col w:w="11240"/>
          </w:cols>
          <w:pgMar w:left="320" w:top="1401" w:right="339" w:bottom="1440" w:gutter="0" w:footer="0" w:header="0"/>
        </w:sectPr>
      </w:pPr>
    </w:p>
    <w:bookmarkStart w:id="95" w:name="page96"/>
    <w:bookmarkEnd w:id="95"/>
    <w:p>
      <w:pPr>
        <w:jc w:val="both"/>
        <w:spacing w:after="0" w:line="214" w:lineRule="auto"/>
        <w:rPr>
          <w:sz w:val="20"/>
          <w:szCs w:val="20"/>
          <w:color w:val="auto"/>
        </w:rPr>
      </w:pPr>
      <w:r>
        <w:rPr>
          <w:rFonts w:ascii="Arial" w:cs="Arial" w:eastAsia="Arial" w:hAnsi="Arial"/>
          <w:sz w:val="22"/>
          <w:szCs w:val="22"/>
          <w:color w:val="auto"/>
        </w:rPr>
        <w:t>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59"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Classification of Loans and Borrowings</w:t>
      </w:r>
      <w:r>
        <w:rPr>
          <w:rFonts w:ascii="Arial" w:cs="Arial" w:eastAsia="Arial" w:hAnsi="Arial"/>
          <w:sz w:val="19"/>
          <w:szCs w:val="19"/>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For purposes of this Agreement, Loans may be classified and referred to by Type (</w:t>
      </w:r>
      <w:r>
        <w:rPr>
          <w:rFonts w:ascii="Arial" w:cs="Arial" w:eastAsia="Arial" w:hAnsi="Arial"/>
          <w:sz w:val="22"/>
          <w:szCs w:val="22"/>
          <w:u w:val="single" w:color="auto"/>
          <w:color w:val="auto"/>
        </w:rPr>
        <w:t>e.g.</w:t>
      </w:r>
      <w:r>
        <w:rPr>
          <w:rFonts w:ascii="Arial" w:cs="Arial" w:eastAsia="Arial" w:hAnsi="Arial"/>
          <w:sz w:val="22"/>
          <w:szCs w:val="22"/>
          <w:color w:val="auto"/>
        </w:rPr>
        <w:t>, a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highlight w:val="lightGray"/>
        </w:rPr>
        <w:t>Term</w:t>
      </w:r>
      <w:r>
        <w:rPr>
          <w:rFonts w:ascii="Arial" w:cs="Arial" w:eastAsia="Arial" w:hAnsi="Arial"/>
          <w:sz w:val="22"/>
          <w:szCs w:val="22"/>
          <w:color w:val="auto"/>
        </w:rPr>
        <w:t xml:space="preserve"> </w:t>
      </w:r>
      <w:r>
        <w:rPr>
          <w:rFonts w:ascii="Arial" w:cs="Arial" w:eastAsia="Arial" w:hAnsi="Arial"/>
          <w:sz w:val="22"/>
          <w:szCs w:val="22"/>
          <w:u w:val="single" w:color="auto"/>
          <w:color w:val="0000FF"/>
          <w:highlight w:val="lightGray"/>
        </w:rPr>
        <w:t>Benchmark</w:t>
      </w:r>
      <w:r>
        <w:rPr>
          <w:rFonts w:ascii="Arial" w:cs="Arial" w:eastAsia="Arial" w:hAnsi="Arial"/>
          <w:sz w:val="22"/>
          <w:szCs w:val="22"/>
          <w:color w:val="0000FF"/>
          <w:highlight w:val="lightGray"/>
        </w:rPr>
        <w:t xml:space="preserve"> </w:t>
      </w:r>
      <w:r>
        <w:rPr>
          <w:rFonts w:ascii="Arial" w:cs="Arial" w:eastAsia="Arial" w:hAnsi="Arial"/>
          <w:sz w:val="22"/>
          <w:szCs w:val="22"/>
          <w:color w:val="000000"/>
        </w:rPr>
        <w:t>Loan” or an “ABR Loan”). Borrowings also may be classified and referred to by Type (</w:t>
      </w:r>
      <w:r>
        <w:rPr>
          <w:rFonts w:ascii="Arial" w:cs="Arial" w:eastAsia="Arial" w:hAnsi="Arial"/>
          <w:sz w:val="22"/>
          <w:szCs w:val="22"/>
          <w:u w:val="single" w:color="auto"/>
          <w:color w:val="000000"/>
        </w:rPr>
        <w:t>e.g.</w:t>
      </w:r>
      <w:r>
        <w:rPr>
          <w:rFonts w:ascii="Arial" w:cs="Arial" w:eastAsia="Arial" w:hAnsi="Arial"/>
          <w:sz w:val="22"/>
          <w:szCs w:val="22"/>
          <w:color w:val="000000"/>
        </w:rPr>
        <w:t>, a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highlight w:val="lightGray"/>
        </w:rPr>
        <w:t>Term</w:t>
      </w:r>
      <w:r>
        <w:rPr>
          <w:rFonts w:ascii="Arial" w:cs="Arial" w:eastAsia="Arial" w:hAnsi="Arial"/>
          <w:sz w:val="22"/>
          <w:szCs w:val="22"/>
          <w:color w:val="0000FF"/>
          <w:highlight w:val="lightGray"/>
        </w:rPr>
        <w:t xml:space="preserve"> </w:t>
      </w:r>
      <w:r>
        <w:rPr>
          <w:rFonts w:ascii="Arial" w:cs="Arial" w:eastAsia="Arial" w:hAnsi="Arial"/>
          <w:sz w:val="22"/>
          <w:szCs w:val="22"/>
          <w:u w:val="single" w:color="auto"/>
          <w:color w:val="0000FF"/>
          <w:highlight w:val="lightGray"/>
        </w:rPr>
        <w:t>Benchmark</w:t>
      </w:r>
      <w:r>
        <w:rPr>
          <w:rFonts w:ascii="Arial" w:cs="Arial" w:eastAsia="Arial" w:hAnsi="Arial"/>
          <w:sz w:val="22"/>
          <w:szCs w:val="22"/>
          <w:color w:val="0000FF"/>
          <w:highlight w:val="lightGray"/>
        </w:rPr>
        <w:t xml:space="preserve"> </w:t>
      </w:r>
      <w:r>
        <w:rPr>
          <w:rFonts w:ascii="Arial" w:cs="Arial" w:eastAsia="Arial" w:hAnsi="Arial"/>
          <w:sz w:val="22"/>
          <w:szCs w:val="22"/>
          <w:color w:val="000000"/>
        </w:rPr>
        <w:t>Borrowing” or an “ABR Borrowing”).</w:t>
      </w:r>
    </w:p>
    <w:p>
      <w:pPr>
        <w:spacing w:after="0" w:line="159"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19"/>
          <w:szCs w:val="19"/>
          <w:u w:val="single" w:color="auto"/>
          <w:color w:val="auto"/>
        </w:rPr>
        <w:t>Terms Generally</w:t>
      </w:r>
      <w:r>
        <w:rPr>
          <w:rFonts w:ascii="Arial" w:cs="Arial" w:eastAsia="Arial" w:hAnsi="Arial"/>
          <w:sz w:val="19"/>
          <w:szCs w:val="19"/>
          <w:color w:val="auto"/>
        </w:rPr>
        <w:t>.</w:t>
      </w:r>
    </w:p>
    <w:p>
      <w:pPr>
        <w:spacing w:after="0" w:line="179"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amended and restated, supplemented or otherwise modified (subject to any restrictions on such amendments, restatements, amendments and restatements, supplements or modifications set forth herein),</w:t>
      </w:r>
    </w:p>
    <w:p>
      <w:pPr>
        <w:spacing w:after="0" w:line="1" w:lineRule="exact"/>
        <w:rPr>
          <w:sz w:val="20"/>
          <w:szCs w:val="20"/>
          <w:color w:val="auto"/>
        </w:rPr>
      </w:pPr>
    </w:p>
    <w:p>
      <w:pPr>
        <w:jc w:val="both"/>
        <w:ind w:firstLine="8"/>
        <w:spacing w:after="0" w:line="243" w:lineRule="auto"/>
        <w:tabs>
          <w:tab w:leader="none" w:pos="310" w:val="left"/>
        </w:tabs>
        <w:numPr>
          <w:ilvl w:val="0"/>
          <w:numId w:val="63"/>
        </w:numPr>
        <w:rPr>
          <w:rFonts w:ascii="Arial" w:cs="Arial" w:eastAsia="Arial" w:hAnsi="Arial"/>
          <w:sz w:val="19"/>
          <w:szCs w:val="19"/>
          <w:color w:val="auto"/>
        </w:rPr>
      </w:pPr>
      <w:r>
        <w:rPr>
          <w:rFonts w:ascii="Arial" w:cs="Arial" w:eastAsia="Arial" w:hAnsi="Arial"/>
          <w:sz w:val="19"/>
          <w:szCs w:val="19"/>
          <w:color w:val="auto"/>
        </w:rPr>
        <w:t>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and all tangible and intangible assets and properties, including cash, securities, accounts and contract rights and (f)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w:t>
      </w:r>
    </w:p>
    <w:p>
      <w:pPr>
        <w:spacing w:after="0" w:line="156"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u w:val="single" w:color="auto"/>
          <w:color w:val="auto"/>
        </w:rPr>
        <w:t>Accounting Terms; GAAP</w:t>
      </w:r>
      <w:r>
        <w:rPr>
          <w:rFonts w:ascii="Arial" w:cs="Arial" w:eastAsia="Arial" w:hAnsi="Arial"/>
          <w:sz w:val="19"/>
          <w:szCs w:val="19"/>
          <w:color w:val="auto"/>
        </w:rPr>
        <w:t>.</w:t>
      </w:r>
    </w:p>
    <w:p>
      <w:pPr>
        <w:spacing w:after="0" w:line="17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Except as otherwise expressly provided herein, all terms of an accounting or financial nature shall be construed in accordance with GAAP, as in effect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Borrowers notify the Administrative Agent that the Borrowers request an amendment to any provision hereof to eliminate the effect of any change occurring after the Effective Date in GAAP or in the application thereof on the operation of such provision (or if the Administrative Agent notifies the Borrowers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has been amended in accordance herewith. Notwithstanding the foregoing, all financial statements delivered hereunder shall be prepared, and all financial covenants contained herein shall be calculated, without giving effect to any election under the Statement of Financial Accounting</w:t>
      </w:r>
    </w:p>
    <w:p>
      <w:pPr>
        <w:sectPr>
          <w:pgSz w:w="11900" w:h="16838" w:orient="portrait"/>
          <w:cols w:equalWidth="0" w:num="1">
            <w:col w:w="11240"/>
          </w:cols>
          <w:pgMar w:left="320" w:top="1401" w:right="339" w:bottom="1440" w:gutter="0" w:footer="0" w:header="0"/>
        </w:sectPr>
      </w:pPr>
    </w:p>
    <w:bookmarkStart w:id="96" w:name="page97"/>
    <w:bookmarkEnd w:id="96"/>
    <w:p>
      <w:pPr>
        <w:spacing w:after="0" w:line="232" w:lineRule="auto"/>
        <w:rPr>
          <w:sz w:val="20"/>
          <w:szCs w:val="20"/>
          <w:color w:val="auto"/>
        </w:rPr>
      </w:pPr>
      <w:r>
        <w:rPr>
          <w:rFonts w:ascii="Arial" w:cs="Arial" w:eastAsia="Arial" w:hAnsi="Arial"/>
          <w:sz w:val="22"/>
          <w:szCs w:val="22"/>
          <w:color w:val="auto"/>
        </w:rPr>
        <w:t>Standards No. 159 (ASC 825) (or any similar accounting principle) permitting or requiring a Person to value its financial liabilities or Indebtedness at the fair value thereof.</w:t>
      </w:r>
    </w:p>
    <w:p>
      <w:pPr>
        <w:spacing w:after="0" w:line="159"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22"/>
          <w:szCs w:val="22"/>
          <w:color w:val="auto"/>
        </w:rPr>
        <w:t>Section 1.5</w:t>
      </w:r>
      <w:r>
        <w:rPr>
          <w:sz w:val="20"/>
          <w:szCs w:val="20"/>
          <w:color w:val="auto"/>
        </w:rPr>
        <w:tab/>
      </w:r>
      <w:r>
        <w:rPr>
          <w:rFonts w:ascii="Arial" w:cs="Arial" w:eastAsia="Arial" w:hAnsi="Arial"/>
          <w:sz w:val="19"/>
          <w:szCs w:val="19"/>
          <w:u w:val="single" w:color="auto"/>
          <w:color w:val="auto"/>
        </w:rPr>
        <w:t>Letter of Credit Amounts</w:t>
      </w:r>
      <w:r>
        <w:rPr>
          <w:rFonts w:ascii="Arial" w:cs="Arial" w:eastAsia="Arial" w:hAnsi="Arial"/>
          <w:sz w:val="19"/>
          <w:szCs w:val="19"/>
          <w:color w:val="auto"/>
        </w:rPr>
        <w:t>.</w:t>
      </w:r>
    </w:p>
    <w:p>
      <w:pPr>
        <w:spacing w:after="0" w:line="179" w:lineRule="exact"/>
        <w:rPr>
          <w:sz w:val="20"/>
          <w:szCs w:val="20"/>
          <w:color w:val="auto"/>
        </w:rPr>
      </w:pPr>
    </w:p>
    <w:p>
      <w:pPr>
        <w:jc w:val="both"/>
        <w:ind w:left="80" w:firstLine="1305"/>
        <w:spacing w:after="0" w:line="226" w:lineRule="auto"/>
        <w:tabs>
          <w:tab w:leader="none" w:pos="1860" w:val="left"/>
        </w:tabs>
        <w:numPr>
          <w:ilvl w:val="0"/>
          <w:numId w:val="64"/>
        </w:numPr>
        <w:rPr>
          <w:rFonts w:ascii="Arial" w:cs="Arial" w:eastAsia="Arial" w:hAnsi="Arial"/>
          <w:sz w:val="21"/>
          <w:szCs w:val="21"/>
          <w:color w:val="auto"/>
        </w:rPr>
      </w:pPr>
      <w:r>
        <w:rPr>
          <w:rFonts w:ascii="Arial" w:cs="Arial" w:eastAsia="Arial" w:hAnsi="Arial"/>
          <w:sz w:val="21"/>
          <w:szCs w:val="21"/>
          <w:color w:val="auto"/>
        </w:rPr>
        <w:t xml:space="preserve">Unless otherwise specified herein, the amount of any Letter of Credit at any time shall be deemed to be the stated amount of such Letter of Credit in effect at such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with respect to any Letter of Credit that by its terms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59" w:lineRule="exact"/>
        <w:rPr>
          <w:rFonts w:ascii="Arial" w:cs="Arial" w:eastAsia="Arial" w:hAnsi="Arial"/>
          <w:sz w:val="21"/>
          <w:szCs w:val="21"/>
          <w:color w:val="auto"/>
        </w:rPr>
      </w:pPr>
    </w:p>
    <w:p>
      <w:pPr>
        <w:jc w:val="both"/>
        <w:ind w:left="80" w:firstLine="1305"/>
        <w:spacing w:after="0" w:line="246" w:lineRule="auto"/>
        <w:tabs>
          <w:tab w:leader="none" w:pos="1887"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Administrative Agent shall determine the Dollar Equivalent of any Letter of Credit denominated in an Alternative Currency as of the date such Letter of Credit is issued, amended to increase its face amount or extended, on the first Business Day of each calendar month on which such Letter of Credit is outstanding and as of such other dates as the Administrative Agent shall in its discretion determine, and each such amount shall be the Dollar Equivalent of such Letter of Credit until the next calculation thereof pursuant to this Section. The Administrative Agent shall determine the Dollar Equivalent of any drawing honored under a Letter of Credit denominated in an Alternative Currency as of the Disbursement Date applicable thereto. The Administrative Agent shall notify the Borrowers, the Lenders and the applicable Issuing Bank of each determination of the Dollar Equivalent of each Letter of Credit and Letter of Credit disbursement.</w:t>
      </w:r>
    </w:p>
    <w:p>
      <w:pPr>
        <w:spacing w:after="0" w:line="152"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Divisions</w:t>
      </w:r>
      <w:r>
        <w:rPr>
          <w:rFonts w:ascii="Arial" w:cs="Arial" w:eastAsia="Arial" w:hAnsi="Arial"/>
          <w:sz w:val="22"/>
          <w:szCs w:val="22"/>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5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 xml:space="preserve">Section 1.7 </w:t>
      </w:r>
      <w:r>
        <w:rPr>
          <w:rFonts w:ascii="Arial" w:cs="Arial" w:eastAsia="Arial" w:hAnsi="Arial"/>
          <w:sz w:val="19"/>
          <w:szCs w:val="19"/>
          <w:u w:val="single" w:color="auto"/>
          <w:color w:val="auto"/>
        </w:rPr>
        <w:t>Interest Rate;</w:t>
      </w:r>
      <w:r>
        <w:rPr>
          <w:rFonts w:ascii="Arial" w:cs="Arial" w:eastAsia="Arial" w:hAnsi="Arial"/>
          <w:sz w:val="19"/>
          <w:szCs w:val="19"/>
          <w:color w:val="auto"/>
        </w:rPr>
        <w:t xml:space="preserve"> </w:t>
      </w:r>
      <w:r>
        <w:rPr>
          <w:rFonts w:ascii="Arial" w:cs="Arial" w:eastAsia="Arial" w:hAnsi="Arial"/>
          <w:sz w:val="19"/>
          <w:szCs w:val="19"/>
          <w:u w:val="single" w:color="auto"/>
          <w:color w:val="FF0000"/>
          <w:strike w:val="1"/>
        </w:rPr>
        <w:t>LIBOR</w:t>
      </w:r>
      <w:r>
        <w:rPr>
          <w:rFonts w:ascii="Arial" w:cs="Arial" w:eastAsia="Arial" w:hAnsi="Arial"/>
          <w:sz w:val="19"/>
          <w:szCs w:val="19"/>
          <w:u w:val="single" w:color="auto"/>
          <w:color w:val="0000FF"/>
          <w:highlight w:val="lightGray"/>
        </w:rPr>
        <w:t>Benchmark</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Notification</w:t>
      </w:r>
      <w:r>
        <w:rPr>
          <w:rFonts w:ascii="Arial" w:cs="Arial" w:eastAsia="Arial" w:hAnsi="Arial"/>
          <w:sz w:val="19"/>
          <w:szCs w:val="19"/>
          <w:color w:val="auto"/>
        </w:rPr>
        <w:t xml:space="preserve">. The interest rate on a Loan may be derived from an interest rate benchmark that </w:t>
      </w:r>
      <w:r>
        <w:rPr>
          <w:rFonts w:ascii="Arial" w:cs="Arial" w:eastAsia="Arial" w:hAnsi="Arial"/>
          <w:sz w:val="19"/>
          <w:szCs w:val="19"/>
          <w:u w:val="single" w:color="auto"/>
          <w:color w:val="0000FF"/>
          <w:highlight w:val="lightGray"/>
        </w:rPr>
        <w:t>may be discontinued or</w:t>
      </w:r>
      <w:r>
        <w:rPr>
          <w:rFonts w:ascii="Arial" w:cs="Arial" w:eastAsia="Arial" w:hAnsi="Arial"/>
          <w:sz w:val="19"/>
          <w:szCs w:val="19"/>
          <w:color w:val="auto"/>
        </w:rPr>
        <w:t xml:space="preserve"> is, or may in the future become, the subject of regulatory reform. </w:t>
      </w:r>
      <w:r>
        <w:rPr>
          <w:rFonts w:ascii="Arial" w:cs="Arial" w:eastAsia="Arial" w:hAnsi="Arial"/>
          <w:sz w:val="19"/>
          <w:szCs w:val="19"/>
          <w:color w:val="FF0000"/>
          <w:strike w:val="1"/>
        </w:rPr>
        <w:t>Regulators</w:t>
      </w:r>
      <w:r>
        <w:rPr>
          <w:rFonts w:ascii="Arial" w:cs="Arial" w:eastAsia="Arial" w:hAnsi="Arial"/>
          <w:sz w:val="19"/>
          <w:szCs w:val="19"/>
          <w:color w:val="auto"/>
        </w:rPr>
        <w:t xml:space="preserve"> </w:t>
      </w:r>
      <w:r>
        <w:rPr>
          <w:rFonts w:ascii="Arial" w:cs="Arial" w:eastAsia="Arial" w:hAnsi="Arial"/>
          <w:sz w:val="19"/>
          <w:szCs w:val="19"/>
          <w:color w:val="FF0000"/>
          <w:strike w:val="1"/>
        </w:rPr>
        <w:t>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The London interbank offered rate (“</w:t>
      </w:r>
      <w:r>
        <w:rPr>
          <w:rFonts w:ascii="Arial" w:cs="Arial" w:eastAsia="Arial" w:hAnsi="Arial"/>
          <w:sz w:val="19"/>
          <w:szCs w:val="19"/>
          <w:u w:val="single" w:color="auto"/>
          <w:color w:val="FF0000"/>
          <w:strike w:val="1"/>
        </w:rPr>
        <w:t>LIBOR</w:t>
      </w:r>
      <w:r>
        <w:rPr>
          <w:rFonts w:ascii="Arial" w:cs="Arial" w:eastAsia="Arial" w:hAnsi="Arial"/>
          <w:sz w:val="19"/>
          <w:szCs w:val="19"/>
          <w:color w:val="FF0000"/>
          <w:strike w:val="1"/>
        </w:rPr>
        <w:t>”) is intended to represent the rate at which contributing banks may obtain short-term borrowings from each other in the London interbank market. On March 5, 2021, the U.K. Financial Conduct Authority (“</w:t>
      </w:r>
      <w:r>
        <w:rPr>
          <w:rFonts w:ascii="Arial" w:cs="Arial" w:eastAsia="Arial" w:hAnsi="Arial"/>
          <w:sz w:val="19"/>
          <w:szCs w:val="19"/>
          <w:u w:val="single" w:color="auto"/>
          <w:color w:val="FF0000"/>
          <w:strike w:val="1"/>
        </w:rPr>
        <w:t>FCA</w:t>
      </w:r>
      <w:r>
        <w:rPr>
          <w:rFonts w:ascii="Arial" w:cs="Arial" w:eastAsia="Arial" w:hAnsi="Arial"/>
          <w:sz w:val="19"/>
          <w:szCs w:val="19"/>
          <w:color w:val="FF0000"/>
          <w:strike w:val="1"/>
        </w:rPr>
        <w:t>”) publicly announced that: (a) immediately after December 31, 2021, publication of all seven euro LIBOR settings, all seven Swiss Franc LIBOR settings, the spot next, 1-week, 2-month and 12-month Japanese Yen LIBOR settings, the overnight, 1-week, 2-month and 12-month British Pound Sterling LIBOR settings, and the 1-week and 2-month U.S. Dollar LIBOR settings will permanently cease; immediately after June 30, 2023, publication of the overnight and 12-month U.S. Dollar LIBOR settings will permanently cease; immediately after December 31, 2021, the 1-month, 3-month and 6-month Japanese Yen LIBOR settings and the 1-month, 3-month and 6-month British Pound Sterling LIBOR settings will cease to be provided or, subject to consultation by the FCA, be provided on a changed methodology (or “synthetic”) basis and no longer be representative of the underlying market and economic reality they are intended to measure and that representativeness will not be restored; and immediately after June 30, 2023, the 1-month, 3-month and 6-month U.S. Dollar LIBOR settings will cease to be provided or, subject to the FCA’s consideration of the case, be provided on a synthetic basis and no longer be representative</w:t>
      </w:r>
    </w:p>
    <w:p>
      <w:pPr>
        <w:sectPr>
          <w:pgSz w:w="11900" w:h="16838" w:orient="portrait"/>
          <w:cols w:equalWidth="0" w:num="1">
            <w:col w:w="11240"/>
          </w:cols>
          <w:pgMar w:left="320" w:top="1401" w:right="339" w:bottom="1440" w:gutter="0" w:footer="0" w:header="0"/>
        </w:sectPr>
      </w:pPr>
    </w:p>
    <w:bookmarkStart w:id="97" w:name="page98"/>
    <w:bookmarkEnd w:id="97"/>
    <w:p>
      <w:pPr>
        <w:jc w:val="both"/>
        <w:spacing w:after="0" w:line="238" w:lineRule="auto"/>
        <w:rPr>
          <w:sz w:val="20"/>
          <w:szCs w:val="20"/>
          <w:color w:val="auto"/>
        </w:rPr>
      </w:pPr>
      <w:r>
        <w:rPr>
          <w:rFonts w:ascii="Arial" w:cs="Arial" w:eastAsia="Arial" w:hAnsi="Arial"/>
          <w:sz w:val="19"/>
          <w:szCs w:val="19"/>
          <w:color w:val="FF0000"/>
          <w:strike w:val="1"/>
        </w:rPr>
        <w:t xml:space="preserve">of the underlying market and economic reality they are intended to measure and that representativeness will not be restored. There is no assurance that dates announced by the FCA will not change or that the administrator of LIBOR and/or regulators will not take further action that could impact the availability, composition, or characteristics of LIBOR or the currencies and/or tenors for which LIBOR is published. Each party to this agreement should consult its own advisors to stay informed of any such developments. Public and private sector industry initiatives are currently underway to identify new or alternative reference rates to be used in place of LIBOR. </w:t>
      </w:r>
      <w:r>
        <w:rPr>
          <w:rFonts w:ascii="Arial" w:cs="Arial" w:eastAsia="Arial" w:hAnsi="Arial"/>
          <w:sz w:val="19"/>
          <w:szCs w:val="19"/>
          <w:color w:val="000000"/>
          <w:strike w:val="1"/>
        </w:rPr>
        <w:t>Upon the occurrence of a Benchmark Transition Event,</w:t>
      </w:r>
      <w:r>
        <w:rPr>
          <w:rFonts w:ascii="Arial" w:cs="Arial" w:eastAsia="Arial" w:hAnsi="Arial"/>
          <w:sz w:val="19"/>
          <w:szCs w:val="19"/>
          <w:color w:val="FF0000"/>
          <w:strike w:val="1"/>
        </w:rPr>
        <w:t xml:space="preserve"> a Term SOFR Transition Event, an Early Opt-in Election or an Other Benchmark Rate Election, </w:t>
      </w:r>
      <w:r>
        <w:rPr>
          <w:rFonts w:ascii="Arial" w:cs="Arial" w:eastAsia="Arial" w:hAnsi="Arial"/>
          <w:sz w:val="19"/>
          <w:szCs w:val="19"/>
          <w:color w:val="000000"/>
          <w:strike w:val="1"/>
        </w:rPr>
        <w:t>Section</w:t>
      </w:r>
      <w:r>
        <w:rPr>
          <w:rFonts w:ascii="Arial" w:cs="Arial" w:eastAsia="Arial" w:hAnsi="Arial"/>
          <w:sz w:val="19"/>
          <w:szCs w:val="19"/>
          <w:color w:val="FF0000"/>
          <w:strike w:val="1"/>
        </w:rPr>
        <w:t xml:space="preserve">s </w:t>
      </w:r>
      <w:r>
        <w:rPr>
          <w:rFonts w:ascii="Arial" w:cs="Arial" w:eastAsia="Arial" w:hAnsi="Arial"/>
          <w:sz w:val="19"/>
          <w:szCs w:val="19"/>
          <w:color w:val="000000"/>
          <w:strike w:val="1"/>
        </w:rPr>
        <w:t>2.13(b)</w:t>
      </w:r>
      <w:r>
        <w:rPr>
          <w:rFonts w:ascii="Arial" w:cs="Arial" w:eastAsia="Arial" w:hAnsi="Arial"/>
          <w:sz w:val="19"/>
          <w:szCs w:val="19"/>
          <w:color w:val="FF0000"/>
          <w:strike w:val="1"/>
        </w:rPr>
        <w:t xml:space="preserve"> and (c) </w:t>
      </w:r>
      <w:r>
        <w:rPr>
          <w:rFonts w:ascii="Arial" w:cs="Arial" w:eastAsia="Arial" w:hAnsi="Arial"/>
          <w:sz w:val="19"/>
          <w:szCs w:val="19"/>
          <w:color w:val="000000"/>
          <w:strike w:val="1"/>
        </w:rPr>
        <w:t>provide</w:t>
      </w:r>
      <w:r>
        <w:rPr>
          <w:rFonts w:ascii="Arial" w:cs="Arial" w:eastAsia="Arial" w:hAnsi="Arial"/>
          <w:sz w:val="19"/>
          <w:szCs w:val="19"/>
          <w:u w:val="single" w:color="auto"/>
          <w:color w:val="0000FF"/>
          <w:highlight w:val="lightGray"/>
          <w:strike w:val="1"/>
        </w:rPr>
        <w:t>s</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a mechanism for determining an</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 xml:space="preserve">alternative rate of interest. The </w:t>
      </w:r>
      <w:r>
        <w:rPr>
          <w:rFonts w:ascii="Arial" w:cs="Arial" w:eastAsia="Arial" w:hAnsi="Arial"/>
          <w:sz w:val="19"/>
          <w:szCs w:val="19"/>
          <w:color w:val="FF0000"/>
          <w:strike w:val="1"/>
        </w:rPr>
        <w:t>Administrative Agent will promptly notify the Borrower, pursuant to Section 2.13(e), of any</w:t>
      </w:r>
      <w:r>
        <w:rPr>
          <w:rFonts w:ascii="Arial" w:cs="Arial" w:eastAsia="Arial" w:hAnsi="Arial"/>
          <w:sz w:val="19"/>
          <w:szCs w:val="19"/>
          <w:color w:val="000000"/>
          <w:strike w:val="1"/>
        </w:rPr>
        <w:t xml:space="preserve"> </w:t>
      </w:r>
      <w:r>
        <w:rPr>
          <w:rFonts w:ascii="Arial" w:cs="Arial" w:eastAsia="Arial" w:hAnsi="Arial"/>
          <w:sz w:val="19"/>
          <w:szCs w:val="19"/>
          <w:color w:val="FF0000"/>
          <w:strike w:val="1"/>
        </w:rPr>
        <w:t xml:space="preserve">change to the reference rate upon which the interest rate on Eurodollar Loans is based. However, the </w:t>
      </w:r>
      <w:r>
        <w:rPr>
          <w:rFonts w:ascii="Arial" w:cs="Arial" w:eastAsia="Arial" w:hAnsi="Arial"/>
          <w:sz w:val="19"/>
          <w:szCs w:val="19"/>
          <w:color w:val="000000"/>
          <w:strike w:val="1"/>
        </w:rPr>
        <w:t>Administrative Agent does</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 xml:space="preserve">not warrant or accept any responsibility for, and shall not have any liability with respect to, the administration, submission, performance or any other matter related to </w:t>
      </w:r>
      <w:r>
        <w:rPr>
          <w:rFonts w:ascii="Arial" w:cs="Arial" w:eastAsia="Arial" w:hAnsi="Arial"/>
          <w:sz w:val="19"/>
          <w:szCs w:val="19"/>
          <w:color w:val="FF0000"/>
          <w:strike w:val="1"/>
        </w:rPr>
        <w:t>LIBOR or other rates in the definition of “LIBO Rate”</w:t>
      </w:r>
      <w:r>
        <w:rPr>
          <w:rFonts w:ascii="Arial" w:cs="Arial" w:eastAsia="Arial" w:hAnsi="Arial"/>
          <w:sz w:val="19"/>
          <w:szCs w:val="19"/>
          <w:u w:val="single" w:color="auto"/>
          <w:color w:val="0000FF"/>
          <w:highlight w:val="lightGray"/>
          <w:strike w:val="1"/>
        </w:rPr>
        <w:t>any interest rate used in this</w:t>
      </w:r>
      <w:r>
        <w:rPr>
          <w:rFonts w:ascii="Arial" w:cs="Arial" w:eastAsia="Arial" w:hAnsi="Arial"/>
          <w:sz w:val="19"/>
          <w:szCs w:val="19"/>
          <w:color w:val="000000"/>
          <w:strike w:val="1"/>
        </w:rPr>
        <w:t xml:space="preserve"> </w:t>
      </w:r>
      <w:r>
        <w:rPr>
          <w:rFonts w:ascii="Arial" w:cs="Arial" w:eastAsia="Arial" w:hAnsi="Arial"/>
          <w:sz w:val="19"/>
          <w:szCs w:val="19"/>
          <w:u w:val="single" w:color="auto"/>
          <w:color w:val="0000FF"/>
          <w:highlight w:val="lightGray"/>
          <w:strike w:val="1"/>
        </w:rPr>
        <w:t>Agreement,</w:t>
      </w:r>
      <w:r>
        <w:rPr>
          <w:rFonts w:ascii="Arial" w:cs="Arial" w:eastAsia="Arial" w:hAnsi="Arial"/>
          <w:sz w:val="19"/>
          <w:szCs w:val="19"/>
          <w:color w:val="0000FF"/>
          <w:highlight w:val="lightGray"/>
          <w:strike w:val="1"/>
        </w:rPr>
        <w:t xml:space="preserve"> </w:t>
      </w:r>
      <w:r>
        <w:rPr>
          <w:rFonts w:ascii="Arial" w:cs="Arial" w:eastAsia="Arial" w:hAnsi="Arial"/>
          <w:sz w:val="19"/>
          <w:szCs w:val="19"/>
          <w:color w:val="000000"/>
          <w:strike w:val="1"/>
        </w:rPr>
        <w:t>or with respect to any alternative or successor rate thereto, or replacement rate thereof</w:t>
      </w:r>
      <w:r>
        <w:rPr>
          <w:rFonts w:ascii="Arial" w:cs="Arial" w:eastAsia="Arial" w:hAnsi="Arial"/>
          <w:sz w:val="19"/>
          <w:szCs w:val="19"/>
          <w:color w:val="0000FF"/>
          <w:highlight w:val="lightGray"/>
          <w:strike w:val="1"/>
        </w:rPr>
        <w:t xml:space="preserve"> </w:t>
      </w:r>
      <w:r>
        <w:rPr>
          <w:rFonts w:ascii="Arial" w:cs="Arial" w:eastAsia="Arial" w:hAnsi="Arial"/>
          <w:sz w:val="19"/>
          <w:szCs w:val="19"/>
          <w:color w:val="FF0000"/>
          <w:strike w:val="1"/>
        </w:rPr>
        <w:t>(including, without limitation,</w:t>
      </w:r>
    </w:p>
    <w:p>
      <w:pPr>
        <w:spacing w:after="0" w:line="10" w:lineRule="exact"/>
        <w:rPr>
          <w:sz w:val="20"/>
          <w:szCs w:val="20"/>
          <w:color w:val="auto"/>
        </w:rPr>
      </w:pPr>
    </w:p>
    <w:p>
      <w:pPr>
        <w:jc w:val="both"/>
        <w:ind w:firstLine="8"/>
        <w:spacing w:after="0"/>
        <w:tabs>
          <w:tab w:leader="none" w:pos="309" w:val="left"/>
        </w:tabs>
        <w:numPr>
          <w:ilvl w:val="0"/>
          <w:numId w:val="65"/>
        </w:numPr>
        <w:rPr>
          <w:rFonts w:ascii="Arial" w:cs="Arial" w:eastAsia="Arial" w:hAnsi="Arial"/>
          <w:sz w:val="19"/>
          <w:szCs w:val="19"/>
          <w:color w:val="FF0000"/>
          <w:strike w:val="1"/>
        </w:rPr>
      </w:pPr>
      <w:r>
        <w:rPr>
          <w:rFonts w:ascii="Arial" w:cs="Arial" w:eastAsia="Arial" w:hAnsi="Arial"/>
          <w:sz w:val="19"/>
          <w:szCs w:val="19"/>
          <w:color w:val="FF0000"/>
          <w:strike w:val="1"/>
        </w:rPr>
        <w:t xml:space="preserve">any such alternative, successor or replacement rate implemented pursuant to Section 2.13(b) or (c), whether upon the occurrence </w:t>
      </w:r>
      <w:r>
        <w:rPr>
          <w:rFonts w:ascii="Arial" w:cs="Arial" w:eastAsia="Arial" w:hAnsi="Arial"/>
          <w:sz w:val="19"/>
          <w:szCs w:val="19"/>
          <w:color w:val="008000"/>
          <w:strike w:val="1"/>
        </w:rPr>
        <w:t>of a Benchmark Transition Event</w:t>
      </w:r>
      <w:r>
        <w:rPr>
          <w:rFonts w:ascii="Arial" w:cs="Arial" w:eastAsia="Arial" w:hAnsi="Arial"/>
          <w:sz w:val="19"/>
          <w:szCs w:val="19"/>
          <w:color w:val="FF0000"/>
          <w:strike w:val="1"/>
        </w:rPr>
        <w:t>, a Term SOFR Transition Event, an Early Opt-in Election or an Other Benchmark Rate Election, and (ii) the implementation of any Benchmark Replacement Conforming Changes pursuant to Section 2.13(d))</w:t>
      </w:r>
      <w:r>
        <w:rPr>
          <w:rFonts w:ascii="Arial" w:cs="Arial" w:eastAsia="Arial" w:hAnsi="Arial"/>
          <w:sz w:val="19"/>
          <w:szCs w:val="19"/>
          <w:color w:val="000000"/>
          <w:strike w:val="1"/>
        </w:rPr>
        <w:t>,</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 xml:space="preserve">including without limitation, whether the composition or characteristics of any such alternative, successor or replacement reference rate will be similar to, or produce the same value or economic equivalence of, the </w:t>
      </w:r>
      <w:r>
        <w:rPr>
          <w:rFonts w:ascii="Arial" w:cs="Arial" w:eastAsia="Arial" w:hAnsi="Arial"/>
          <w:sz w:val="19"/>
          <w:szCs w:val="19"/>
          <w:color w:val="FF0000"/>
          <w:strike w:val="1"/>
        </w:rPr>
        <w:t>LIBO</w:t>
      </w:r>
      <w:r>
        <w:rPr>
          <w:rFonts w:ascii="Arial" w:cs="Arial" w:eastAsia="Arial" w:hAnsi="Arial"/>
          <w:sz w:val="19"/>
          <w:szCs w:val="19"/>
          <w:u w:val="single" w:color="auto"/>
          <w:color w:val="0000FF"/>
          <w:highlight w:val="lightGray"/>
          <w:strike w:val="1"/>
        </w:rPr>
        <w:t>existing interest</w:t>
      </w:r>
      <w:r>
        <w:rPr>
          <w:rFonts w:ascii="Arial" w:cs="Arial" w:eastAsia="Arial" w:hAnsi="Arial"/>
          <w:sz w:val="19"/>
          <w:szCs w:val="19"/>
          <w:color w:val="000000"/>
          <w:strike w:val="1"/>
        </w:rPr>
        <w:t xml:space="preserve"> </w:t>
      </w:r>
      <w:r>
        <w:rPr>
          <w:rFonts w:ascii="Arial" w:cs="Arial" w:eastAsia="Arial" w:hAnsi="Arial"/>
          <w:sz w:val="19"/>
          <w:szCs w:val="19"/>
          <w:color w:val="FF0000"/>
          <w:strike w:val="1"/>
        </w:rPr>
        <w:t>R</w:t>
      </w:r>
      <w:r>
        <w:rPr>
          <w:rFonts w:ascii="Arial" w:cs="Arial" w:eastAsia="Arial" w:hAnsi="Arial"/>
          <w:sz w:val="19"/>
          <w:szCs w:val="19"/>
          <w:u w:val="single" w:color="auto"/>
          <w:color w:val="0000FF"/>
          <w:highlight w:val="lightGray"/>
          <w:strike w:val="1"/>
        </w:rPr>
        <w:t>r</w:t>
      </w:r>
      <w:r>
        <w:rPr>
          <w:rFonts w:ascii="Arial" w:cs="Arial" w:eastAsia="Arial" w:hAnsi="Arial"/>
          <w:sz w:val="19"/>
          <w:szCs w:val="19"/>
          <w:color w:val="000000"/>
          <w:strike w:val="1"/>
        </w:rPr>
        <w:t xml:space="preserve">ate </w:t>
      </w:r>
      <w:r>
        <w:rPr>
          <w:rFonts w:ascii="Arial" w:cs="Arial" w:eastAsia="Arial" w:hAnsi="Arial"/>
          <w:sz w:val="19"/>
          <w:szCs w:val="19"/>
          <w:u w:val="single" w:color="auto"/>
          <w:color w:val="0000FF"/>
          <w:highlight w:val="lightGray"/>
          <w:strike w:val="1"/>
        </w:rPr>
        <w:t>being</w:t>
      </w:r>
      <w:r>
        <w:rPr>
          <w:rFonts w:ascii="Arial" w:cs="Arial" w:eastAsia="Arial" w:hAnsi="Arial"/>
          <w:sz w:val="19"/>
          <w:szCs w:val="19"/>
          <w:color w:val="000000"/>
          <w:strike w:val="1"/>
        </w:rPr>
        <w:t xml:space="preserve"> </w:t>
      </w:r>
      <w:r>
        <w:rPr>
          <w:rFonts w:ascii="Arial" w:cs="Arial" w:eastAsia="Arial" w:hAnsi="Arial"/>
          <w:sz w:val="19"/>
          <w:szCs w:val="19"/>
          <w:u w:val="single" w:color="auto"/>
          <w:color w:val="0000FF"/>
          <w:highlight w:val="lightGray"/>
          <w:strike w:val="1"/>
        </w:rPr>
        <w:t>replaced</w:t>
      </w:r>
      <w:r>
        <w:rPr>
          <w:rFonts w:ascii="Arial" w:cs="Arial" w:eastAsia="Arial" w:hAnsi="Arial"/>
          <w:sz w:val="19"/>
          <w:szCs w:val="19"/>
          <w:color w:val="0000FF"/>
          <w:highlight w:val="lightGray"/>
          <w:strike w:val="1"/>
        </w:rPr>
        <w:t xml:space="preserve"> </w:t>
      </w:r>
      <w:r>
        <w:rPr>
          <w:rFonts w:ascii="Arial" w:cs="Arial" w:eastAsia="Arial" w:hAnsi="Arial"/>
          <w:sz w:val="19"/>
          <w:szCs w:val="19"/>
          <w:color w:val="000000"/>
          <w:strike w:val="1"/>
        </w:rPr>
        <w:t>or have the same volume or liquidity as did</w:t>
      </w:r>
      <w:r>
        <w:rPr>
          <w:rFonts w:ascii="Arial" w:cs="Arial" w:eastAsia="Arial" w:hAnsi="Arial"/>
          <w:sz w:val="19"/>
          <w:szCs w:val="19"/>
          <w:color w:val="0000FF"/>
          <w:highlight w:val="lightGray"/>
          <w:strike w:val="1"/>
        </w:rPr>
        <w:t xml:space="preserve"> </w:t>
      </w:r>
      <w:r>
        <w:rPr>
          <w:rFonts w:ascii="Arial" w:cs="Arial" w:eastAsia="Arial" w:hAnsi="Arial"/>
          <w:sz w:val="19"/>
          <w:szCs w:val="19"/>
          <w:color w:val="FF0000"/>
          <w:strike w:val="1"/>
        </w:rPr>
        <w:t>the London interbank offered</w:t>
      </w:r>
      <w:r>
        <w:rPr>
          <w:rFonts w:ascii="Arial" w:cs="Arial" w:eastAsia="Arial" w:hAnsi="Arial"/>
          <w:sz w:val="19"/>
          <w:szCs w:val="19"/>
          <w:u w:val="single" w:color="auto"/>
          <w:color w:val="0000FF"/>
          <w:highlight w:val="lightGray"/>
          <w:strike w:val="1"/>
        </w:rPr>
        <w:t>any existing interest</w:t>
      </w:r>
      <w:r>
        <w:rPr>
          <w:rFonts w:ascii="Arial" w:cs="Arial" w:eastAsia="Arial" w:hAnsi="Arial"/>
          <w:sz w:val="19"/>
          <w:szCs w:val="19"/>
          <w:color w:val="0000FF"/>
          <w:highlight w:val="lightGray"/>
          <w:strike w:val="1"/>
        </w:rPr>
        <w:t xml:space="preserve"> </w:t>
      </w:r>
      <w:r>
        <w:rPr>
          <w:rFonts w:ascii="Arial" w:cs="Arial" w:eastAsia="Arial" w:hAnsi="Arial"/>
          <w:sz w:val="19"/>
          <w:szCs w:val="19"/>
          <w:color w:val="000000"/>
          <w:strike w:val="1"/>
        </w:rPr>
        <w:t>rate prior to its</w:t>
      </w:r>
      <w:r>
        <w:rPr>
          <w:rFonts w:ascii="Arial" w:cs="Arial" w:eastAsia="Arial" w:hAnsi="Arial"/>
          <w:sz w:val="19"/>
          <w:szCs w:val="19"/>
          <w:color w:val="0000FF"/>
          <w:highlight w:val="lightGray"/>
          <w:strike w:val="1"/>
        </w:rPr>
        <w:t xml:space="preserve"> </w:t>
      </w:r>
      <w:r>
        <w:rPr>
          <w:rFonts w:ascii="Arial" w:cs="Arial" w:eastAsia="Arial" w:hAnsi="Arial"/>
          <w:sz w:val="19"/>
          <w:szCs w:val="19"/>
          <w:color w:val="000000"/>
          <w:strike w:val="1"/>
        </w:rPr>
        <w:t xml:space="preserve">discontinuance or unavailability. The Administrative Agent and its affiliates and/or other related entities may engage in transactions that affect the calculation of </w:t>
      </w:r>
      <w:r>
        <w:rPr>
          <w:rFonts w:ascii="Arial" w:cs="Arial" w:eastAsia="Arial" w:hAnsi="Arial"/>
          <w:sz w:val="19"/>
          <w:szCs w:val="19"/>
          <w:u w:val="single" w:color="auto"/>
          <w:color w:val="0000FF"/>
          <w:highlight w:val="lightGray"/>
          <w:strike w:val="1"/>
        </w:rPr>
        <w:t>any interest rate used in this Agreement or</w:t>
      </w:r>
      <w:r>
        <w:rPr>
          <w:rFonts w:ascii="Arial" w:cs="Arial" w:eastAsia="Arial" w:hAnsi="Arial"/>
          <w:sz w:val="19"/>
          <w:szCs w:val="19"/>
          <w:color w:val="000000"/>
          <w:strike w:val="1"/>
        </w:rPr>
        <w:t xml:space="preserve">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w:t>
      </w:r>
      <w:r>
        <w:rPr>
          <w:rFonts w:ascii="Arial" w:cs="Arial" w:eastAsia="Arial" w:hAnsi="Arial"/>
          <w:sz w:val="19"/>
          <w:szCs w:val="19"/>
          <w:color w:val="FF0000"/>
          <w:strike w:val="1"/>
        </w:rPr>
        <w:t>the</w:t>
      </w:r>
      <w:r>
        <w:rPr>
          <w:rFonts w:ascii="Arial" w:cs="Arial" w:eastAsia="Arial" w:hAnsi="Arial"/>
          <w:sz w:val="19"/>
          <w:szCs w:val="19"/>
          <w:color w:val="000000"/>
          <w:strike w:val="1"/>
        </w:rPr>
        <w:t xml:space="preserve"> </w:t>
      </w:r>
      <w:r>
        <w:rPr>
          <w:rFonts w:ascii="Arial" w:cs="Arial" w:eastAsia="Arial" w:hAnsi="Arial"/>
          <w:sz w:val="19"/>
          <w:szCs w:val="19"/>
          <w:color w:val="FF0000"/>
          <w:strike w:val="1"/>
        </w:rPr>
        <w:t>Adjusted LIBO</w:t>
      </w:r>
      <w:r>
        <w:rPr>
          <w:rFonts w:ascii="Arial" w:cs="Arial" w:eastAsia="Arial" w:hAnsi="Arial"/>
          <w:sz w:val="19"/>
          <w:szCs w:val="19"/>
          <w:u w:val="single" w:color="auto"/>
          <w:color w:val="0000FF"/>
          <w:highlight w:val="lightGray"/>
          <w:strike w:val="1"/>
        </w:rPr>
        <w:t>any interest</w:t>
      </w:r>
      <w:r>
        <w:rPr>
          <w:rFonts w:ascii="Arial" w:cs="Arial" w:eastAsia="Arial" w:hAnsi="Arial"/>
          <w:sz w:val="19"/>
          <w:szCs w:val="19"/>
          <w:color w:val="FF0000"/>
          <w:strike w:val="1"/>
        </w:rPr>
        <w:t xml:space="preserve"> R</w:t>
      </w:r>
      <w:r>
        <w:rPr>
          <w:rFonts w:ascii="Arial" w:cs="Arial" w:eastAsia="Arial" w:hAnsi="Arial"/>
          <w:sz w:val="19"/>
          <w:szCs w:val="19"/>
          <w:u w:val="single" w:color="auto"/>
          <w:color w:val="0000FF"/>
          <w:highlight w:val="lightGray"/>
          <w:strike w:val="1"/>
        </w:rPr>
        <w:t>r</w:t>
      </w:r>
      <w:r>
        <w:rPr>
          <w:rFonts w:ascii="Arial" w:cs="Arial" w:eastAsia="Arial" w:hAnsi="Arial"/>
          <w:sz w:val="19"/>
          <w:szCs w:val="19"/>
          <w:color w:val="000000"/>
          <w:strike w:val="1"/>
        </w:rPr>
        <w:t>ate</w:t>
      </w:r>
      <w:r>
        <w:rPr>
          <w:rFonts w:ascii="Arial" w:cs="Arial" w:eastAsia="Arial" w:hAnsi="Arial"/>
          <w:sz w:val="19"/>
          <w:szCs w:val="19"/>
          <w:color w:val="FF0000"/>
          <w:strike w:val="1"/>
        </w:rPr>
        <w:t xml:space="preserve"> </w:t>
      </w:r>
      <w:r>
        <w:rPr>
          <w:rFonts w:ascii="Arial" w:cs="Arial" w:eastAsia="Arial" w:hAnsi="Arial"/>
          <w:sz w:val="19"/>
          <w:szCs w:val="19"/>
          <w:color w:val="0000FF"/>
          <w:highlight w:val="lightGray"/>
          <w:strike w:val="1"/>
        </w:rPr>
        <w:t>used in this Agreement</w:t>
      </w:r>
      <w:r>
        <w:rPr>
          <w:rFonts w:ascii="Arial" w:cs="Arial" w:eastAsia="Arial" w:hAnsi="Arial"/>
          <w:sz w:val="19"/>
          <w:szCs w:val="19"/>
          <w:color w:val="000000"/>
          <w:strike w:val="1"/>
        </w:rPr>
        <w:t>, any component thereof, or rates referenced in the definition thereof, in</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1837055</wp:posOffset>
            </wp:positionH>
            <wp:positionV relativeFrom="paragraph">
              <wp:posOffset>-439420</wp:posOffset>
            </wp:positionV>
            <wp:extent cx="131508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spacing w:after="0" w:line="359"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22"/>
          <w:szCs w:val="22"/>
          <w:color w:val="auto"/>
        </w:rPr>
        <w:t>Section 1.8</w:t>
      </w:r>
      <w:r>
        <w:rPr>
          <w:sz w:val="20"/>
          <w:szCs w:val="20"/>
          <w:color w:val="auto"/>
        </w:rPr>
        <w:tab/>
      </w:r>
      <w:r>
        <w:rPr>
          <w:rFonts w:ascii="Arial" w:cs="Arial" w:eastAsia="Arial" w:hAnsi="Arial"/>
          <w:sz w:val="19"/>
          <w:szCs w:val="19"/>
          <w:u w:val="single" w:color="auto"/>
          <w:color w:val="auto"/>
        </w:rPr>
        <w:t>Limited Condition Transactions</w:t>
      </w:r>
      <w:r>
        <w:rPr>
          <w:rFonts w:ascii="Arial" w:cs="Arial" w:eastAsia="Arial" w:hAnsi="Arial"/>
          <w:sz w:val="19"/>
          <w:szCs w:val="19"/>
          <w:color w:val="auto"/>
        </w:rPr>
        <w:t>.</w:t>
      </w:r>
    </w:p>
    <w:p>
      <w:pPr>
        <w:spacing w:after="0" w:line="179" w:lineRule="exact"/>
        <w:rPr>
          <w:sz w:val="20"/>
          <w:szCs w:val="20"/>
          <w:color w:val="auto"/>
        </w:rPr>
      </w:pPr>
    </w:p>
    <w:p>
      <w:pPr>
        <w:ind w:left="1860" w:hanging="475"/>
        <w:spacing w:after="0"/>
        <w:tabs>
          <w:tab w:leader="none" w:pos="1860" w:val="left"/>
        </w:tabs>
        <w:numPr>
          <w:ilvl w:val="0"/>
          <w:numId w:val="66"/>
        </w:numPr>
        <w:rPr>
          <w:rFonts w:ascii="Arial" w:cs="Arial" w:eastAsia="Arial" w:hAnsi="Arial"/>
          <w:sz w:val="19"/>
          <w:szCs w:val="19"/>
          <w:color w:val="auto"/>
        </w:rPr>
      </w:pPr>
      <w:r>
        <w:rPr>
          <w:rFonts w:ascii="Arial" w:cs="Arial" w:eastAsia="Arial" w:hAnsi="Arial"/>
          <w:sz w:val="19"/>
          <w:szCs w:val="19"/>
          <w:color w:val="auto"/>
        </w:rPr>
        <w:t>In connection with any action being taken in connection with a Limited Condition Transaction, for purposes</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22"/>
          <w:szCs w:val="22"/>
          <w:color w:val="auto"/>
        </w:rPr>
        <w:t>of:</w:t>
      </w:r>
    </w:p>
    <w:p>
      <w:pPr>
        <w:spacing w:after="0" w:line="161" w:lineRule="exact"/>
        <w:rPr>
          <w:sz w:val="20"/>
          <w:szCs w:val="20"/>
          <w:color w:val="auto"/>
        </w:rPr>
      </w:pPr>
    </w:p>
    <w:p>
      <w:pPr>
        <w:jc w:val="both"/>
        <w:ind w:left="660" w:firstLine="644"/>
        <w:spacing w:after="0" w:line="223" w:lineRule="auto"/>
        <w:tabs>
          <w:tab w:leader="none" w:pos="1744" w:val="left"/>
        </w:tabs>
        <w:numPr>
          <w:ilvl w:val="0"/>
          <w:numId w:val="67"/>
        </w:numPr>
        <w:rPr>
          <w:rFonts w:ascii="Arial" w:cs="Arial" w:eastAsia="Arial" w:hAnsi="Arial"/>
          <w:sz w:val="22"/>
          <w:szCs w:val="22"/>
          <w:color w:val="auto"/>
        </w:rPr>
      </w:pPr>
      <w:r>
        <w:rPr>
          <w:rFonts w:ascii="Arial" w:cs="Arial" w:eastAsia="Arial" w:hAnsi="Arial"/>
          <w:sz w:val="22"/>
          <w:szCs w:val="22"/>
          <w:color w:val="auto"/>
        </w:rPr>
        <w:t>determining compliance with any provision of this Agreement which requires the calculation of Consolidated Adjusted EBITDA (including, without limitation, tests measured as a percentage of Consolidated Adjusted EBITDA), the Adjusted Quick Ratio or the Consolidated Leverage Ratio; or</w:t>
      </w:r>
    </w:p>
    <w:p>
      <w:pPr>
        <w:spacing w:after="0" w:line="158" w:lineRule="exact"/>
        <w:rPr>
          <w:rFonts w:ascii="Arial" w:cs="Arial" w:eastAsia="Arial" w:hAnsi="Arial"/>
          <w:sz w:val="22"/>
          <w:szCs w:val="22"/>
          <w:color w:val="auto"/>
        </w:rPr>
      </w:pPr>
    </w:p>
    <w:p>
      <w:pPr>
        <w:jc w:val="both"/>
        <w:ind w:left="660" w:firstLine="644"/>
        <w:spacing w:after="0" w:line="223" w:lineRule="auto"/>
        <w:tabs>
          <w:tab w:leader="none" w:pos="1795" w:val="left"/>
        </w:tabs>
        <w:numPr>
          <w:ilvl w:val="0"/>
          <w:numId w:val="67"/>
        </w:numPr>
        <w:rPr>
          <w:rFonts w:ascii="Arial" w:cs="Arial" w:eastAsia="Arial" w:hAnsi="Arial"/>
          <w:sz w:val="22"/>
          <w:szCs w:val="22"/>
          <w:color w:val="auto"/>
        </w:rPr>
      </w:pPr>
      <w:r>
        <w:rPr>
          <w:rFonts w:ascii="Arial" w:cs="Arial" w:eastAsia="Arial" w:hAnsi="Arial"/>
          <w:sz w:val="22"/>
          <w:szCs w:val="22"/>
          <w:color w:val="auto"/>
        </w:rPr>
        <w:t>testing availability under baskets set forth in this Agreement (including, without limitation, baskets measured as a percentage of Consolidated Total Assets, Consolidated Adjusted EBITDA or by reference to the Consolidated Leverage Ratio),</w:t>
      </w:r>
    </w:p>
    <w:p>
      <w:pPr>
        <w:spacing w:after="0" w:line="159" w:lineRule="exact"/>
        <w:rPr>
          <w:sz w:val="20"/>
          <w:szCs w:val="20"/>
          <w:color w:val="auto"/>
        </w:rPr>
      </w:pPr>
    </w:p>
    <w:p>
      <w:pPr>
        <w:jc w:val="both"/>
        <w:ind w:left="80"/>
        <w:spacing w:after="0" w:line="223" w:lineRule="auto"/>
        <w:rPr>
          <w:sz w:val="20"/>
          <w:szCs w:val="20"/>
          <w:color w:val="auto"/>
        </w:rPr>
      </w:pPr>
      <w:r>
        <w:rPr>
          <w:rFonts w:ascii="Arial" w:cs="Arial" w:eastAsia="Arial" w:hAnsi="Arial"/>
          <w:sz w:val="22"/>
          <w:szCs w:val="22"/>
          <w:color w:val="auto"/>
        </w:rPr>
        <w:t xml:space="preserve">in each case, at the option of Holdings (Holdings’ election to exercise such option in connection with any Limited Condition Transaction, an “ </w:t>
      </w:r>
      <w:r>
        <w:rPr>
          <w:rFonts w:ascii="Arial" w:cs="Arial" w:eastAsia="Arial" w:hAnsi="Arial"/>
          <w:sz w:val="22"/>
          <w:szCs w:val="22"/>
          <w:u w:val="single" w:color="auto"/>
          <w:color w:val="auto"/>
        </w:rPr>
        <w:t>LCT Election</w:t>
      </w:r>
      <w:r>
        <w:rPr>
          <w:rFonts w:ascii="Arial" w:cs="Arial" w:eastAsia="Arial" w:hAnsi="Arial"/>
          <w:sz w:val="22"/>
          <w:szCs w:val="22"/>
          <w:color w:val="auto"/>
        </w:rPr>
        <w:t>”), the date of determination of whether any such action is permitted hereunder shall be deemed to be (i) in the case of a</w:t>
      </w:r>
    </w:p>
    <w:p>
      <w:pPr>
        <w:sectPr>
          <w:pgSz w:w="11900" w:h="16838" w:orient="portrait"/>
          <w:cols w:equalWidth="0" w:num="1">
            <w:col w:w="11240"/>
          </w:cols>
          <w:pgMar w:left="320" w:top="1401" w:right="339" w:bottom="1440" w:gutter="0" w:footer="0" w:header="0"/>
        </w:sectPr>
      </w:pPr>
    </w:p>
    <w:bookmarkStart w:id="98" w:name="page99"/>
    <w:bookmarkEnd w:id="98"/>
    <w:p>
      <w:pPr>
        <w:spacing w:after="0"/>
        <w:rPr>
          <w:sz w:val="20"/>
          <w:szCs w:val="20"/>
          <w:color w:val="auto"/>
        </w:rPr>
      </w:pPr>
      <w:r>
        <w:rPr>
          <w:rFonts w:ascii="Arial" w:cs="Arial" w:eastAsia="Arial" w:hAnsi="Arial"/>
          <w:sz w:val="19"/>
          <w:szCs w:val="19"/>
          <w:color w:val="auto"/>
        </w:rPr>
        <w:t>Limited Condition Acquisition, the date the definitive agreements for such Limited Condition Acquisition are entered into and</w:t>
      </w:r>
    </w:p>
    <w:p>
      <w:pPr>
        <w:spacing w:after="0" w:line="16" w:lineRule="exact"/>
        <w:rPr>
          <w:sz w:val="20"/>
          <w:szCs w:val="20"/>
          <w:color w:val="auto"/>
        </w:rPr>
      </w:pPr>
    </w:p>
    <w:p>
      <w:pPr>
        <w:jc w:val="both"/>
        <w:ind w:firstLine="9"/>
        <w:spacing w:after="0"/>
        <w:tabs>
          <w:tab w:leader="none" w:pos="325" w:val="left"/>
        </w:tabs>
        <w:numPr>
          <w:ilvl w:val="0"/>
          <w:numId w:val="68"/>
        </w:numPr>
        <w:rPr>
          <w:rFonts w:ascii="Arial" w:cs="Arial" w:eastAsia="Arial" w:hAnsi="Arial"/>
          <w:sz w:val="19"/>
          <w:szCs w:val="19"/>
          <w:color w:val="auto"/>
        </w:rPr>
      </w:pPr>
      <w:r>
        <w:rPr>
          <w:rFonts w:ascii="Arial" w:cs="Arial" w:eastAsia="Arial" w:hAnsi="Arial"/>
          <w:sz w:val="19"/>
          <w:szCs w:val="19"/>
          <w:color w:val="auto"/>
        </w:rPr>
        <w:t>in the case of any redemption or repayment of Indebtedness requiring irrevocable advance notice or any irrevocable offer to purchase Indebtedness that is not subject to obtaining financing, the date of such irrevocable advance notice or irrevocable offer (each, an “</w:t>
      </w:r>
      <w:r>
        <w:rPr>
          <w:rFonts w:ascii="Arial" w:cs="Arial" w:eastAsia="Arial" w:hAnsi="Arial"/>
          <w:sz w:val="19"/>
          <w:szCs w:val="19"/>
          <w:u w:val="single" w:color="auto"/>
          <w:color w:val="auto"/>
        </w:rPr>
        <w:t>LCT Test Date</w:t>
      </w:r>
      <w:r>
        <w:rPr>
          <w:rFonts w:ascii="Arial" w:cs="Arial" w:eastAsia="Arial" w:hAnsi="Arial"/>
          <w:sz w:val="19"/>
          <w:szCs w:val="19"/>
          <w:color w:val="auto"/>
        </w:rPr>
        <w:t xml:space="preserve">”), and if, after giving pro forma effect to the Limited Condition Transaction and the other transactions to be entered into in connection therewith (including any incurrence of Indebtedness and the use of proceeds thereof) as if they had occurred at the beginning of the most recent period of four consecutive fiscal quarters of Holdings then most recently ended prior to the LCT Test Date (taken as one accounting period) for which financial statements have been (or were required to be) delivered pursuant to </w:t>
      </w:r>
      <w:r>
        <w:rPr>
          <w:rFonts w:ascii="Arial" w:cs="Arial" w:eastAsia="Arial" w:hAnsi="Arial"/>
          <w:sz w:val="19"/>
          <w:szCs w:val="19"/>
          <w:u w:val="single" w:color="auto"/>
          <w:color w:val="auto"/>
        </w:rPr>
        <w:t>Section 5.1(a)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5.1(b)</w:t>
      </w:r>
      <w:r>
        <w:rPr>
          <w:rFonts w:ascii="Arial" w:cs="Arial" w:eastAsia="Arial" w:hAnsi="Arial"/>
          <w:sz w:val="19"/>
          <w:szCs w:val="19"/>
          <w:color w:val="auto"/>
        </w:rPr>
        <w:t xml:space="preserve"> (provided that prior to the first date financial statements have been delivered pursuant to Section 5.1(a) or 5.1(b), such period shall be the most recently ended full four fiscal quarter period prior to the Effective Date for which financial statements would have been required to be delivered hereunder had the Effective Date occurred prior to the end of such period), Holdings or its applicable Restricted Subsidiary could have taken such action on the relevant LCT Test Date in compliance with such test, ratio or basket, calculated on a pro forma basis, then such test, ratio or basket shall be deemed to have been complied with. If Holdings has made an LCT Election and any of the tests, ratios or baskets for which compliance was determined or tested as of the LCT Test Date are subsequently exceeded as a result of fluctuations in any such test, ratio or basket, including due to fluctuations in Consolidated Adjusted EBITDA or Consolidated Total Assets of Holdings and its Restricted Subsidiaries, at or prior to the consummation of the relevant transaction or action, such tests, baskets or ratios will be deemed not to have been exceeded as a result of such fluctuations solely for purposes of determining whether the relevant transaction or action is permitted to be consummated or taken. If Holdings has made an LCT Election for any Limited Condition Transaction, then (x) in connection with any subsequent calculation of any test, ratio or basket availability with respect to the incurrence of Indebtedness or Liens or the making of Investments on or following the relevant LCT Test Date and prior to the earlier of the date on which such Limited Condition Transaction is consummated or, in the case of a Limited Condition Acquisition, the definitive agreement for such Limited Condition Acquisition is terminated or expires without consummation of such Limited Condition Acquisition, any such test, ratio or basket shall be tested by calculating the availability under such test, ratio or basket on a pro forma basis assuming such Limited Condition Transaction and other transactions in connection therewith have been consummated (including any incurrence of Indebtedness and any associated Lien and the use of proceeds thereof) and (y) in connection with any calculation of any ratio, test or basket availability with respect to the making of Restricted Payments pursuant to Section 6.4 following the relevant LCT Test Date and prior to the earlier of the date on which such Limited Condition Transaction is consummated or, in the case of a Limited Condition Acquisition, the definitive agreement for such Limited Condition Acquisition is terminated or expires without consummation of such Limited Condition Acquisition, for purposes of determining whether such Restricted Payment is permitted under this Agreement, any such test, ratio or basket shall be tested by calculating the availability under such test, ratio or basket on a pro forma basis (i) assuming such Limited Condition Transaction and other transactions in connection therewith have been consummated and (ii) assuming such Limited Condition Transaction and other transactions in connection therewith have not been consummated.</w:t>
      </w:r>
    </w:p>
    <w:p>
      <w:pPr>
        <w:spacing w:after="0" w:line="336" w:lineRule="exact"/>
        <w:rPr>
          <w:rFonts w:ascii="Arial" w:cs="Arial" w:eastAsia="Arial" w:hAnsi="Arial"/>
          <w:sz w:val="19"/>
          <w:szCs w:val="19"/>
          <w:color w:val="auto"/>
        </w:rPr>
      </w:pPr>
    </w:p>
    <w:p>
      <w:pPr>
        <w:jc w:val="both"/>
        <w:ind w:firstLine="1305"/>
        <w:spacing w:after="0" w:line="249" w:lineRule="auto"/>
        <w:tabs>
          <w:tab w:leader="none" w:pos="1775" w:val="left"/>
        </w:tabs>
        <w:numPr>
          <w:ilvl w:val="1"/>
          <w:numId w:val="68"/>
        </w:numPr>
        <w:rPr>
          <w:rFonts w:ascii="Arial" w:cs="Arial" w:eastAsia="Arial" w:hAnsi="Arial"/>
          <w:sz w:val="19"/>
          <w:szCs w:val="19"/>
          <w:color w:val="auto"/>
        </w:rPr>
      </w:pPr>
      <w:r>
        <w:rPr>
          <w:rFonts w:ascii="Arial" w:cs="Arial" w:eastAsia="Arial" w:hAnsi="Arial"/>
          <w:sz w:val="19"/>
          <w:szCs w:val="19"/>
          <w:color w:val="auto"/>
        </w:rPr>
        <w:t>In connection with any action being taken in connection with a Limited Condition Transaction, for purposes of determining compliance with any provision of this Agreement which requires that no Event of Default or Default, as applicable, has occurred, is continuing or would result from any such action, as applicable, such condition shall, at the option of Holdings, be deemed satisfied, so long as no Event of Default or Default, as applicable, exists on the LCT Test Date. If the Borrower has exercised its option under this Section 1.8 and any Event of Default or Default occurs following the LCT Test Date and prior to the consummation of the applicable transaction, any such Event of Default or Default shall be</w:t>
      </w:r>
    </w:p>
    <w:p>
      <w:pPr>
        <w:sectPr>
          <w:pgSz w:w="11900" w:h="16838" w:orient="portrait"/>
          <w:cols w:equalWidth="0" w:num="1">
            <w:col w:w="11160"/>
          </w:cols>
          <w:pgMar w:left="400" w:top="1401" w:right="339" w:bottom="1440" w:gutter="0" w:footer="0" w:header="0"/>
        </w:sectPr>
      </w:pPr>
    </w:p>
    <w:bookmarkStart w:id="99" w:name="page100"/>
    <w:bookmarkEnd w:id="99"/>
    <w:p>
      <w:pPr>
        <w:ind w:left="80"/>
        <w:spacing w:after="0" w:line="232" w:lineRule="auto"/>
        <w:rPr>
          <w:sz w:val="20"/>
          <w:szCs w:val="20"/>
          <w:color w:val="auto"/>
        </w:rPr>
      </w:pPr>
      <w:r>
        <w:rPr>
          <w:rFonts w:ascii="Arial" w:cs="Arial" w:eastAsia="Arial" w:hAnsi="Arial"/>
          <w:sz w:val="22"/>
          <w:szCs w:val="22"/>
          <w:color w:val="auto"/>
        </w:rPr>
        <w:t>deemed to not have occurred or be continuing for purposes of determining whether any action being taken in connection with such Limited Condition Transaction is permitted hereunder.</w:t>
      </w:r>
    </w:p>
    <w:p>
      <w:pPr>
        <w:spacing w:after="0" w:line="159" w:lineRule="exact"/>
        <w:rPr>
          <w:sz w:val="20"/>
          <w:szCs w:val="20"/>
          <w:color w:val="auto"/>
        </w:rPr>
      </w:pPr>
    </w:p>
    <w:p>
      <w:pPr>
        <w:ind w:left="1840" w:hanging="455"/>
        <w:spacing w:after="0"/>
        <w:tabs>
          <w:tab w:leader="none" w:pos="1840" w:val="left"/>
        </w:tabs>
        <w:numPr>
          <w:ilvl w:val="0"/>
          <w:numId w:val="69"/>
        </w:numPr>
        <w:rPr>
          <w:rFonts w:ascii="Arial" w:cs="Arial" w:eastAsia="Arial" w:hAnsi="Arial"/>
          <w:sz w:val="21"/>
          <w:szCs w:val="21"/>
          <w:color w:val="auto"/>
        </w:rPr>
      </w:pPr>
      <w:r>
        <w:rPr>
          <w:rFonts w:ascii="Arial" w:cs="Arial" w:eastAsia="Arial" w:hAnsi="Arial"/>
          <w:sz w:val="21"/>
          <w:szCs w:val="21"/>
          <w:color w:val="auto"/>
        </w:rPr>
        <w:t>Notwithstanding the foregoing, in no event shall this Section 1.8 apply to any calculation of Liquidity.</w:t>
      </w:r>
    </w:p>
    <w:p>
      <w:pPr>
        <w:spacing w:after="0" w:line="19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ARTICLE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3850640</wp:posOffset>
            </wp:positionH>
            <wp:positionV relativeFrom="paragraph">
              <wp:posOffset>-17780</wp:posOffset>
            </wp:positionV>
            <wp:extent cx="137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ind w:left="4940"/>
        <w:spacing w:after="0"/>
        <w:rPr>
          <w:sz w:val="20"/>
          <w:szCs w:val="20"/>
          <w:color w:val="auto"/>
        </w:rPr>
      </w:pPr>
      <w:r>
        <w:rPr>
          <w:rFonts w:ascii="Arial" w:cs="Arial" w:eastAsia="Arial" w:hAnsi="Arial"/>
          <w:sz w:val="22"/>
          <w:szCs w:val="22"/>
          <w:u w:val="single" w:color="auto"/>
          <w:color w:val="auto"/>
        </w:rPr>
        <w:t>THE CREDITS</w:t>
      </w:r>
    </w:p>
    <w:p>
      <w:pPr>
        <w:spacing w:after="0" w:line="179"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Commitments</w:t>
      </w:r>
      <w:r>
        <w:rPr>
          <w:rFonts w:ascii="Arial" w:cs="Arial" w:eastAsia="Arial" w:hAnsi="Arial"/>
          <w:sz w:val="19"/>
          <w:szCs w:val="19"/>
          <w:color w:val="auto"/>
        </w:rPr>
        <w:t>. Subject to the terms and conditions set forth herein, each Lender severally agrees to make Revolving Loans in dollars to the Borrowers from time to time during the Availability Period in an aggregate principal amount that will not result in (a) the aggregate outstanding principal amount of such Lender’s Revolving Exposure exceeding such Lender’s Commitment or (b) the Total Utilization of Commitments exceeding the total Commitments. Within the foregoing limits and subject to the terms and conditions set forth herein, the Borrowers may borrow, prepay and reborrow Revolving Loans. Each Lender’s Commitment shall expire on the Commitment Termination Date and all Revolving Loans and all other amounts owed hereunder with respect to the Revolving Exposure shall be paid in full no later than such date. All Revolving Loans shall be borrowed by one or more of the Borrowers.</w:t>
      </w:r>
    </w:p>
    <w:p>
      <w:pPr>
        <w:spacing w:after="0" w:line="152"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 xml:space="preserve">Section 2.2 </w:t>
      </w:r>
      <w:r>
        <w:rPr>
          <w:rFonts w:ascii="Arial" w:cs="Arial" w:eastAsia="Arial" w:hAnsi="Arial"/>
          <w:sz w:val="22"/>
          <w:szCs w:val="22"/>
          <w:u w:val="single" w:color="auto"/>
          <w:color w:val="auto"/>
        </w:rPr>
        <w:t>Revolving Loans and Borrowings</w:t>
      </w:r>
      <w:r>
        <w:rPr>
          <w:rFonts w:ascii="Arial" w:cs="Arial" w:eastAsia="Arial" w:hAnsi="Arial"/>
          <w:sz w:val="22"/>
          <w:szCs w:val="22"/>
          <w:color w:val="auto"/>
        </w:rPr>
        <w:t xml:space="preserve">. (a) Each Revolving Loan shall be made as part of a Borrowing consisting of Revolving Loans made by the Lenders in accordance with their respective Applicable Percentages. The failure of any Lender to make any Revolving Loan required to be made by it shall not relieve any other Lender of its obligations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Commitments of the Lenders are several and no Lender shall be responsible for any other Lender’s failure to make Revolving Loans as required.</w:t>
      </w:r>
    </w:p>
    <w:p>
      <w:pPr>
        <w:spacing w:after="0" w:line="158" w:lineRule="exact"/>
        <w:rPr>
          <w:sz w:val="20"/>
          <w:szCs w:val="20"/>
          <w:color w:val="auto"/>
        </w:rPr>
      </w:pPr>
    </w:p>
    <w:p>
      <w:pPr>
        <w:jc w:val="both"/>
        <w:ind w:left="80" w:firstLine="1305"/>
        <w:spacing w:after="0" w:line="216" w:lineRule="auto"/>
        <w:tabs>
          <w:tab w:leader="none" w:pos="1883"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2.13</w:t>
      </w:r>
      <w:r>
        <w:rPr>
          <w:rFonts w:ascii="Arial" w:cs="Arial" w:eastAsia="Arial" w:hAnsi="Arial"/>
          <w:sz w:val="22"/>
          <w:szCs w:val="22"/>
          <w:color w:val="auto"/>
        </w:rPr>
        <w:t xml:space="preserve">, each Borrowing of Revolving Loans shall be comprised entirely of ABR Loans or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highlight w:val="lightGray"/>
        </w:rPr>
        <w:t>Term Benchmark</w:t>
      </w:r>
      <w:r>
        <w:rPr>
          <w:rFonts w:ascii="Arial" w:cs="Arial" w:eastAsia="Arial" w:hAnsi="Arial"/>
          <w:sz w:val="22"/>
          <w:szCs w:val="22"/>
          <w:color w:val="FF0000"/>
        </w:rPr>
        <w:t xml:space="preserve"> </w:t>
      </w:r>
      <w:r>
        <w:rPr>
          <w:rFonts w:ascii="Arial" w:cs="Arial" w:eastAsia="Arial" w:hAnsi="Arial"/>
          <w:sz w:val="22"/>
          <w:szCs w:val="22"/>
          <w:color w:val="000000"/>
        </w:rPr>
        <w:t>Loans as the applicable Borrowers may request in accordance herewith. Each Lender at its option</w:t>
      </w:r>
      <w:r>
        <w:rPr>
          <w:rFonts w:ascii="Arial" w:cs="Arial" w:eastAsia="Arial" w:hAnsi="Arial"/>
          <w:sz w:val="22"/>
          <w:szCs w:val="22"/>
          <w:color w:val="FF0000"/>
        </w:rPr>
        <w:t xml:space="preserve"> </w:t>
      </w:r>
      <w:r>
        <w:rPr>
          <w:rFonts w:ascii="Arial" w:cs="Arial" w:eastAsia="Arial" w:hAnsi="Arial"/>
          <w:sz w:val="22"/>
          <w:szCs w:val="22"/>
          <w:color w:val="000000"/>
        </w:rPr>
        <w:t xml:space="preserve">may make any </w:t>
      </w:r>
      <w:r>
        <w:rPr>
          <w:rFonts w:ascii="Arial" w:cs="Arial" w:eastAsia="Arial" w:hAnsi="Arial"/>
          <w:sz w:val="22"/>
          <w:szCs w:val="22"/>
          <w:color w:val="FF0000"/>
          <w:strike w:val="1"/>
        </w:rPr>
        <w:t>Eurodollar</w:t>
      </w:r>
      <w:r>
        <w:rPr>
          <w:rFonts w:ascii="Arial" w:cs="Arial" w:eastAsia="Arial" w:hAnsi="Arial"/>
          <w:sz w:val="22"/>
          <w:szCs w:val="22"/>
          <w:color w:val="000000"/>
        </w:rPr>
        <w:t xml:space="preserve"> Loan by causing any domestic or foreign branch or Affiliate of such Lender to make such Loan; </w:t>
      </w:r>
      <w:r>
        <w:rPr>
          <w:rFonts w:ascii="Arial" w:cs="Arial" w:eastAsia="Arial" w:hAnsi="Arial"/>
          <w:sz w:val="22"/>
          <w:szCs w:val="22"/>
          <w:u w:val="single" w:color="auto"/>
          <w:color w:val="000000"/>
        </w:rPr>
        <w:t>provided</w:t>
      </w:r>
      <w:r>
        <w:rPr>
          <w:rFonts w:ascii="Arial" w:cs="Arial" w:eastAsia="Arial" w:hAnsi="Arial"/>
          <w:sz w:val="22"/>
          <w:szCs w:val="22"/>
          <w:color w:val="000000"/>
        </w:rPr>
        <w:t xml:space="preserve"> that any exercise of such option shall not affect the obligation of the applicable Borrowers to repay such Loan in accordance with the terms of this Agreement.</w:t>
      </w:r>
    </w:p>
    <w:p>
      <w:pPr>
        <w:spacing w:after="0" w:line="157" w:lineRule="exact"/>
        <w:rPr>
          <w:rFonts w:ascii="Arial" w:cs="Arial" w:eastAsia="Arial" w:hAnsi="Arial"/>
          <w:sz w:val="22"/>
          <w:szCs w:val="22"/>
          <w:color w:val="auto"/>
        </w:rPr>
      </w:pPr>
    </w:p>
    <w:p>
      <w:pPr>
        <w:jc w:val="both"/>
        <w:ind w:left="80" w:firstLine="1305"/>
        <w:spacing w:after="0" w:line="221" w:lineRule="auto"/>
        <w:tabs>
          <w:tab w:leader="none" w:pos="2031" w:val="left"/>
        </w:tabs>
        <w:numPr>
          <w:ilvl w:val="0"/>
          <w:numId w:val="70"/>
        </w:numPr>
        <w:rPr>
          <w:rFonts w:ascii="Arial" w:cs="Arial" w:eastAsia="Arial" w:hAnsi="Arial"/>
          <w:sz w:val="21"/>
          <w:szCs w:val="21"/>
          <w:color w:val="auto"/>
        </w:rPr>
      </w:pPr>
      <w:r>
        <w:rPr>
          <w:rFonts w:ascii="Arial" w:cs="Arial" w:eastAsia="Arial" w:hAnsi="Arial"/>
          <w:sz w:val="21"/>
          <w:szCs w:val="21"/>
          <w:color w:val="auto"/>
        </w:rPr>
        <w:t xml:space="preserve">At the commencement of each Interest Period for any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highlight w:val="lightGray"/>
        </w:rPr>
        <w:t>Term Benchmark</w:t>
      </w:r>
      <w:r>
        <w:rPr>
          <w:rFonts w:ascii="Arial" w:cs="Arial" w:eastAsia="Arial" w:hAnsi="Arial"/>
          <w:sz w:val="21"/>
          <w:szCs w:val="21"/>
          <w:color w:val="auto"/>
        </w:rPr>
        <w:t xml:space="preserve"> Borrowing, such Borrowing shall be in an aggregate amount that is an integral multiple of $1,000,000 and not less than $5,000,000. At the time that each ABR Borrowing is made, such Borrowing shall be in an aggregate amount that is an integral multiple of $1,000,000 and not less than $5,000,000;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 ABR Borrowing may be in an aggregate amount that is equal to the entire unused balance of the total Commitments;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an ABR Borrowing may be in an aggregate amount that is required to finance the reimbursement of a Letter of Credit drawing as contemplated by </w:t>
      </w:r>
      <w:r>
        <w:rPr>
          <w:rFonts w:ascii="Arial" w:cs="Arial" w:eastAsia="Arial" w:hAnsi="Arial"/>
          <w:sz w:val="21"/>
          <w:szCs w:val="21"/>
          <w:u w:val="single" w:color="auto"/>
          <w:color w:val="auto"/>
        </w:rPr>
        <w:t>Section 2.4(d)</w:t>
      </w:r>
      <w:r>
        <w:rPr>
          <w:rFonts w:ascii="Arial" w:cs="Arial" w:eastAsia="Arial" w:hAnsi="Arial"/>
          <w:sz w:val="21"/>
          <w:szCs w:val="21"/>
          <w:color w:val="auto"/>
        </w:rPr>
        <w:t xml:space="preserve">. Borrowings of more than one Type may be outstanding at the same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there shall not at any time be more than a total of ten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highlight w:val="lightGray"/>
        </w:rPr>
        <w:t>Term</w:t>
      </w:r>
      <w:r>
        <w:rPr>
          <w:rFonts w:ascii="Arial" w:cs="Arial" w:eastAsia="Arial" w:hAnsi="Arial"/>
          <w:sz w:val="21"/>
          <w:szCs w:val="21"/>
          <w:color w:val="auto"/>
        </w:rPr>
        <w:t xml:space="preserve"> </w:t>
      </w:r>
      <w:r>
        <w:rPr>
          <w:rFonts w:ascii="Arial" w:cs="Arial" w:eastAsia="Arial" w:hAnsi="Arial"/>
          <w:sz w:val="21"/>
          <w:szCs w:val="21"/>
          <w:u w:val="single" w:color="auto"/>
          <w:color w:val="0000FF"/>
          <w:highlight w:val="lightGray"/>
        </w:rPr>
        <w:t>Benchmark</w:t>
      </w:r>
      <w:r>
        <w:rPr>
          <w:rFonts w:ascii="Arial" w:cs="Arial" w:eastAsia="Arial" w:hAnsi="Arial"/>
          <w:sz w:val="21"/>
          <w:szCs w:val="21"/>
          <w:color w:val="0000FF"/>
          <w:highlight w:val="lightGray"/>
        </w:rPr>
        <w:t xml:space="preserve"> </w:t>
      </w:r>
      <w:r>
        <w:rPr>
          <w:rFonts w:ascii="Arial" w:cs="Arial" w:eastAsia="Arial" w:hAnsi="Arial"/>
          <w:sz w:val="21"/>
          <w:szCs w:val="21"/>
          <w:color w:val="000000"/>
        </w:rPr>
        <w:t>Borrowings outstanding.</w:t>
      </w:r>
    </w:p>
    <w:p>
      <w:pPr>
        <w:spacing w:after="0" w:line="165" w:lineRule="exact"/>
        <w:rPr>
          <w:rFonts w:ascii="Arial" w:cs="Arial" w:eastAsia="Arial" w:hAnsi="Arial"/>
          <w:sz w:val="21"/>
          <w:szCs w:val="21"/>
          <w:color w:val="auto"/>
        </w:rPr>
      </w:pPr>
    </w:p>
    <w:p>
      <w:pPr>
        <w:jc w:val="both"/>
        <w:ind w:left="80" w:firstLine="1305"/>
        <w:spacing w:after="0" w:line="223" w:lineRule="auto"/>
        <w:tabs>
          <w:tab w:leader="none" w:pos="1866" w:val="left"/>
        </w:tabs>
        <w:numPr>
          <w:ilvl w:val="0"/>
          <w:numId w:val="70"/>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the Borrowers shall not be entitled to request, or to elect to convert or continue, any Borrowing if the Interest Period requested with respect thereto would end after the Maturity Date.</w:t>
      </w:r>
    </w:p>
    <w:p>
      <w:pPr>
        <w:spacing w:after="0" w:line="159"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79" w:lineRule="exact"/>
        <w:rPr>
          <w:sz w:val="20"/>
          <w:szCs w:val="20"/>
          <w:color w:val="auto"/>
        </w:rPr>
      </w:pPr>
    </w:p>
    <w:p>
      <w:pPr>
        <w:ind w:firstLine="1296"/>
        <w:spacing w:after="0" w:line="232" w:lineRule="auto"/>
        <w:rPr>
          <w:sz w:val="20"/>
          <w:szCs w:val="20"/>
          <w:color w:val="auto"/>
        </w:rPr>
      </w:pPr>
      <w:r>
        <w:rPr>
          <w:rFonts w:ascii="Arial" w:cs="Arial" w:eastAsia="Arial" w:hAnsi="Arial"/>
          <w:sz w:val="22"/>
          <w:szCs w:val="22"/>
          <w:color w:val="auto"/>
        </w:rPr>
        <w:t xml:space="preserve">Section 2.4 </w:t>
      </w:r>
      <w:r>
        <w:rPr>
          <w:rFonts w:ascii="Arial" w:cs="Arial" w:eastAsia="Arial" w:hAnsi="Arial"/>
          <w:sz w:val="22"/>
          <w:szCs w:val="22"/>
          <w:u w:val="single" w:color="auto"/>
          <w:color w:val="auto"/>
        </w:rPr>
        <w:t>Issuance of Letters of Credit and Purchase of Participations Therein</w:t>
      </w:r>
      <w:r>
        <w:rPr>
          <w:rFonts w:ascii="Arial" w:cs="Arial" w:eastAsia="Arial" w:hAnsi="Arial"/>
          <w:sz w:val="22"/>
          <w:szCs w:val="22"/>
          <w:color w:val="auto"/>
        </w:rPr>
        <w:t>. (a) During the Availability Period, subject to the terms and conditions hereof, each</w:t>
      </w:r>
    </w:p>
    <w:p>
      <w:pPr>
        <w:sectPr>
          <w:pgSz w:w="11900" w:h="16838" w:orient="portrait"/>
          <w:cols w:equalWidth="0" w:num="1">
            <w:col w:w="11240"/>
          </w:cols>
          <w:pgMar w:left="320" w:top="1401" w:right="339" w:bottom="1440" w:gutter="0" w:footer="0" w:header="0"/>
        </w:sectPr>
      </w:pPr>
    </w:p>
    <w:bookmarkStart w:id="100" w:name="page101"/>
    <w:bookmarkEnd w:id="100"/>
    <w:p>
      <w:pPr>
        <w:jc w:val="both"/>
        <w:spacing w:after="0"/>
        <w:rPr>
          <w:sz w:val="20"/>
          <w:szCs w:val="20"/>
          <w:color w:val="auto"/>
        </w:rPr>
      </w:pPr>
      <w:r>
        <w:rPr>
          <w:rFonts w:ascii="Arial" w:cs="Arial" w:eastAsia="Arial" w:hAnsi="Arial"/>
          <w:sz w:val="19"/>
          <w:szCs w:val="19"/>
          <w:color w:val="auto"/>
        </w:rPr>
        <w:t xml:space="preserve">Issuing Bank agrees to issue Letters of Credit (or amend, extend or increase any outstanding Letter of Credit) at the request and for the account of one or more of the Borrowers (including for the purpose of supporting obligations of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each Letter of Credit shall be denominated in dollars or any Alternative Currency; (ii) the stated amount of each Letter of Credit shall not be less than the Dollar Equivalent of $250,000 or such lesser amount as is acceptable to the applicable Issuing Bank; (iii) after giving effect to such issuance, amendment, extension or increase, in no event shall the Total Utilization of Commitments exceed the Commitments then in effect; (iv) after giving effect to such issuance, amendment, extension or increase, in no event shall the aggregate Letter of Credit Usage exceed the Letter of Credit Sublimit then in effect, (v) after giving effect to such issuance, amendment, extension or increase, in no event shall the Letter of Credit Usage attributable to Letters of Credit issued by any Issuing Bank exceed the Issuing Bank Sublimit of such Issuing Bank, unless otherwise agreed to in writing by such Issuing Bank, (vi) after giving effect to such issuance, amendment, extension or increase, in no event shall the Revolving Exposure of such Issuing Bank exceed such Issuing Bank’s Commitments hereunder, unless otherwise agreed to in writing by such Issuing Bank, and (vii) in no event shall any Letter of Credit have an expiration date later than the earlier of (1) five (5) days prior to the Maturity Date and (2) the date which is one year from the date of issuance of such Letter of Credit, in each case unless otherwise agreed to in writing by the applicable Issuing Bank in its sole discretion (and, in the sole discretion of the applicable Issuing Bank, subject to cash collateralization, backstop or other arrangements acceptable to the applicable Issuing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set forth herein, the Borrowers, the Administrative Agent, the Issuing Banks and the Lenders hereby acknowledge and agree that all Existing Letters of Credit shall constitute Letters of Credit under this Agreement on and after the Effective Date with the same effect as if such Existing Letters of Credit were issued by the applicable Issuing Bank at the request of Borrowers on the Effective Date. If the applicable Borrowers so request in the Application for any Letter of Credit, the applicable Issuing Bank may, in its sole discretion, agree to issue a Letter of Credit that has automatic extension provisions (each such Letter of Credit, an “</w:t>
      </w:r>
      <w:r>
        <w:rPr>
          <w:rFonts w:ascii="Arial" w:cs="Arial" w:eastAsia="Arial" w:hAnsi="Arial"/>
          <w:sz w:val="19"/>
          <w:szCs w:val="19"/>
          <w:u w:val="single" w:color="auto"/>
          <w:color w:val="auto"/>
        </w:rPr>
        <w:t>Auto-Extension Letter of 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Auto-Extension Letter of Credit must permit such Issuing Bank to prevent any such extension at least once in each twelve-month period (commencing with the date of issuance of such Letter of Credit) by giving prior notice to the beneficiary thereof not later than a day in each such twelve-month period to be agreed upon at the time such Letter of Credit is issued. Unless otherwise directed by the applicable Issuing Bank, the applicable Borrowers shall not be required to make a specific request to such Issuing Bank for any such extension. Once an Auto-Extension Letter of Credit has been issued, the Lenders shall be deemed to have authorized (but may not require) the Issuing Bank to permit the extension of such Letter of Credit at any time to an expiration date not later than the date five days prior to the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applicable Issuing Bank shall not permit any such extension if (A) such Issuing Bank has determined that it would not be permitted, or would have no obligation, at such time to issue such Letter of Credit in its revised form (as extended) under the terms hereof, or (B) it has received notice from the Required Lenders or the Borrowers in accordance with </w:t>
      </w:r>
      <w:r>
        <w:rPr>
          <w:rFonts w:ascii="Arial" w:cs="Arial" w:eastAsia="Arial" w:hAnsi="Arial"/>
          <w:sz w:val="19"/>
          <w:szCs w:val="19"/>
          <w:u w:val="single" w:color="auto"/>
          <w:color w:val="auto"/>
        </w:rPr>
        <w:t>Section 2.4(e)</w:t>
      </w:r>
      <w:r>
        <w:rPr>
          <w:rFonts w:ascii="Arial" w:cs="Arial" w:eastAsia="Arial" w:hAnsi="Arial"/>
          <w:sz w:val="19"/>
          <w:szCs w:val="19"/>
          <w:color w:val="auto"/>
        </w:rPr>
        <w:t xml:space="preserve"> that one or more of the conditions in </w:t>
      </w:r>
      <w:r>
        <w:rPr>
          <w:rFonts w:ascii="Arial" w:cs="Arial" w:eastAsia="Arial" w:hAnsi="Arial"/>
          <w:sz w:val="19"/>
          <w:szCs w:val="19"/>
          <w:u w:val="single" w:color="auto"/>
          <w:color w:val="auto"/>
        </w:rPr>
        <w:t>Section 4.2(b)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would not be satisfied if such Letter of Credit were so extended. If any Lender is a Defaulting Lender, an Issuing Bank shall not be required to issue, amend, extend or increase any Letter of Credit unless such Issuing Bank has entered into arrangements reasonably satisfactory to it and the Borrowers to eliminate such Issuing Bank’s risk with respect to the participation in Letters of Credit of such Defaulting Lender, including by cash collateralizing such Defaulting Lender’s Applicable Percentage of the Letter of Credit Usage at such time with funds equal to 103.0% of such amount on terms reasonably satisfactory to such Issuing Bank. Each request by the Borrowers for the issuance, amendment, extension or increase of any Letter of Credit shall be deemed to be a representation and warranty that the conditions set forth in clauses (iii), (iv) and (v) above have been met.</w:t>
      </w:r>
    </w:p>
    <w:p>
      <w:pPr>
        <w:sectPr>
          <w:pgSz w:w="11900" w:h="16838" w:orient="portrait"/>
          <w:cols w:equalWidth="0" w:num="1">
            <w:col w:w="11240"/>
          </w:cols>
          <w:pgMar w:left="320" w:top="1401" w:right="339" w:bottom="1440" w:gutter="0" w:footer="0" w:header="0"/>
        </w:sectPr>
      </w:pPr>
    </w:p>
    <w:bookmarkStart w:id="101" w:name="page102"/>
    <w:bookmarkEnd w:id="101"/>
    <w:p>
      <w:pPr>
        <w:jc w:val="both"/>
        <w:ind w:left="-1040" w:firstLine="1305"/>
        <w:spacing w:after="0"/>
        <w:tabs>
          <w:tab w:leader="none" w:pos="766"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Whenever one or more of the Borrowers desire the issuance, amendment, extension or increase of a Letter of Credit, such Borrowers shall deliver to the Administrative Agent and the applicable Issuing Bank (i) in the case of a request for the issuance of a Letter of Credit, an Issuance Notice and Application no later than 1:00 p.m. (New York City time) at least five Business Days in advance of the proposed date of issuance and (ii) in the case of a request for the amendment, extension or increase of a Letter of Credit, a notice and/or letter of credit application, in such form as specified by the applicable Issuing Bank, identifying the Letter of Credit to be amended, extended or increased and specifying the requested date of amendment, extension or increase (which shall be a Business Day), the date on which such Letter of Credit is to expire (which shall comply with paragraph (a) of this Section), the amount and currency (which shall be dollars or an Alternative Currency) of such Letter of Credit and such other information as shall be necessary to enable the applicable Issuing Bank to amend, extend or increase such Letter of Credit, no later than 1:00 p.m. (New York City time) at least five Business Days in advance of the proposed date of such amendment, extension or increase (or such shorter period as the applicable Issuing Bank may agree to in its sole discretion). Each notice or letter of credit application delivered pursuant to this </w:t>
      </w:r>
      <w:r>
        <w:rPr>
          <w:rFonts w:ascii="Arial" w:cs="Arial" w:eastAsia="Arial" w:hAnsi="Arial"/>
          <w:sz w:val="19"/>
          <w:szCs w:val="19"/>
          <w:u w:val="single" w:color="auto"/>
          <w:color w:val="auto"/>
        </w:rPr>
        <w:t>Section 2.4(b)</w:t>
      </w:r>
      <w:r>
        <w:rPr>
          <w:rFonts w:ascii="Arial" w:cs="Arial" w:eastAsia="Arial" w:hAnsi="Arial"/>
          <w:sz w:val="19"/>
          <w:szCs w:val="19"/>
          <w:color w:val="auto"/>
        </w:rPr>
        <w:t xml:space="preserve"> shall be accompanied by documentary and other evidence of the proposed beneficiary’s identity as may reasonably be requested by the applicable Issuing Bank to enable such Issuing Bank to verify the beneficiary’s identity or to comply with any applicable laws or regulations, including the USA Patriot Act. Upon satisfaction or waiver of the conditions set forth in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the applicable Issuing Bank shall issue or amend, extend or increase the requested Letter of Credit only in accordance with such Issuing Bank’s standard operating procedures as in effect from time to time. Notwithstanding any other provision of this Agreement or any other Loan Document to the contrary, no Issuing Bank shall be required to issue, amend, extend or increase any Letter of Credit if such Letter of Credit would violate one or more provisions of any applicable law, rule or regulation or such Issuing Bank’s standard policies and procedures regarding the issuance of letters of credit as in effect from time to time (to the extent not in conflict with the requirements of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or as otherwise accepted by the Borrowers). Notwithstanding anything contained in any Application furnished to any Issuing Bank in connection with the issuance of any Letter of Credit or any notice or letter of credit application furnished to any Issuing Bank in connection with the amendment, extension or increase of any Letter of Credit, (i) all provisions of any such Application or notice or letter of credit application purporting to grant Liens in favor of such Issuing Bank to secure obligations in respect of such Letter of Credit shall be disregarded, it being agreed that such obligations shall be secured solely to the extent provided in this Agreement and in the Collateral Documents, and (ii) in the event of any conflict between the terms and conditions of such Application or notice or letter of credit application, on the one hand, and the terms and conditions of this Agreement, on the other hand, the terms and conditions of this Agreement shall control. Upon the issuance of any Letter of Credit or amendment, extension or increase thereof, the applicable Issuing Bank shall promptly notify the Administrative Agent, and the Administrative Agent shall promptly notify each Lender of the Dollar Equivalent thereof (determined in accordance with Section 1.5(b)) and the currency in which such Letter of Credit is denominated, which notice from the Administrative Agent shall be accompanied by a copy of such Letter of Credit or amendment, extension or increase thereof and the Dollar Equivalent of such Lender’s respective participation in such Letter of Credit pursuant to </w:t>
      </w:r>
      <w:r>
        <w:rPr>
          <w:rFonts w:ascii="Arial" w:cs="Arial" w:eastAsia="Arial" w:hAnsi="Arial"/>
          <w:sz w:val="19"/>
          <w:szCs w:val="19"/>
          <w:u w:val="single" w:color="auto"/>
          <w:color w:val="auto"/>
        </w:rPr>
        <w:t>Section 2.4(e)</w:t>
      </w:r>
      <w:r>
        <w:rPr>
          <w:rFonts w:ascii="Arial" w:cs="Arial" w:eastAsia="Arial" w:hAnsi="Arial"/>
          <w:sz w:val="19"/>
          <w:szCs w:val="19"/>
          <w:color w:val="auto"/>
        </w:rPr>
        <w:t>.</w:t>
      </w:r>
    </w:p>
    <w:p>
      <w:pPr>
        <w:spacing w:after="0" w:line="352" w:lineRule="exact"/>
        <w:rPr>
          <w:rFonts w:ascii="Arial" w:cs="Arial" w:eastAsia="Arial" w:hAnsi="Arial"/>
          <w:sz w:val="19"/>
          <w:szCs w:val="19"/>
          <w:color w:val="auto"/>
        </w:rPr>
      </w:pPr>
    </w:p>
    <w:p>
      <w:pPr>
        <w:jc w:val="both"/>
        <w:ind w:left="-1040" w:firstLine="1305"/>
        <w:spacing w:after="0" w:line="249" w:lineRule="auto"/>
        <w:tabs>
          <w:tab w:leader="none" w:pos="736" w:val="left"/>
        </w:tabs>
        <w:numPr>
          <w:ilvl w:val="0"/>
          <w:numId w:val="71"/>
        </w:numPr>
        <w:rPr>
          <w:rFonts w:ascii="Arial" w:cs="Arial" w:eastAsia="Arial" w:hAnsi="Arial"/>
          <w:sz w:val="19"/>
          <w:szCs w:val="19"/>
          <w:color w:val="auto"/>
        </w:rPr>
      </w:pPr>
      <w:r>
        <w:rPr>
          <w:rFonts w:ascii="Arial" w:cs="Arial" w:eastAsia="Arial" w:hAnsi="Arial"/>
          <w:sz w:val="19"/>
          <w:szCs w:val="19"/>
          <w:color w:val="auto"/>
        </w:rPr>
        <w:t>In determining whether to honor any drawing under any Letter of Credit by the beneficiary(ies) thereof, the parties agree that, with respect to documents presented which appear on their face to be in substantial compliance with the terms of a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As between the Borrowers and an Issuing Bank, the Borrowers assume all risks of the acts and omissions of, or</w:t>
      </w:r>
    </w:p>
    <w:p>
      <w:pPr>
        <w:sectPr>
          <w:pgSz w:w="11900" w:h="16838" w:orient="portrait"/>
          <w:cols w:equalWidth="0" w:num="1">
            <w:col w:w="10120"/>
          </w:cols>
          <w:pgMar w:left="1440" w:top="1401" w:right="339" w:bottom="1440" w:gutter="0" w:footer="0" w:header="0"/>
        </w:sectPr>
      </w:pPr>
    </w:p>
    <w:bookmarkStart w:id="102" w:name="page103"/>
    <w:bookmarkEnd w:id="102"/>
    <w:p>
      <w:pPr>
        <w:jc w:val="both"/>
        <w:spacing w:after="0"/>
        <w:rPr>
          <w:sz w:val="20"/>
          <w:szCs w:val="20"/>
          <w:color w:val="auto"/>
        </w:rPr>
      </w:pPr>
      <w:r>
        <w:rPr>
          <w:rFonts w:ascii="Arial" w:cs="Arial" w:eastAsia="Arial" w:hAnsi="Arial"/>
          <w:sz w:val="19"/>
          <w:szCs w:val="19"/>
          <w:color w:val="auto"/>
        </w:rPr>
        <w:t xml:space="preserve">misuse of the Letters of Credit issued by such Issuing Bank, by the respective beneficiaries of such Letters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assumption of risk by the Borrowers shall not affect any rights that the Borrowers may have against any such beneficiary. In furtherance and not in limitation of the foregoing, an Issuing Bank shall not be responsible or have any liability for: (i) the form, validity, sufficiency, accuracy, genuineness or legal effect of any document submitted by any party in connection with the application for and issuance of any such Letter of Credit, even if it should in fact prove to be in any or all respects invalid, insufficient, inaccurate, fraudulent or forged; (ii) the validity or sufficiency of any instrument transferring or assigning or purporting to transfer or assign any such Letter of Credit or the rights or benefits thereunder or proceeds thereof, in whole or in part, which may prove to be invalid or ineffective for any reason; (iii) failure of the beneficiary of any such Letter of Credit to comply fully with any conditions required in order to draw upon such Letter of Credit; (iv) errors, omissions, interruptions or delays in transmission or delivery of any messages, by mail, cable, telegraph,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any beneficiary of any such Letter of Credit of the proceeds of any drawing under such Letter of Credit; (viii) any other action or inaction taken or suffered by such Issuing Bank under or in connection with any such Letter of Credit, if required under, or expressly authorized under the circumstances by, any applicable domestic or foreign law or letter of credit practice or (ix) any consequences arising from causes beyond the control of such Issuing Bank, including any Governmental Acts; none of the above shall affect or impair, or prevent the vesting of, any of such Issuing Bank’s rights or powers hereunder or place such Issuing Bank under any liability to the Borrowers. Without limiting the foregoing and in furtherance thereof, any action taken or omitted by any Issuing Bank under or in connection with any Letter of Credit issued by it or any documents and certificates delivered thereunder, if taken or omitted in “good faith” (as such term is defined in Article 5 of the Uniform Commercial Code), shall not give rise to any liability on the part of such Issuing Bank to the Borrowers. Notwithstanding anything to the contrary contained in this </w:t>
      </w:r>
      <w:r>
        <w:rPr>
          <w:rFonts w:ascii="Arial" w:cs="Arial" w:eastAsia="Arial" w:hAnsi="Arial"/>
          <w:sz w:val="19"/>
          <w:szCs w:val="19"/>
          <w:u w:val="single" w:color="auto"/>
          <w:color w:val="auto"/>
        </w:rPr>
        <w:t>Section 2.4(c)</w:t>
      </w:r>
      <w:r>
        <w:rPr>
          <w:rFonts w:ascii="Arial" w:cs="Arial" w:eastAsia="Arial" w:hAnsi="Arial"/>
          <w:sz w:val="19"/>
          <w:szCs w:val="19"/>
          <w:color w:val="auto"/>
        </w:rPr>
        <w:t>, the applicable Issuing Bank shall not be excused from liability to the Borrowers to the extent of any direct damages (as opposed to special, indirect, consequential or punitive damages, claims in respect of which are hereby waived by the Borrowers to the extent permitted by applicable law) suffered by the Borrowers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determined by a final, non-appealable judgment of a court of competent jurisdiction), such Issuing Bank shall be deemed to have exercised care in each such determination.</w:t>
      </w:r>
    </w:p>
    <w:p>
      <w:pPr>
        <w:spacing w:after="0" w:line="365" w:lineRule="exact"/>
        <w:rPr>
          <w:sz w:val="20"/>
          <w:szCs w:val="20"/>
          <w:color w:val="auto"/>
        </w:rPr>
      </w:pPr>
    </w:p>
    <w:p>
      <w:pPr>
        <w:jc w:val="both"/>
        <w:ind w:firstLine="1305"/>
        <w:spacing w:after="0" w:line="243" w:lineRule="auto"/>
        <w:tabs>
          <w:tab w:leader="none" w:pos="1778" w:val="left"/>
        </w:tabs>
        <w:numPr>
          <w:ilvl w:val="0"/>
          <w:numId w:val="72"/>
        </w:numPr>
        <w:rPr>
          <w:rFonts w:ascii="Arial" w:cs="Arial" w:eastAsia="Arial" w:hAnsi="Arial"/>
          <w:sz w:val="19"/>
          <w:szCs w:val="19"/>
          <w:color w:val="auto"/>
        </w:rPr>
      </w:pPr>
      <w:r>
        <w:rPr>
          <w:rFonts w:ascii="Arial" w:cs="Arial" w:eastAsia="Arial" w:hAnsi="Arial"/>
          <w:sz w:val="19"/>
          <w:szCs w:val="19"/>
          <w:color w:val="auto"/>
        </w:rPr>
        <w:t>In the event any Issuing Bank has honored a drawing under a Letter of Credit on any date (a “</w:t>
      </w:r>
      <w:r>
        <w:rPr>
          <w:rFonts w:ascii="Arial" w:cs="Arial" w:eastAsia="Arial" w:hAnsi="Arial"/>
          <w:sz w:val="19"/>
          <w:szCs w:val="19"/>
          <w:u w:val="single" w:color="auto"/>
          <w:color w:val="auto"/>
        </w:rPr>
        <w:t>Disbursement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it shall promptly notify the Borrowers and the Administrative Agent of the amount of such drawing in the currency in which such Letter of Credit is denominated and of the applicable Disbursement Date. In the case of any such drawing in an Alternative Currency, the Borrower’s obligation to reimburse the amount of such drawing will, on the applicable Disbursement Date, automatically be converted into an obligation to reimburse the Dollar Equivalent (determined as of such Disbursement Date in accordance with Section 1.5(b)) of the amount of such Alternative Currency drawing. The applicable Borrowers shall reimburse such Issuing Bank on or before the Business Day immediately following the date on which such drawing is honored (the “</w:t>
      </w:r>
      <w:r>
        <w:rPr>
          <w:rFonts w:ascii="Arial" w:cs="Arial" w:eastAsia="Arial" w:hAnsi="Arial"/>
          <w:sz w:val="19"/>
          <w:szCs w:val="19"/>
          <w:u w:val="single" w:color="auto"/>
          <w:color w:val="auto"/>
        </w:rPr>
        <w:t>Reimbursement Date</w:t>
      </w:r>
      <w:r>
        <w:rPr>
          <w:rFonts w:ascii="Arial" w:cs="Arial" w:eastAsia="Arial" w:hAnsi="Arial"/>
          <w:sz w:val="19"/>
          <w:szCs w:val="19"/>
          <w:color w:val="auto"/>
        </w:rPr>
        <w:t xml:space="preserve">”) in an amount in same day funds equal to the dollar amount or Dollar Equivalent, as applicable, of such honored drawing, together in each case with accrued and unpaid interest as provided in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dollar amount or Dollar Equivalent, as applicable, of such honored drawing is $500,000 or more, the applicable Borrowers may, subject to the conditions to borrowing set forth herein, request in accordance with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that such payment be</w:t>
      </w:r>
    </w:p>
    <w:p>
      <w:pPr>
        <w:sectPr>
          <w:pgSz w:w="11900" w:h="16838" w:orient="portrait"/>
          <w:cols w:equalWidth="0" w:num="1">
            <w:col w:w="11160"/>
          </w:cols>
          <w:pgMar w:left="400" w:top="1401" w:right="339" w:bottom="1440" w:gutter="0" w:footer="0" w:header="0"/>
        </w:sectPr>
      </w:pPr>
    </w:p>
    <w:bookmarkStart w:id="103" w:name="page104"/>
    <w:bookmarkEnd w:id="103"/>
    <w:p>
      <w:pPr>
        <w:jc w:val="both"/>
        <w:spacing w:after="0"/>
        <w:rPr>
          <w:sz w:val="20"/>
          <w:szCs w:val="20"/>
          <w:color w:val="auto"/>
        </w:rPr>
      </w:pPr>
      <w:r>
        <w:rPr>
          <w:rFonts w:ascii="Arial" w:cs="Arial" w:eastAsia="Arial" w:hAnsi="Arial"/>
          <w:sz w:val="19"/>
          <w:szCs w:val="19"/>
          <w:color w:val="auto"/>
        </w:rPr>
        <w:t xml:space="preserve">financed with an ABR Borrowing and, to the extent so financed, the Borrowers’ obligation to make such payment shall be discharged and replaced by the resulting ABR Borrowing. If the applicable Borrowers fail to reimburse any honored drawing under any Letter of Credit on or before the Reimbursement Date, the Administrative Agent shall notify each Lender of such failure, the payment then due from the applicable Borrowers in respect of such honored drawing, and such Lender’s Applicable Percentage thereof. Promptly following receipt of such notice, each Lender shall pay to the Administrative Agent, in dollars, its Applicable Percentage of the amount then due from the applicable Borrowers, in the same manner as provided in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with respect to Loans made by such Lender (and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to the payment obligations of the Lenders pursuant to this paragraph), and the Administrative Agent shall promptly remit to the applicable Issuing Bank the amounts so received by it from the Lenders. Promptly following receipt by the Administrative Agent of any payment from the applicable Borrowers pursuant to this paragraph, the Administrative Agent shall distribute such payment to the applicable Issuing Bank or, to the extent that Lenders have made payments pursuant to this paragraph to reimburse such Issuing Bank, then to such Lenders and such Issuing Bank as their interests may appear. Any payment made by a Lender pursuant to this paragraph to reimburse an Issuing Bank for an honored drawing under a Letter of Credit (other than the funding of an ABR Borrowing as contemplated above) shall not constitute a Loan and shall not relieve the applicable Borrowers of their obligation to reimburse such drawing. If any Lender fails to make available to the Administrative Agent for the account of the relevant Issuing Bank any amount required to be paid by such Lender pursuant to the foregoing provisions of this Section 2.4(d) by the time specified herein, such Issuing Bank shall be entitled to recover from such Lender (acting through the Administrative Agent), on demand, such amount with interest thereon for the period from the date such payment is required to the date on which such payment is immediately available to such Issuing Bank at a rate per annum equal to the greater of the NYFRB Rate and a rate determined by the Administrative Agent in accordance with banking industry rules on interbank compensation from time to time in effect.</w:t>
      </w:r>
    </w:p>
    <w:p>
      <w:pPr>
        <w:spacing w:after="0" w:line="166" w:lineRule="exact"/>
        <w:rPr>
          <w:sz w:val="20"/>
          <w:szCs w:val="20"/>
          <w:color w:val="auto"/>
        </w:rPr>
      </w:pPr>
    </w:p>
    <w:p>
      <w:pPr>
        <w:jc w:val="both"/>
        <w:ind w:firstLine="1305"/>
        <w:spacing w:after="0"/>
        <w:tabs>
          <w:tab w:leader="none" w:pos="1767"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Immediately upon the issuance, extension or increase of each Letter of Credit, without any further action by any Person, the applicable Issuing Bank shall be deemed to have sold to each Lender and each Lender shall have been deemed to have purchased from such Issuing Bank a participation in such Letter of Credit and any drawings honored thereunder in an amount equal to such Lender’s Applicable Percentage of the maximum amount which is or at any time may become available to be drawn thereunder. In consideration and in furtherance of the foregoing, each Lender hereby irrevocably, absolutely and unconditionally agrees to pay to the Administrative Agent, for the account of such Issuing Bank, such Lender’s Applicable Percentage of each drawing (or, in the case of a Letter of Credit denominated in an Alternative Currency, of the Dollar Equivalent of each drawing (determined in accordance with Section 1.5(b)) honored by such Issuing Bank under such Letter of Credit and not reimbursed by the Borrowers on or prior to the applicable Reimbursement Date, or of any reimbursement payment required to be refunded to the Borrowers or otherwise returned for any reason. Each Lender acknowledges and agrees that its obligation to fund participations pursuant to this paragraph in respect of Letters of Credit is irrevocable, absolute and unconditional and shall not be affected by any circumstance whatsoever, including any amendment, extension or increase of any Letter of Credit, the occurrence and continuance of a Default, any reduction or termination of the Commitments or any </w:t>
      </w:r>
      <w:r>
        <w:rPr>
          <w:rFonts w:ascii="Arial" w:cs="Arial" w:eastAsia="Arial" w:hAnsi="Arial"/>
          <w:sz w:val="19"/>
          <w:szCs w:val="19"/>
          <w:i w:val="1"/>
          <w:iCs w:val="1"/>
          <w:color w:val="auto"/>
        </w:rPr>
        <w:t>force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majeure </w:t>
      </w:r>
      <w:r>
        <w:rPr>
          <w:rFonts w:ascii="Arial" w:cs="Arial" w:eastAsia="Arial" w:hAnsi="Arial"/>
          <w:sz w:val="19"/>
          <w:szCs w:val="19"/>
          <w:color w:val="auto"/>
        </w:rPr>
        <w:t>or other event that under any rule of law or uniform practices to which any Letter of Credit is subject (including Rules</w:t>
      </w:r>
      <w:r>
        <w:rPr>
          <w:rFonts w:ascii="Arial" w:cs="Arial" w:eastAsia="Arial" w:hAnsi="Arial"/>
          <w:sz w:val="19"/>
          <w:szCs w:val="19"/>
          <w:i w:val="1"/>
          <w:iCs w:val="1"/>
          <w:color w:val="auto"/>
        </w:rPr>
        <w:t xml:space="preserve"> </w:t>
      </w:r>
      <w:r>
        <w:rPr>
          <w:rFonts w:ascii="Arial" w:cs="Arial" w:eastAsia="Arial" w:hAnsi="Arial"/>
          <w:sz w:val="19"/>
          <w:szCs w:val="19"/>
          <w:color w:val="auto"/>
        </w:rPr>
        <w:t>3.13 and 3.14 of ISP 98) permits a drawing to be made under such Letter of Credit after the expiration thereof or after the expiration or termination of the Commitments or any other circumstance or happening whatsoever, whether or not similar to any of the foregoing, including those set forth in the following paragraph (f), and that each such payment shall be made without any defense, offset, abatement, withholding or reduction whatsoever. Each Lender further acknowledges and agrees that, in issuing, amending, extending or increasing any Letter of Credit, the applicable Issuing Bank shall be entitled to rely, and shall not incur any liability for relying, upon the</w:t>
      </w:r>
    </w:p>
    <w:p>
      <w:pPr>
        <w:sectPr>
          <w:pgSz w:w="11900" w:h="16838" w:orient="portrait"/>
          <w:cols w:equalWidth="0" w:num="1">
            <w:col w:w="11160"/>
          </w:cols>
          <w:pgMar w:left="400" w:top="1401" w:right="339" w:bottom="1440" w:gutter="0" w:footer="0" w:header="0"/>
        </w:sectPr>
      </w:pPr>
    </w:p>
    <w:bookmarkStart w:id="104" w:name="page105"/>
    <w:bookmarkEnd w:id="104"/>
    <w:p>
      <w:pPr>
        <w:jc w:val="both"/>
        <w:spacing w:after="0" w:line="244" w:lineRule="auto"/>
        <w:rPr>
          <w:sz w:val="20"/>
          <w:szCs w:val="20"/>
          <w:color w:val="auto"/>
        </w:rPr>
      </w:pPr>
      <w:r>
        <w:rPr>
          <w:rFonts w:ascii="Arial" w:cs="Arial" w:eastAsia="Arial" w:hAnsi="Arial"/>
          <w:sz w:val="19"/>
          <w:szCs w:val="19"/>
          <w:color w:val="auto"/>
        </w:rPr>
        <w:t xml:space="preserve">representations and warranties of the Borrowers deemed made pursuant to </w:t>
      </w:r>
      <w:r>
        <w:rPr>
          <w:rFonts w:ascii="Arial" w:cs="Arial" w:eastAsia="Arial" w:hAnsi="Arial"/>
          <w:sz w:val="19"/>
          <w:szCs w:val="19"/>
          <w:u w:val="single" w:color="auto"/>
          <w:color w:val="auto"/>
        </w:rPr>
        <w:t>Sections 2.4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4.2</w:t>
      </w:r>
      <w:r>
        <w:rPr>
          <w:rFonts w:ascii="Arial" w:cs="Arial" w:eastAsia="Arial" w:hAnsi="Arial"/>
          <w:sz w:val="19"/>
          <w:szCs w:val="19"/>
          <w:color w:val="auto"/>
        </w:rPr>
        <w:t xml:space="preserve">, unless, at least one Business Day prior to the time such Letter of Credit is issued, amended, extended or increased (or, in the case of an automatic extension permitted pursuant to paragraph (a) of this Section, at least one Business Day prior to the time by which the election not to extend must be made by the applicable Issuing Bank), the Required Lenders or the Borrowers shall have notified the applicable Issuing Bank (with a copy to the Administrative Agent) in writing that, as a result of one or more events or circumstances described in such notice, one or more of the conditions precedent set forth in </w:t>
      </w:r>
      <w:r>
        <w:rPr>
          <w:rFonts w:ascii="Arial" w:cs="Arial" w:eastAsia="Arial" w:hAnsi="Arial"/>
          <w:sz w:val="19"/>
          <w:szCs w:val="19"/>
          <w:u w:val="single" w:color="auto"/>
          <w:color w:val="auto"/>
        </w:rPr>
        <w:t>Section 2.4(a)(iii)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2.4(a)(iv)</w:t>
      </w:r>
      <w:r>
        <w:rPr>
          <w:rFonts w:ascii="Arial" w:cs="Arial" w:eastAsia="Arial" w:hAnsi="Arial"/>
          <w:sz w:val="19"/>
          <w:szCs w:val="19"/>
          <w:color w:val="auto"/>
        </w:rPr>
        <w:t xml:space="preserve">, </w:t>
      </w:r>
      <w:r>
        <w:rPr>
          <w:rFonts w:ascii="Arial" w:cs="Arial" w:eastAsia="Arial" w:hAnsi="Arial"/>
          <w:sz w:val="19"/>
          <w:szCs w:val="19"/>
          <w:u w:val="single" w:color="auto"/>
          <w:color w:val="auto"/>
        </w:rPr>
        <w:t>2.4(a)(v)</w:t>
      </w:r>
      <w:r>
        <w:rPr>
          <w:rFonts w:ascii="Arial" w:cs="Arial" w:eastAsia="Arial" w:hAnsi="Arial"/>
          <w:sz w:val="19"/>
          <w:szCs w:val="19"/>
          <w:color w:val="auto"/>
        </w:rPr>
        <w:t xml:space="preserve">, </w:t>
      </w:r>
      <w:r>
        <w:rPr>
          <w:rFonts w:ascii="Arial" w:cs="Arial" w:eastAsia="Arial" w:hAnsi="Arial"/>
          <w:sz w:val="19"/>
          <w:szCs w:val="19"/>
          <w:u w:val="single" w:color="auto"/>
          <w:color w:val="auto"/>
        </w:rPr>
        <w:t>4.2(b)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4.2(c)</w:t>
      </w:r>
      <w:r>
        <w:rPr>
          <w:rFonts w:ascii="Arial" w:cs="Arial" w:eastAsia="Arial" w:hAnsi="Arial"/>
          <w:sz w:val="19"/>
          <w:szCs w:val="19"/>
          <w:color w:val="auto"/>
        </w:rPr>
        <w:t xml:space="preserve"> would not be satisfied if such Letter of Credit were then issued, amended, extended or increased (it being understood and agreed that, in the event any Issuing Bank shall have received any such notice, no Issuing Bank shall have any obligation to issue, amend, extend or increase any Letter of Credit until and unless it shall be satisfied that the events and circumstances described in such notice shall have been cured or otherwise shall have ceased to exist).</w:t>
      </w:r>
    </w:p>
    <w:p>
      <w:pPr>
        <w:spacing w:after="0" w:line="155" w:lineRule="exact"/>
        <w:rPr>
          <w:sz w:val="20"/>
          <w:szCs w:val="20"/>
          <w:color w:val="auto"/>
        </w:rPr>
      </w:pPr>
    </w:p>
    <w:p>
      <w:pPr>
        <w:jc w:val="both"/>
        <w:ind w:firstLine="1305"/>
        <w:spacing w:after="0" w:line="241" w:lineRule="auto"/>
        <w:tabs>
          <w:tab w:leader="none" w:pos="1767"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The obligation of the Borrowers to reimburse each Issuing Bank for drawings honored under the Letters of Credit issued by it shall be absolute, unconditional and irrevocable and shall be paid strictly in accordance with the terms hereof under all circumstances including any of the following circumstances: (i) any lack of validity or enforceability of any Letter of Credit; (ii) the existence of any claim, set off, defense or other right which the Borrowers may have at any time against a beneficiary or any transferee of any Letter of Credit (or any Persons for whom any such transferee may be acting), any Issuing Bank, Lender or any other Person, whether in connection herewith, the transactions contemplated herein or any unrelated transaction (including any underlying transaction between the Borrowers or one of their Restricted Subsidiaries and the beneficiary(ies) for which any Letter of Credit was procured); (iii) any draft or other document presented under any Letter of Credit proving to be forged, fraudulent, invalid or insufficient in any respect or any statement therein being untrue or inaccurate in any respect; (iv) payment by such Issuing Bank under any Letter of Credit against presentation of a draft or other document which does not substantially comply with the terms of such Letter of Credit; (v) any adverse change in the business, operations, properties, assets, condition (financial or otherwise) or prospects of the Borrowers or any of their Restricted Subsidiaries or any other Person; (vi) any breach hereof by any party hereto or any other Loan Document by any party thereto; (vii) any </w:t>
      </w:r>
      <w:r>
        <w:rPr>
          <w:rFonts w:ascii="Arial" w:cs="Arial" w:eastAsia="Arial" w:hAnsi="Arial"/>
          <w:sz w:val="19"/>
          <w:szCs w:val="19"/>
          <w:i w:val="1"/>
          <w:iCs w:val="1"/>
          <w:color w:val="auto"/>
        </w:rPr>
        <w:t>force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majeure </w:t>
      </w:r>
      <w:r>
        <w:rPr>
          <w:rFonts w:ascii="Arial" w:cs="Arial" w:eastAsia="Arial" w:hAnsi="Arial"/>
          <w:sz w:val="19"/>
          <w:szCs w:val="19"/>
          <w:color w:val="auto"/>
        </w:rPr>
        <w:t>or other event that under any rule of law or uniform practices to which any Letter of Credit is subject (including Rules</w:t>
      </w:r>
      <w:r>
        <w:rPr>
          <w:rFonts w:ascii="Arial" w:cs="Arial" w:eastAsia="Arial" w:hAnsi="Arial"/>
          <w:sz w:val="19"/>
          <w:szCs w:val="19"/>
          <w:i w:val="1"/>
          <w:iCs w:val="1"/>
          <w:color w:val="auto"/>
        </w:rPr>
        <w:t xml:space="preserve"> </w:t>
      </w:r>
      <w:r>
        <w:rPr>
          <w:rFonts w:ascii="Arial" w:cs="Arial" w:eastAsia="Arial" w:hAnsi="Arial"/>
          <w:sz w:val="19"/>
          <w:szCs w:val="19"/>
          <w:color w:val="auto"/>
        </w:rPr>
        <w:t>3.13 and 3.14 of ISP 98) permits a drawing to be made under such Letter of Credit after the expiration thereof or after the expiration or termination of the Commitments; (viii) any other circumstance or happening whatsoever, whether or not similar to any of the foregoing; or (ix) the fact that an Event of Default or a Default shall have occurred and be continuing.</w:t>
      </w:r>
    </w:p>
    <w:p>
      <w:pPr>
        <w:spacing w:after="0" w:line="158" w:lineRule="exact"/>
        <w:rPr>
          <w:rFonts w:ascii="Arial" w:cs="Arial" w:eastAsia="Arial" w:hAnsi="Arial"/>
          <w:sz w:val="19"/>
          <w:szCs w:val="19"/>
          <w:color w:val="auto"/>
        </w:rPr>
      </w:pPr>
    </w:p>
    <w:p>
      <w:pPr>
        <w:jc w:val="both"/>
        <w:ind w:firstLine="1305"/>
        <w:spacing w:after="0" w:line="243" w:lineRule="auto"/>
        <w:tabs>
          <w:tab w:leader="none" w:pos="1798"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Without duplication of any obligation of the Borrowers under </w:t>
      </w:r>
      <w:r>
        <w:rPr>
          <w:rFonts w:ascii="Arial" w:cs="Arial" w:eastAsia="Arial" w:hAnsi="Arial"/>
          <w:sz w:val="19"/>
          <w:szCs w:val="19"/>
          <w:u w:val="single" w:color="auto"/>
          <w:color w:val="auto"/>
        </w:rPr>
        <w:t>Section 10.3</w:t>
      </w:r>
      <w:r>
        <w:rPr>
          <w:rFonts w:ascii="Arial" w:cs="Arial" w:eastAsia="Arial" w:hAnsi="Arial"/>
          <w:sz w:val="19"/>
          <w:szCs w:val="19"/>
          <w:color w:val="auto"/>
        </w:rPr>
        <w:t>, in addition to amounts payable as provided herein, the Borrowers hereby jointly and severally agree to protect, indemnify, pay and save and hold harmless each Issuing Bank from and against any and all claims, demands, liabilities, damages and losses, and all reasonable and documented costs, charges and out-of-pocket expenses (including reasonable fees, out-of-pocket expenses and disbursements of one primary counsel (with exceptions for conflicts of interest) and one local counsel in each relevant jurisdiction), which such Issuing Bank may incur or be subject to as a consequence, direct or indirect, of (i) the issuance, amendment, extension or increase of any Letter of Credit by such Issuing Bank, any demand for payment thereunder, any payment or other action taken or omitted to be taken in connection with such Letter of Credit or this Agreement, or any transaction(s) supported by such Letter of Credit, other than as a result of (1) the gross negligence or willful misconduct of such Issuing Bank as determined by a final, non-appealable judgment of a court of competent jurisdiction or (2) the wrongful dishonor by such Issuing Bank of a presentation under any Letter of Credit which strictly complies with the</w:t>
      </w:r>
    </w:p>
    <w:p>
      <w:pPr>
        <w:sectPr>
          <w:pgSz w:w="11900" w:h="16838" w:orient="portrait"/>
          <w:cols w:equalWidth="0" w:num="1">
            <w:col w:w="11160"/>
          </w:cols>
          <w:pgMar w:left="400" w:top="1401" w:right="339" w:bottom="1440" w:gutter="0" w:footer="0" w:header="0"/>
        </w:sectPr>
      </w:pPr>
    </w:p>
    <w:bookmarkStart w:id="105" w:name="page106"/>
    <w:bookmarkEnd w:id="105"/>
    <w:p>
      <w:pPr>
        <w:jc w:val="both"/>
        <w:spacing w:after="0" w:line="223" w:lineRule="auto"/>
        <w:rPr>
          <w:sz w:val="20"/>
          <w:szCs w:val="20"/>
          <w:color w:val="auto"/>
        </w:rPr>
      </w:pPr>
      <w:r>
        <w:rPr>
          <w:rFonts w:ascii="Arial" w:cs="Arial" w:eastAsia="Arial" w:hAnsi="Arial"/>
          <w:sz w:val="22"/>
          <w:szCs w:val="22"/>
          <w:color w:val="auto"/>
        </w:rPr>
        <w:t>terms and conditions of such Letter of Credit, or (ii) the failure of such Issuing Bank to honor a drawing under any such Letter of Credit as a result of any Governmental Act. The Borrowers will pay all amounts owing under this Section promptly after written demand therefor.</w:t>
      </w:r>
    </w:p>
    <w:p>
      <w:pPr>
        <w:spacing w:after="0" w:line="159" w:lineRule="exact"/>
        <w:rPr>
          <w:sz w:val="20"/>
          <w:szCs w:val="20"/>
          <w:color w:val="auto"/>
        </w:rPr>
      </w:pPr>
    </w:p>
    <w:p>
      <w:pPr>
        <w:jc w:val="both"/>
        <w:ind w:firstLine="1305"/>
        <w:spacing w:after="0" w:line="241" w:lineRule="auto"/>
        <w:tabs>
          <w:tab w:leader="none" w:pos="1841" w:val="left"/>
        </w:tabs>
        <w:numPr>
          <w:ilvl w:val="0"/>
          <w:numId w:val="75"/>
        </w:numPr>
        <w:rPr>
          <w:rFonts w:ascii="Arial" w:cs="Arial" w:eastAsia="Arial" w:hAnsi="Arial"/>
          <w:sz w:val="19"/>
          <w:szCs w:val="19"/>
          <w:color w:val="auto"/>
        </w:rPr>
      </w:pPr>
      <w:r>
        <w:rPr>
          <w:rFonts w:ascii="Arial" w:cs="Arial" w:eastAsia="Arial" w:hAnsi="Arial"/>
          <w:sz w:val="19"/>
          <w:szCs w:val="19"/>
          <w:color w:val="auto"/>
        </w:rPr>
        <w:t>An Issuing Bank may resign as an Issuing Bank by providing at least 30 days prior written notice to the Administrative Agent, the Lenders and the Borrowers. An Issuing Bank may be replaced at any time by written agreement among the Borrowers, the Administrative Agent, the replaced Issuing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consent will be required if the replaced Issuing Bank has no Letters of Credit or reimbursement obligations with respect thereto outstanding) and the successor Issuing Bank. The Administrative Agent shall notify the Lenders of any such resignation or replacement of such Issuing Bank. From and after the effective date of any such replacement or resignation, (i) any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At the time any such resignation or replacement shall become effective, (A) the Borrowers shall pay all unpaid fees accrued for the account of the resigning or replaced Issuing Bank pursuant to </w:t>
      </w:r>
      <w:r>
        <w:rPr>
          <w:rFonts w:ascii="Arial" w:cs="Arial" w:eastAsia="Arial" w:hAnsi="Arial"/>
          <w:sz w:val="19"/>
          <w:szCs w:val="19"/>
          <w:u w:val="single" w:color="auto"/>
          <w:color w:val="auto"/>
        </w:rPr>
        <w:t>Sections 2.11(c)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and (B) the resigning or replaced Issuing Bank shall remain a party hereto to the extent that Letters of Credit issued by it remain outstanding and shall continue to have all the rights and obligations of an Issuing Bank under this Agreement with respect to Letters of Credit issued by it prior to such resignation or replacement. After the replacement or resignation of an Issuing Bank hereunder, the resigning or replaced Issuing Bank shall not be required to issue, amend, extend or increase any Letters of Credit.</w:t>
      </w:r>
    </w:p>
    <w:p>
      <w:pPr>
        <w:spacing w:after="0" w:line="384" w:lineRule="exact"/>
        <w:rPr>
          <w:rFonts w:ascii="Arial" w:cs="Arial" w:eastAsia="Arial" w:hAnsi="Arial"/>
          <w:sz w:val="19"/>
          <w:szCs w:val="19"/>
          <w:color w:val="auto"/>
        </w:rPr>
      </w:pPr>
    </w:p>
    <w:p>
      <w:pPr>
        <w:jc w:val="both"/>
        <w:ind w:firstLine="1305"/>
        <w:spacing w:after="0" w:line="211" w:lineRule="auto"/>
        <w:tabs>
          <w:tab w:leader="none" w:pos="173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Borrowers may, at any time and from time to time, with the consent of the Administrative Agent (which consent shall not be unreasonably withheld), designate as additional Issuing Banks one or more Lenders that agree to serve in such capacity as provided below. The acceptance by a Lender of an appointment as an Issuing Bank hereunder shall be evidenced by a written agreement, which shall be in form and substance reasonably satisfactory to the Administrative Agent, executed by the Borrowers, the Administrative Agent and such designated Lender and, from and after the effective date of such agreement, (i) such Lender shall have all the rights and obligations of an Issuing Bank under this Agreement and (ii) references herein to the term “Issuing Bank” shall be deemed to include such Lender in its capacity as an issuer of Letters of Credit hereunder.</w:t>
      </w:r>
    </w:p>
    <w:p>
      <w:pPr>
        <w:spacing w:after="0" w:line="164" w:lineRule="exact"/>
        <w:rPr>
          <w:rFonts w:ascii="Arial" w:cs="Arial" w:eastAsia="Arial" w:hAnsi="Arial"/>
          <w:sz w:val="22"/>
          <w:szCs w:val="22"/>
          <w:color w:val="auto"/>
        </w:rPr>
      </w:pPr>
    </w:p>
    <w:p>
      <w:pPr>
        <w:jc w:val="both"/>
        <w:ind w:firstLine="1305"/>
        <w:spacing w:after="0" w:line="242" w:lineRule="auto"/>
        <w:tabs>
          <w:tab w:leader="none" w:pos="1722" w:val="left"/>
        </w:tabs>
        <w:numPr>
          <w:ilvl w:val="0"/>
          <w:numId w:val="75"/>
        </w:numPr>
        <w:rPr>
          <w:rFonts w:ascii="Arial" w:cs="Arial" w:eastAsia="Arial" w:hAnsi="Arial"/>
          <w:sz w:val="19"/>
          <w:szCs w:val="19"/>
          <w:color w:val="auto"/>
        </w:rPr>
      </w:pPr>
      <w:r>
        <w:rPr>
          <w:rFonts w:ascii="Arial" w:cs="Arial" w:eastAsia="Arial" w:hAnsi="Arial"/>
          <w:sz w:val="19"/>
          <w:szCs w:val="19"/>
          <w:color w:val="auto"/>
        </w:rPr>
        <w:t>If any Event of Default shall occur and be continuing, on the Business Day that the Borrowers receive notice from the Administrative Agent or the Required Lenders demanding the deposit of cash collateral pursuant to this paragraph, the Borrowers shall deposit in an account with the Administrative Agent, in the name of the Administrative Agent and for the benefit of the Lenders and the Issuing Banks, an amount in cash equal to 103% of Letter of Credit Usage attributable to all outstanding Letter of Credits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Letter of Credit Usage increases at any time following such deposit, the applicable Borrowers shall, at the request of the Administrative Agent, deposit additional amounts in cash in dollars so that such deposit account holds at least 103% of the amount of Letter of Credit Usage at any time) plus any accrued and unpaid interest thereon, in each case in dollars;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obligation to deposit such cash collateral shall become effective immediately, and such cash collateral shall become immediately due and payable, without demand or other notice of any kind, upon the occurrence of any Event of Default with respect to the Borrowers described in </w:t>
      </w:r>
      <w:r>
        <w:rPr>
          <w:rFonts w:ascii="Arial" w:cs="Arial" w:eastAsia="Arial" w:hAnsi="Arial"/>
          <w:sz w:val="19"/>
          <w:szCs w:val="19"/>
          <w:u w:val="single" w:color="auto"/>
          <w:color w:val="auto"/>
        </w:rPr>
        <w:t>Article VIII (h)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Such cash collateral shall be held by the Administrative Agent as collateral for the payment and performance of the obligations of the Borrowers under this Agreement. The Administrative Agent shall have exclusive dominion and control, including the exclusive right of withdrawal, over such account. Other than any interest earned on the investment of such cash collateral, which investments shall be made at the option and</w:t>
      </w:r>
    </w:p>
    <w:p>
      <w:pPr>
        <w:sectPr>
          <w:pgSz w:w="11900" w:h="16838" w:orient="portrait"/>
          <w:cols w:equalWidth="0" w:num="1">
            <w:col w:w="11160"/>
          </w:cols>
          <w:pgMar w:left="400" w:top="1401" w:right="339" w:bottom="1440" w:gutter="0" w:footer="0" w:header="0"/>
        </w:sectPr>
      </w:pPr>
    </w:p>
    <w:bookmarkStart w:id="106" w:name="page107"/>
    <w:bookmarkEnd w:id="106"/>
    <w:p>
      <w:pPr>
        <w:jc w:val="both"/>
        <w:ind w:left="80"/>
        <w:spacing w:after="0" w:line="244" w:lineRule="auto"/>
        <w:rPr>
          <w:sz w:val="20"/>
          <w:szCs w:val="20"/>
          <w:color w:val="auto"/>
        </w:rPr>
      </w:pPr>
      <w:r>
        <w:rPr>
          <w:rFonts w:ascii="Arial" w:cs="Arial" w:eastAsia="Arial" w:hAnsi="Arial"/>
          <w:sz w:val="19"/>
          <w:szCs w:val="19"/>
          <w:color w:val="auto"/>
        </w:rPr>
        <w:t>sole discretion of the Administrative Agent and at the Borrowers’ risk and expense, such cash collateral shall not bear interest. Interest or profits, if any, on such investments shall accumulate in such account. Moneys in such account shall be applied by the Administrative Agent to reimburse the Issuing Banks for any disbursements under Letters of Credit for which they have not been reimbursed and, to the extent not so applied, shall be held as cash collateral for the satisfaction of the reimbursement obligations of the Borrowers for the Letter of Credit Usage at such time, and after such cash collateralization and/or payment in full of all Letter of Credit Usage, may be applied to satisfy other obligations of the Borrowers under this Agreement. If the Borrowers are required to provide amounts of cash collateral hereunder as a result of the occurrence of an Event of Default, such amounts (to the extent not applied as aforesaid) shall be returned to the Borrowers (or as otherwise ordered by a court of competent jurisdiction) within five Business Days after all Events of Default have been cured or waived.</w:t>
      </w:r>
    </w:p>
    <w:p>
      <w:pPr>
        <w:spacing w:after="0" w:line="161" w:lineRule="exact"/>
        <w:rPr>
          <w:sz w:val="20"/>
          <w:szCs w:val="20"/>
          <w:color w:val="auto"/>
        </w:rPr>
      </w:pPr>
    </w:p>
    <w:p>
      <w:pPr>
        <w:jc w:val="both"/>
        <w:ind w:left="80" w:firstLine="1305"/>
        <w:spacing w:after="0" w:line="244" w:lineRule="auto"/>
        <w:tabs>
          <w:tab w:leader="none" w:pos="1963" w:val="left"/>
        </w:tabs>
        <w:numPr>
          <w:ilvl w:val="0"/>
          <w:numId w:val="76"/>
        </w:numPr>
        <w:rPr>
          <w:rFonts w:ascii="Arial" w:cs="Arial" w:eastAsia="Arial" w:hAnsi="Arial"/>
          <w:sz w:val="19"/>
          <w:szCs w:val="19"/>
          <w:color w:val="auto"/>
        </w:rPr>
      </w:pPr>
      <w:r>
        <w:rPr>
          <w:rFonts w:ascii="Arial" w:cs="Arial" w:eastAsia="Arial" w:hAnsi="Arial"/>
          <w:sz w:val="19"/>
          <w:szCs w:val="19"/>
          <w:color w:val="auto"/>
        </w:rPr>
        <w:t>Unless otherwise expressly agreed by the applicable Issuing Bank and the Borrowers when a Letter of Credit is issued, the rules of the ISP 98 (including those relating to payment of fees of correspondent banks in the case of Letters of Credit denominated in Alternative Currencies) shall apply to each Letter of Credit. Notwithstanding the foregoing, no Issuing Bank shall be responsible to the Borrowers for, and each Issuing Bank’s rights and remedies against the Borrowers shall not be impaired by, any action or inaction of such Issuing Bank required under, or expressly authorized under the circumstances by, any applicable law, order, or practice that is required to be applied to any Letter of Credit or this Agreement, including the law or any order of a jurisdiction where such Issuing Bank or the beneficiary of any Letter of Credit is located, the practice stated in the ISP 98, or in the decisions, opinions, practice statements, or official commentary of the ICC Banking Commission, the Bankers Association for Finance and Trade, Inc. (BAFT), or the Institute of International Banking Law &amp; Practice, whether or not any such law or practice is applicable to any Letter of Credit.</w:t>
      </w:r>
    </w:p>
    <w:p>
      <w:pPr>
        <w:spacing w:after="0" w:line="155"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9"/>
          <w:szCs w:val="19"/>
          <w:u w:val="single" w:color="auto"/>
          <w:color w:val="auto"/>
        </w:rPr>
        <w:t>Requests for Borrowings</w:t>
      </w:r>
      <w:r>
        <w:rPr>
          <w:rFonts w:ascii="Arial" w:cs="Arial" w:eastAsia="Arial" w:hAnsi="Arial"/>
          <w:sz w:val="19"/>
          <w:szCs w:val="19"/>
          <w:color w:val="auto"/>
        </w:rPr>
        <w:t>.</w:t>
      </w:r>
    </w:p>
    <w:p>
      <w:pPr>
        <w:spacing w:after="0" w:line="17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 xml:space="preserve">To request a Borrowing, one or more of the Borrowers shall deliver to the Administrative Agent a written Borrowing Request in substantially the form of </w:t>
      </w:r>
      <w:r>
        <w:rPr>
          <w:rFonts w:ascii="Arial" w:cs="Arial" w:eastAsia="Arial" w:hAnsi="Arial"/>
          <w:sz w:val="19"/>
          <w:szCs w:val="19"/>
          <w:u w:val="single" w:color="auto"/>
          <w:color w:val="auto"/>
        </w:rPr>
        <w:t>Exhibit B-1</w:t>
      </w:r>
      <w:r>
        <w:rPr>
          <w:rFonts w:ascii="Arial" w:cs="Arial" w:eastAsia="Arial" w:hAnsi="Arial"/>
          <w:sz w:val="19"/>
          <w:szCs w:val="19"/>
          <w:color w:val="auto"/>
        </w:rPr>
        <w:t xml:space="preserve"> attached hereto and signed by such Borrowers (a) in the case of a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highlight w:val="lightGray"/>
        </w:rPr>
        <w:t>Term Benchmark</w:t>
      </w:r>
      <w:r>
        <w:rPr>
          <w:rFonts w:ascii="Arial" w:cs="Arial" w:eastAsia="Arial" w:hAnsi="Arial"/>
          <w:sz w:val="19"/>
          <w:szCs w:val="19"/>
          <w:color w:val="FF0000"/>
        </w:rPr>
        <w:t xml:space="preserve"> </w:t>
      </w:r>
      <w:r>
        <w:rPr>
          <w:rFonts w:ascii="Arial" w:cs="Arial" w:eastAsia="Arial" w:hAnsi="Arial"/>
          <w:sz w:val="19"/>
          <w:szCs w:val="19"/>
          <w:color w:val="000000"/>
        </w:rPr>
        <w:t>Borrowing, not later than 11:00 a.m., New York City time, three</w:t>
      </w:r>
      <w:r>
        <w:rPr>
          <w:rFonts w:ascii="Arial" w:cs="Arial" w:eastAsia="Arial" w:hAnsi="Arial"/>
          <w:sz w:val="19"/>
          <w:szCs w:val="19"/>
          <w:color w:val="FF0000"/>
        </w:rPr>
        <w:t xml:space="preserve"> </w:t>
      </w:r>
      <w:r>
        <w:rPr>
          <w:rFonts w:ascii="Arial" w:cs="Arial" w:eastAsia="Arial" w:hAnsi="Arial"/>
          <w:sz w:val="19"/>
          <w:szCs w:val="19"/>
          <w:u w:val="single" w:color="auto"/>
          <w:color w:val="0000FF"/>
          <w:highlight w:val="lightGray"/>
        </w:rPr>
        <w:t>U.S. Government Securities</w:t>
      </w:r>
      <w:r>
        <w:rPr>
          <w:rFonts w:ascii="Arial" w:cs="Arial" w:eastAsia="Arial" w:hAnsi="Arial"/>
          <w:sz w:val="19"/>
          <w:szCs w:val="19"/>
          <w:color w:val="FF0000"/>
        </w:rPr>
        <w:t xml:space="preserve"> </w:t>
      </w:r>
      <w:r>
        <w:rPr>
          <w:rFonts w:ascii="Arial" w:cs="Arial" w:eastAsia="Arial" w:hAnsi="Arial"/>
          <w:sz w:val="19"/>
          <w:szCs w:val="19"/>
          <w:color w:val="000000"/>
        </w:rPr>
        <w:t xml:space="preserve">Business Days before the date of the proposed Borrowing or (b) in the case of an ABR Borrowing, not later than 2:00 p.m., New York City time, on the date of the proposed Borrowing. Each such Borrowing Request shall be irrevocable and shall be by hand delivery or telecopy (or facsimile or other electronic transmission (e.g., .pdf via e-mail)) to the Administrative Agent. Each such Borrowing Request shall specify the following information in compliance with </w:t>
      </w:r>
      <w:r>
        <w:rPr>
          <w:rFonts w:ascii="Arial" w:cs="Arial" w:eastAsia="Arial" w:hAnsi="Arial"/>
          <w:sz w:val="19"/>
          <w:szCs w:val="19"/>
          <w:u w:val="single" w:color="auto"/>
          <w:color w:val="000000"/>
        </w:rPr>
        <w:t>Section 2.2</w:t>
      </w:r>
      <w:r>
        <w:rPr>
          <w:rFonts w:ascii="Arial" w:cs="Arial" w:eastAsia="Arial" w:hAnsi="Arial"/>
          <w:sz w:val="19"/>
          <w:szCs w:val="19"/>
          <w:color w:val="000000"/>
        </w:rPr>
        <w:t>:</w:t>
      </w:r>
    </w:p>
    <w:p>
      <w:pPr>
        <w:spacing w:after="0" w:line="154" w:lineRule="exact"/>
        <w:rPr>
          <w:sz w:val="20"/>
          <w:szCs w:val="20"/>
          <w:color w:val="auto"/>
        </w:rPr>
      </w:pPr>
    </w:p>
    <w:p>
      <w:pPr>
        <w:ind w:left="1720" w:hanging="416"/>
        <w:spacing w:after="0"/>
        <w:tabs>
          <w:tab w:leader="none" w:pos="172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applicable Borrowers for the requested Borrowing;</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aggregate amount of the requested Borrowing;</w:t>
      </w:r>
    </w:p>
    <w:p>
      <w:pPr>
        <w:spacing w:after="0" w:line="179" w:lineRule="exact"/>
        <w:rPr>
          <w:rFonts w:ascii="Arial" w:cs="Arial" w:eastAsia="Arial" w:hAnsi="Arial"/>
          <w:sz w:val="22"/>
          <w:szCs w:val="22"/>
          <w:color w:val="auto"/>
        </w:rPr>
      </w:pPr>
    </w:p>
    <w:p>
      <w:pPr>
        <w:ind w:left="1840" w:hanging="536"/>
        <w:spacing w:after="0"/>
        <w:tabs>
          <w:tab w:leader="none" w:pos="18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date of such Borrowing, which shall be a Business Day;</w:t>
      </w:r>
    </w:p>
    <w:p>
      <w:pPr>
        <w:spacing w:after="0" w:line="179" w:lineRule="exact"/>
        <w:rPr>
          <w:rFonts w:ascii="Arial" w:cs="Arial" w:eastAsia="Arial" w:hAnsi="Arial"/>
          <w:sz w:val="22"/>
          <w:szCs w:val="22"/>
          <w:color w:val="auto"/>
        </w:rPr>
      </w:pPr>
    </w:p>
    <w:p>
      <w:pPr>
        <w:ind w:left="1840" w:hanging="536"/>
        <w:spacing w:after="0"/>
        <w:tabs>
          <w:tab w:leader="none" w:pos="18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 xml:space="preserve">whether such Borrowing is to be an ABR Borrowing or a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highlight w:val="lightGray"/>
        </w:rPr>
        <w:t>Term Benchmark</w:t>
      </w:r>
      <w:r>
        <w:rPr>
          <w:rFonts w:ascii="Arial" w:cs="Arial" w:eastAsia="Arial" w:hAnsi="Arial"/>
          <w:sz w:val="22"/>
          <w:szCs w:val="22"/>
          <w:color w:val="auto"/>
        </w:rPr>
        <w:t xml:space="preserve"> Borrowing;</w:t>
      </w:r>
    </w:p>
    <w:p>
      <w:pPr>
        <w:spacing w:after="0" w:line="179" w:lineRule="exact"/>
        <w:rPr>
          <w:rFonts w:ascii="Arial" w:cs="Arial" w:eastAsia="Arial" w:hAnsi="Arial"/>
          <w:sz w:val="22"/>
          <w:szCs w:val="22"/>
          <w:color w:val="auto"/>
        </w:rPr>
      </w:pPr>
    </w:p>
    <w:p>
      <w:pPr>
        <w:ind w:left="660" w:firstLine="644"/>
        <w:spacing w:after="0" w:line="232" w:lineRule="auto"/>
        <w:tabs>
          <w:tab w:leader="none" w:pos="1844" w:val="left"/>
        </w:tabs>
        <w:numPr>
          <w:ilvl w:val="0"/>
          <w:numId w:val="77"/>
        </w:numPr>
        <w:rPr>
          <w:rFonts w:ascii="Arial" w:cs="Arial" w:eastAsia="Arial" w:hAnsi="Arial"/>
          <w:sz w:val="22"/>
          <w:szCs w:val="22"/>
          <w:color w:val="auto"/>
        </w:rPr>
      </w:pPr>
      <w:r>
        <w:rPr>
          <w:rFonts w:ascii="Arial" w:cs="Arial" w:eastAsia="Arial" w:hAnsi="Arial"/>
          <w:sz w:val="22"/>
          <w:szCs w:val="22"/>
          <w:color w:val="auto"/>
        </w:rPr>
        <w:t xml:space="preserve">in the case of a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highlight w:val="lightGray"/>
        </w:rPr>
        <w:t>Term Benchmark</w:t>
      </w:r>
      <w:r>
        <w:rPr>
          <w:rFonts w:ascii="Arial" w:cs="Arial" w:eastAsia="Arial" w:hAnsi="Arial"/>
          <w:sz w:val="22"/>
          <w:szCs w:val="22"/>
          <w:color w:val="auto"/>
        </w:rPr>
        <w:t xml:space="preserve"> Borrowing, the initial Interest Period to be applicable thereto, which shall be a period contemplated by the definition of the term “</w:t>
      </w:r>
      <w:r>
        <w:rPr>
          <w:rFonts w:ascii="Arial" w:cs="Arial" w:eastAsia="Arial" w:hAnsi="Arial"/>
          <w:sz w:val="22"/>
          <w:szCs w:val="22"/>
          <w:u w:val="single" w:color="auto"/>
          <w:color w:val="auto"/>
        </w:rPr>
        <w:t>Interest Period</w:t>
      </w:r>
      <w:r>
        <w:rPr>
          <w:rFonts w:ascii="Arial" w:cs="Arial" w:eastAsia="Arial" w:hAnsi="Arial"/>
          <w:sz w:val="22"/>
          <w:szCs w:val="22"/>
          <w:color w:val="auto"/>
        </w:rPr>
        <w:t>”; and</w:t>
      </w:r>
    </w:p>
    <w:p>
      <w:pPr>
        <w:sectPr>
          <w:pgSz w:w="11900" w:h="16838" w:orient="portrait"/>
          <w:cols w:equalWidth="0" w:num="1">
            <w:col w:w="11240"/>
          </w:cols>
          <w:pgMar w:left="320" w:top="1401" w:right="339" w:bottom="1440" w:gutter="0" w:footer="0" w:header="0"/>
        </w:sectPr>
      </w:pPr>
    </w:p>
    <w:bookmarkStart w:id="107" w:name="page108"/>
    <w:bookmarkEnd w:id="107"/>
    <w:p>
      <w:pPr>
        <w:jc w:val="both"/>
        <w:ind w:left="660" w:firstLine="644"/>
        <w:spacing w:after="0" w:line="268" w:lineRule="auto"/>
        <w:tabs>
          <w:tab w:leader="none" w:pos="1868"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the location and number of the account or accounts to which funds are to be disbursed, which shall comply with the requirements of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or, in the case of any Loan requested to finance the reimbursement of drawing under a Letter of Credit as provided in </w:t>
      </w:r>
      <w:r>
        <w:rPr>
          <w:rFonts w:ascii="Arial" w:cs="Arial" w:eastAsia="Arial" w:hAnsi="Arial"/>
          <w:sz w:val="19"/>
          <w:szCs w:val="19"/>
          <w:u w:val="single" w:color="auto"/>
          <w:color w:val="auto"/>
        </w:rPr>
        <w:t>Section 2.4(d)</w:t>
      </w:r>
      <w:r>
        <w:rPr>
          <w:rFonts w:ascii="Arial" w:cs="Arial" w:eastAsia="Arial" w:hAnsi="Arial"/>
          <w:sz w:val="19"/>
          <w:szCs w:val="19"/>
          <w:color w:val="auto"/>
        </w:rPr>
        <w:t>, the identity of the Issuing Bank that has honored such drawing.</w:t>
      </w:r>
    </w:p>
    <w:p>
      <w:pPr>
        <w:spacing w:after="0" w:line="132"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 xml:space="preserve">If no election as to the Type of Borrowing is specified with respect to Revolving Loans, then the requested Borrowing shall be an ABR Borrowing. If no Interest Period is specified with respect to any requested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highlight w:val="lightGray"/>
        </w:rPr>
        <w:t>Term</w:t>
      </w:r>
      <w:r>
        <w:rPr>
          <w:rFonts w:ascii="Arial" w:cs="Arial" w:eastAsia="Arial" w:hAnsi="Arial"/>
          <w:sz w:val="19"/>
          <w:szCs w:val="19"/>
          <w:color w:val="auto"/>
        </w:rPr>
        <w:t xml:space="preserve"> </w:t>
      </w:r>
      <w:r>
        <w:rPr>
          <w:rFonts w:ascii="Arial" w:cs="Arial" w:eastAsia="Arial" w:hAnsi="Arial"/>
          <w:sz w:val="19"/>
          <w:szCs w:val="19"/>
          <w:u w:val="single" w:color="auto"/>
          <w:color w:val="0000FF"/>
          <w:highlight w:val="lightGray"/>
        </w:rPr>
        <w:t>Benchmark</w:t>
      </w:r>
      <w:r>
        <w:rPr>
          <w:rFonts w:ascii="Arial" w:cs="Arial" w:eastAsia="Arial" w:hAnsi="Arial"/>
          <w:sz w:val="19"/>
          <w:szCs w:val="19"/>
          <w:color w:val="0000FF"/>
          <w:highlight w:val="lightGray"/>
        </w:rPr>
        <w:t xml:space="preserve"> </w:t>
      </w:r>
      <w:r>
        <w:rPr>
          <w:rFonts w:ascii="Arial" w:cs="Arial" w:eastAsia="Arial" w:hAnsi="Arial"/>
          <w:sz w:val="19"/>
          <w:szCs w:val="19"/>
          <w:color w:val="000000"/>
        </w:rPr>
        <w:t>Borrowing, then the Borrowers shall be deemed to have selected an Interest Period of one month’s duration.</w:t>
      </w:r>
      <w:r>
        <w:rPr>
          <w:rFonts w:ascii="Arial" w:cs="Arial" w:eastAsia="Arial" w:hAnsi="Arial"/>
          <w:sz w:val="19"/>
          <w:szCs w:val="19"/>
          <w:color w:val="0000FF"/>
          <w:highlight w:val="lightGray"/>
        </w:rPr>
        <w:t xml:space="preserve"> </w:t>
      </w:r>
      <w:r>
        <w:rPr>
          <w:rFonts w:ascii="Arial" w:cs="Arial" w:eastAsia="Arial" w:hAnsi="Arial"/>
          <w:sz w:val="19"/>
          <w:szCs w:val="19"/>
          <w:color w:val="000000"/>
        </w:rPr>
        <w:t>Promptly following receipt of a Borrowing Request in accordance with this Section, the Administrative Agent shall advise each Lender of the details thereof and of the amount of such Lender’s Loan to be made as part of the requested Borrowing.</w:t>
      </w:r>
    </w:p>
    <w:p>
      <w:pPr>
        <w:spacing w:after="0" w:line="14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 xml:space="preserve">Section 2.6 </w:t>
      </w:r>
      <w:r>
        <w:rPr>
          <w:rFonts w:ascii="Arial" w:cs="Arial" w:eastAsia="Arial" w:hAnsi="Arial"/>
          <w:sz w:val="19"/>
          <w:szCs w:val="19"/>
          <w:u w:val="single" w:color="auto"/>
          <w:color w:val="auto"/>
        </w:rPr>
        <w:t>Funding of Borrowings</w:t>
      </w:r>
      <w:r>
        <w:rPr>
          <w:rFonts w:ascii="Arial" w:cs="Arial" w:eastAsia="Arial" w:hAnsi="Arial"/>
          <w:sz w:val="19"/>
          <w:szCs w:val="19"/>
          <w:color w:val="auto"/>
        </w:rPr>
        <w:t xml:space="preserve">. (a) Each Lender shall make each Loan to be made by it hereunder on the proposed date thereof by wire transfer of immediately available funds by (a) in the case of a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highlight w:val="lightGray"/>
        </w:rPr>
        <w:t>Term Benchmark</w:t>
      </w:r>
      <w:r>
        <w:rPr>
          <w:rFonts w:ascii="Arial" w:cs="Arial" w:eastAsia="Arial" w:hAnsi="Arial"/>
          <w:sz w:val="19"/>
          <w:szCs w:val="19"/>
          <w:color w:val="auto"/>
        </w:rPr>
        <w:t xml:space="preserve"> Borrowing, 12:00 noon, New York City time and (b) in the case of an ABR Borrowing, 4:00 p.m., New York City time, in each case, to the account of the Administrative Agent most recently designated by it for such purpose by notice to the Lenders. The Administrative Agent will make such Loans available to the Borrowers by promptly crediting the amounts so received, in like funds, to an account or accounts designated by the Borrowers in the applicable Borrowing Request.</w:t>
      </w:r>
    </w:p>
    <w:p>
      <w:pPr>
        <w:spacing w:after="0" w:line="152" w:lineRule="exact"/>
        <w:rPr>
          <w:sz w:val="20"/>
          <w:szCs w:val="20"/>
          <w:color w:val="auto"/>
        </w:rPr>
      </w:pPr>
    </w:p>
    <w:p>
      <w:pPr>
        <w:jc w:val="both"/>
        <w:ind w:left="80" w:firstLine="1305"/>
        <w:spacing w:after="0" w:line="219" w:lineRule="auto"/>
        <w:tabs>
          <w:tab w:leader="none" w:pos="1867" w:val="left"/>
        </w:tabs>
        <w:numPr>
          <w:ilvl w:val="0"/>
          <w:numId w:val="79"/>
        </w:numPr>
        <w:rPr>
          <w:rFonts w:ascii="Arial" w:cs="Arial" w:eastAsia="Arial" w:hAnsi="Arial"/>
          <w:sz w:val="21"/>
          <w:szCs w:val="21"/>
          <w:color w:val="auto"/>
        </w:rPr>
      </w:pPr>
      <w:r>
        <w:rPr>
          <w:rFonts w:ascii="Arial" w:cs="Arial" w:eastAsia="Arial" w:hAnsi="Arial"/>
          <w:sz w:val="21"/>
          <w:szCs w:val="21"/>
          <w:color w:val="auto"/>
        </w:rPr>
        <w:t>Unless the Administrative Agent shall have received notice from a Lender prior to the proposed date of any Borrowing that such Lender will not make available to the Administrative Agent such Lender’s Applicable Percentage of such Borrowing, the Administrative Agent may assume that such Lender has made such Applicable Percentage available on such date in accordance with paragraph (a) of this Section and may, in reliance upon such assumption, make available to the Borrowers a corresponding amount. In such event, if a Lender has not in fact made its Applicable Percentage of the applicable Borrowing available to the Administrative Agent, then the applicable Lender and the Borrowers severally agree to pay to the Administrative Agent forthwith on demand such corresponding amount with interest thereon, for each day from and including the date such amount is made available to the Borrowers to but excluding the date of payment to the Administrative Agent, at (i) in the case of such Lender, the greater of the NYFRB Rate and a rate determined by the Administrative Agent in accordance with banking industry rules on interbank compensation or (ii) in the case of the Borrowers, the interest rate applicable to ABR Loans. If such Lender pays such amount to the Administrative Agent, then such amount shall constitute such Lender’s Loan included in such Borrowing.</w:t>
      </w:r>
    </w:p>
    <w:p>
      <w:pPr>
        <w:spacing w:after="0" w:line="164"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 xml:space="preserve">Section 2.7 </w:t>
      </w:r>
      <w:r>
        <w:rPr>
          <w:rFonts w:ascii="Arial" w:cs="Arial" w:eastAsia="Arial" w:hAnsi="Arial"/>
          <w:sz w:val="21"/>
          <w:szCs w:val="21"/>
          <w:u w:val="single" w:color="auto"/>
          <w:color w:val="auto"/>
        </w:rPr>
        <w:t>Interest Elections</w:t>
      </w:r>
      <w:r>
        <w:rPr>
          <w:rFonts w:ascii="Arial" w:cs="Arial" w:eastAsia="Arial" w:hAnsi="Arial"/>
          <w:sz w:val="21"/>
          <w:szCs w:val="21"/>
          <w:color w:val="auto"/>
        </w:rPr>
        <w:t xml:space="preserve">. (a) Each Borrowing initially shall be of the Type specified in the applicable Borrowing Request and, in the case of a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highlight w:val="lightGray"/>
        </w:rPr>
        <w:t>Term Benchmark</w:t>
      </w:r>
      <w:r>
        <w:rPr>
          <w:rFonts w:ascii="Arial" w:cs="Arial" w:eastAsia="Arial" w:hAnsi="Arial"/>
          <w:sz w:val="21"/>
          <w:szCs w:val="21"/>
          <w:color w:val="auto"/>
        </w:rPr>
        <w:t xml:space="preserve"> Borrowing, shall have an initial Interest Period as specified in such Borrowing Request or as otherwise provided in </w:t>
      </w:r>
      <w:r>
        <w:rPr>
          <w:rFonts w:ascii="Arial" w:cs="Arial" w:eastAsia="Arial" w:hAnsi="Arial"/>
          <w:sz w:val="21"/>
          <w:szCs w:val="21"/>
          <w:u w:val="single" w:color="auto"/>
          <w:color w:val="auto"/>
        </w:rPr>
        <w:t>Section 2.5</w:t>
      </w:r>
      <w:r>
        <w:rPr>
          <w:rFonts w:ascii="Arial" w:cs="Arial" w:eastAsia="Arial" w:hAnsi="Arial"/>
          <w:sz w:val="21"/>
          <w:szCs w:val="21"/>
          <w:color w:val="auto"/>
        </w:rPr>
        <w:t xml:space="preserve">. Thereafter, the Borrowers may elect to convert such Borrowing to a different Type or to continue such Borrowing and, in the case of a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highlight w:val="lightGray"/>
        </w:rPr>
        <w:t>Term Benchmark</w:t>
      </w:r>
      <w:r>
        <w:rPr>
          <w:rFonts w:ascii="Arial" w:cs="Arial" w:eastAsia="Arial" w:hAnsi="Arial"/>
          <w:sz w:val="21"/>
          <w:szCs w:val="21"/>
          <w:color w:val="auto"/>
        </w:rPr>
        <w:t xml:space="preserve"> Borrowing, may elect Interest Periods therefor, all as provided in this Section. The Borrowers may elect different options with respect to different portions of the affected Borrowing, in which case each such portion shall be allocated ratably among the Lenders holding the Loans comprising such Borrowing in accordance with their respective Applicable Percentages, and the Loans comprising each such portion shall be considered a separate Borrowing.</w:t>
      </w:r>
    </w:p>
    <w:p>
      <w:pPr>
        <w:spacing w:after="0" w:line="165" w:lineRule="exact"/>
        <w:rPr>
          <w:sz w:val="20"/>
          <w:szCs w:val="20"/>
          <w:color w:val="auto"/>
        </w:rPr>
      </w:pPr>
    </w:p>
    <w:p>
      <w:pPr>
        <w:ind w:left="80" w:firstLine="1305"/>
        <w:spacing w:after="0" w:line="232" w:lineRule="auto"/>
        <w:tabs>
          <w:tab w:leader="none" w:pos="1945" w:val="left"/>
        </w:tabs>
        <w:numPr>
          <w:ilvl w:val="0"/>
          <w:numId w:val="80"/>
        </w:numPr>
        <w:rPr>
          <w:rFonts w:ascii="Arial" w:cs="Arial" w:eastAsia="Arial" w:hAnsi="Arial"/>
          <w:sz w:val="22"/>
          <w:szCs w:val="22"/>
          <w:color w:val="auto"/>
        </w:rPr>
      </w:pPr>
      <w:r>
        <w:rPr>
          <w:rFonts w:ascii="Arial" w:cs="Arial" w:eastAsia="Arial" w:hAnsi="Arial"/>
          <w:sz w:val="22"/>
          <w:szCs w:val="22"/>
          <w:color w:val="auto"/>
        </w:rPr>
        <w:t>To make an election pursuant to this Section, the Borrowers shall deliver to the Administrative Agent a written request (an “</w:t>
      </w:r>
      <w:r>
        <w:rPr>
          <w:rFonts w:ascii="Arial" w:cs="Arial" w:eastAsia="Arial" w:hAnsi="Arial"/>
          <w:sz w:val="22"/>
          <w:szCs w:val="22"/>
          <w:u w:val="single" w:color="auto"/>
          <w:color w:val="auto"/>
        </w:rPr>
        <w:t>Interest Election Request</w:t>
      </w:r>
      <w:r>
        <w:rPr>
          <w:rFonts w:ascii="Arial" w:cs="Arial" w:eastAsia="Arial" w:hAnsi="Arial"/>
          <w:sz w:val="22"/>
          <w:szCs w:val="22"/>
          <w:color w:val="auto"/>
        </w:rPr>
        <w:t>”) in substantially</w:t>
      </w:r>
    </w:p>
    <w:p>
      <w:pPr>
        <w:sectPr>
          <w:pgSz w:w="11900" w:h="16838" w:orient="portrait"/>
          <w:cols w:equalWidth="0" w:num="1">
            <w:col w:w="11240"/>
          </w:cols>
          <w:pgMar w:left="320" w:top="1401" w:right="339" w:bottom="1440" w:gutter="0" w:footer="0" w:header="0"/>
        </w:sectPr>
      </w:pPr>
    </w:p>
    <w:bookmarkStart w:id="108" w:name="page109"/>
    <w:bookmarkEnd w:id="108"/>
    <w:p>
      <w:pPr>
        <w:jc w:val="both"/>
        <w:ind w:left="80"/>
        <w:spacing w:after="0" w:line="218" w:lineRule="auto"/>
        <w:rPr>
          <w:sz w:val="20"/>
          <w:szCs w:val="20"/>
          <w:color w:val="auto"/>
        </w:rPr>
      </w:pPr>
      <w:r>
        <w:rPr>
          <w:rFonts w:ascii="Arial" w:cs="Arial" w:eastAsia="Arial" w:hAnsi="Arial"/>
          <w:sz w:val="22"/>
          <w:szCs w:val="22"/>
          <w:color w:val="auto"/>
        </w:rPr>
        <w:t xml:space="preserve">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attached hereto and signed by the Borrowers by the time that a Borrowing Request would be required under </w:t>
      </w:r>
      <w:r>
        <w:rPr>
          <w:rFonts w:ascii="Arial" w:cs="Arial" w:eastAsia="Arial" w:hAnsi="Arial"/>
          <w:sz w:val="22"/>
          <w:szCs w:val="22"/>
          <w:u w:val="single" w:color="auto"/>
          <w:color w:val="auto"/>
        </w:rPr>
        <w:t>Section 2.5</w:t>
      </w:r>
      <w:r>
        <w:rPr>
          <w:rFonts w:ascii="Arial" w:cs="Arial" w:eastAsia="Arial" w:hAnsi="Arial"/>
          <w:sz w:val="22"/>
          <w:szCs w:val="22"/>
          <w:color w:val="auto"/>
        </w:rPr>
        <w:t xml:space="preserve"> if the Borrowers were requesting a Borrowing of the Type resulting from such election to be made on the effective date of such election. Each such request shall be irrevocable and shall be by hand delivery or telecopy (or facsimile or other electronic transmission (e.g., .pdf via e-mail)) to the Administrative Agent.</w:t>
      </w:r>
    </w:p>
    <w:p>
      <w:pPr>
        <w:spacing w:after="0" w:line="161" w:lineRule="exact"/>
        <w:rPr>
          <w:sz w:val="20"/>
          <w:szCs w:val="20"/>
          <w:color w:val="auto"/>
        </w:rPr>
      </w:pPr>
    </w:p>
    <w:p>
      <w:pPr>
        <w:ind w:left="1840" w:hanging="455"/>
        <w:spacing w:after="0"/>
        <w:tabs>
          <w:tab w:leader="none" w:pos="1840" w:val="left"/>
        </w:tabs>
        <w:numPr>
          <w:ilvl w:val="1"/>
          <w:numId w:val="81"/>
        </w:numPr>
        <w:rPr>
          <w:rFonts w:ascii="Arial" w:cs="Arial" w:eastAsia="Arial" w:hAnsi="Arial"/>
          <w:sz w:val="21"/>
          <w:szCs w:val="21"/>
          <w:color w:val="auto"/>
        </w:rPr>
      </w:pPr>
      <w:r>
        <w:rPr>
          <w:rFonts w:ascii="Arial" w:cs="Arial" w:eastAsia="Arial" w:hAnsi="Arial"/>
          <w:sz w:val="21"/>
          <w:szCs w:val="21"/>
          <w:color w:val="auto"/>
        </w:rPr>
        <w:t xml:space="preserve">Each Interest Election Request shall specify the following information in compliance with </w:t>
      </w:r>
      <w:r>
        <w:rPr>
          <w:rFonts w:ascii="Arial" w:cs="Arial" w:eastAsia="Arial" w:hAnsi="Arial"/>
          <w:sz w:val="21"/>
          <w:szCs w:val="21"/>
          <w:u w:val="single" w:color="auto"/>
          <w:color w:val="auto"/>
        </w:rPr>
        <w:t>Section 2.2</w:t>
      </w:r>
      <w:r>
        <w:rPr>
          <w:rFonts w:ascii="Arial" w:cs="Arial" w:eastAsia="Arial" w:hAnsi="Arial"/>
          <w:sz w:val="21"/>
          <w:szCs w:val="21"/>
          <w:color w:val="auto"/>
        </w:rPr>
        <w:t>:</w:t>
      </w:r>
    </w:p>
    <w:p>
      <w:pPr>
        <w:spacing w:after="0" w:line="190" w:lineRule="exact"/>
        <w:rPr>
          <w:rFonts w:ascii="Arial" w:cs="Arial" w:eastAsia="Arial" w:hAnsi="Arial"/>
          <w:sz w:val="21"/>
          <w:szCs w:val="21"/>
          <w:color w:val="auto"/>
        </w:rPr>
      </w:pPr>
    </w:p>
    <w:p>
      <w:pPr>
        <w:jc w:val="both"/>
        <w:ind w:left="660" w:firstLine="644"/>
        <w:spacing w:after="0" w:line="268" w:lineRule="auto"/>
        <w:tabs>
          <w:tab w:leader="none" w:pos="1742"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32" w:lineRule="exact"/>
        <w:rPr>
          <w:rFonts w:ascii="Arial" w:cs="Arial" w:eastAsia="Arial" w:hAnsi="Arial"/>
          <w:sz w:val="19"/>
          <w:szCs w:val="19"/>
          <w:color w:val="auto"/>
        </w:rPr>
      </w:pPr>
    </w:p>
    <w:p>
      <w:pPr>
        <w:ind w:left="1820" w:hanging="516"/>
        <w:spacing w:after="0"/>
        <w:tabs>
          <w:tab w:leader="none" w:pos="1820"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effective date of the election made pursuant to such Interest Election Request, which shall be a Business</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Day;</w:t>
      </w:r>
    </w:p>
    <w:p>
      <w:pPr>
        <w:spacing w:after="0" w:line="161" w:lineRule="exact"/>
        <w:rPr>
          <w:rFonts w:ascii="Arial" w:cs="Arial" w:eastAsia="Arial" w:hAnsi="Arial"/>
          <w:sz w:val="19"/>
          <w:szCs w:val="19"/>
          <w:color w:val="auto"/>
        </w:rPr>
      </w:pPr>
    </w:p>
    <w:p>
      <w:pPr>
        <w:ind w:left="1900" w:hanging="596"/>
        <w:spacing w:after="0"/>
        <w:tabs>
          <w:tab w:leader="none" w:pos="1900"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whether the resulting Borrowing is to be an ABR Borrowing or a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highlight w:val="lightGray"/>
        </w:rPr>
        <w:t>Term Benchmark</w:t>
      </w:r>
      <w:r>
        <w:rPr>
          <w:rFonts w:ascii="Arial" w:cs="Arial" w:eastAsia="Arial" w:hAnsi="Arial"/>
          <w:sz w:val="19"/>
          <w:szCs w:val="19"/>
          <w:color w:val="auto"/>
        </w:rPr>
        <w:t xml:space="preserve"> Borrowing;</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161" w:lineRule="exact"/>
        <w:rPr>
          <w:rFonts w:ascii="Arial" w:cs="Arial" w:eastAsia="Arial" w:hAnsi="Arial"/>
          <w:sz w:val="19"/>
          <w:szCs w:val="19"/>
          <w:color w:val="auto"/>
        </w:rPr>
      </w:pPr>
    </w:p>
    <w:p>
      <w:pPr>
        <w:jc w:val="both"/>
        <w:ind w:left="660" w:firstLine="644"/>
        <w:spacing w:after="0" w:line="223" w:lineRule="auto"/>
        <w:tabs>
          <w:tab w:leader="none" w:pos="1886"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if the resulting Borrowing is a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highlight w:val="lightGray"/>
        </w:rPr>
        <w:t>Term Benchmark</w:t>
      </w:r>
      <w:r>
        <w:rPr>
          <w:rFonts w:ascii="Arial" w:cs="Arial" w:eastAsia="Arial" w:hAnsi="Arial"/>
          <w:sz w:val="22"/>
          <w:szCs w:val="22"/>
          <w:color w:val="auto"/>
        </w:rPr>
        <w:t xml:space="preserve"> Borrowing, the Interest Period to be applicable thereto after giving effect to such election, which shall be a period contemplated by the definition of the term “</w:t>
      </w:r>
      <w:r>
        <w:rPr>
          <w:rFonts w:ascii="Arial" w:cs="Arial" w:eastAsia="Arial" w:hAnsi="Arial"/>
          <w:sz w:val="22"/>
          <w:szCs w:val="22"/>
          <w:u w:val="single" w:color="auto"/>
          <w:color w:val="auto"/>
        </w:rPr>
        <w:t>Interest</w:t>
      </w:r>
      <w:r>
        <w:rPr>
          <w:rFonts w:ascii="Arial" w:cs="Arial" w:eastAsia="Arial" w:hAnsi="Arial"/>
          <w:sz w:val="22"/>
          <w:szCs w:val="22"/>
          <w:color w:val="auto"/>
        </w:rPr>
        <w:t xml:space="preserve"> </w:t>
      </w:r>
      <w:r>
        <w:rPr>
          <w:rFonts w:ascii="Arial" w:cs="Arial" w:eastAsia="Arial" w:hAnsi="Arial"/>
          <w:sz w:val="22"/>
          <w:szCs w:val="22"/>
          <w:u w:val="single" w:color="auto"/>
          <w:color w:val="auto"/>
        </w:rPr>
        <w:t>Period</w:t>
      </w:r>
      <w:r>
        <w:rPr>
          <w:rFonts w:ascii="Arial" w:cs="Arial" w:eastAsia="Arial" w:hAnsi="Arial"/>
          <w:sz w:val="22"/>
          <w:szCs w:val="22"/>
          <w:color w:val="auto"/>
        </w:rPr>
        <w:t>”.</w:t>
      </w:r>
    </w:p>
    <w:p>
      <w:pPr>
        <w:spacing w:after="0" w:line="159" w:lineRule="exact"/>
        <w:rPr>
          <w:sz w:val="20"/>
          <w:szCs w:val="20"/>
          <w:color w:val="auto"/>
        </w:rPr>
      </w:pPr>
    </w:p>
    <w:p>
      <w:pPr>
        <w:ind w:firstLine="1296"/>
        <w:spacing w:after="0" w:line="298" w:lineRule="auto"/>
        <w:rPr>
          <w:sz w:val="20"/>
          <w:szCs w:val="20"/>
          <w:color w:val="auto"/>
        </w:rPr>
      </w:pPr>
      <w:r>
        <w:rPr>
          <w:rFonts w:ascii="Arial" w:cs="Arial" w:eastAsia="Arial" w:hAnsi="Arial"/>
          <w:sz w:val="19"/>
          <w:szCs w:val="19"/>
          <w:color w:val="auto"/>
        </w:rPr>
        <w:t xml:space="preserve">If any such Interest Election Request requests a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highlight w:val="lightGray"/>
        </w:rPr>
        <w:t>Term Benchmark</w:t>
      </w:r>
      <w:r>
        <w:rPr>
          <w:rFonts w:ascii="Arial" w:cs="Arial" w:eastAsia="Arial" w:hAnsi="Arial"/>
          <w:sz w:val="19"/>
          <w:szCs w:val="19"/>
          <w:color w:val="auto"/>
        </w:rPr>
        <w:t xml:space="preserve"> Borrowing but does not specify an Interest Period, then the Borrowers shall be deemed to have selected an Interest Period of one month’s duration.</w:t>
      </w:r>
    </w:p>
    <w:p>
      <w:pPr>
        <w:spacing w:after="0" w:line="105" w:lineRule="exact"/>
        <w:rPr>
          <w:sz w:val="20"/>
          <w:szCs w:val="20"/>
          <w:color w:val="auto"/>
        </w:rPr>
      </w:pPr>
    </w:p>
    <w:p>
      <w:pPr>
        <w:ind w:left="80" w:firstLine="1305"/>
        <w:spacing w:after="0" w:line="232" w:lineRule="auto"/>
        <w:tabs>
          <w:tab w:leader="none" w:pos="1969" w:val="left"/>
        </w:tabs>
        <w:numPr>
          <w:ilvl w:val="0"/>
          <w:numId w:val="83"/>
        </w:numPr>
        <w:rPr>
          <w:rFonts w:ascii="Arial" w:cs="Arial" w:eastAsia="Arial" w:hAnsi="Arial"/>
          <w:sz w:val="22"/>
          <w:szCs w:val="22"/>
          <w:color w:val="auto"/>
        </w:rPr>
      </w:pPr>
      <w:r>
        <w:rPr>
          <w:rFonts w:ascii="Arial" w:cs="Arial" w:eastAsia="Arial" w:hAnsi="Arial"/>
          <w:sz w:val="22"/>
          <w:szCs w:val="22"/>
          <w:color w:val="auto"/>
        </w:rPr>
        <w:t>Promptly following receipt of an Interest Election Request, the Administrative Agent shall advise each Lender of the details thereof and of such Lender’s portion of each resulting Borrowing.</w:t>
      </w:r>
    </w:p>
    <w:p>
      <w:pPr>
        <w:spacing w:after="0" w:line="158" w:lineRule="exact"/>
        <w:rPr>
          <w:rFonts w:ascii="Arial" w:cs="Arial" w:eastAsia="Arial" w:hAnsi="Arial"/>
          <w:sz w:val="22"/>
          <w:szCs w:val="22"/>
          <w:color w:val="auto"/>
        </w:rPr>
      </w:pPr>
    </w:p>
    <w:p>
      <w:pPr>
        <w:jc w:val="both"/>
        <w:ind w:left="80" w:firstLine="1305"/>
        <w:spacing w:after="0" w:line="222" w:lineRule="auto"/>
        <w:tabs>
          <w:tab w:leader="none" w:pos="2014" w:val="left"/>
        </w:tabs>
        <w:numPr>
          <w:ilvl w:val="0"/>
          <w:numId w:val="83"/>
        </w:numPr>
        <w:rPr>
          <w:rFonts w:ascii="Arial" w:cs="Arial" w:eastAsia="Arial" w:hAnsi="Arial"/>
          <w:sz w:val="21"/>
          <w:szCs w:val="21"/>
          <w:color w:val="auto"/>
        </w:rPr>
      </w:pPr>
      <w:r>
        <w:rPr>
          <w:rFonts w:ascii="Arial" w:cs="Arial" w:eastAsia="Arial" w:hAnsi="Arial"/>
          <w:sz w:val="21"/>
          <w:szCs w:val="21"/>
          <w:color w:val="auto"/>
        </w:rPr>
        <w:t xml:space="preserve">If the Borrowers fail to deliver a timely Interest Election Request with respect to a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highlight w:val="lightGray"/>
        </w:rPr>
        <w:t>Term</w:t>
      </w:r>
      <w:r>
        <w:rPr>
          <w:rFonts w:ascii="Arial" w:cs="Arial" w:eastAsia="Arial" w:hAnsi="Arial"/>
          <w:sz w:val="21"/>
          <w:szCs w:val="21"/>
          <w:color w:val="auto"/>
        </w:rPr>
        <w:t xml:space="preserve"> </w:t>
      </w:r>
      <w:r>
        <w:rPr>
          <w:rFonts w:ascii="Arial" w:cs="Arial" w:eastAsia="Arial" w:hAnsi="Arial"/>
          <w:sz w:val="21"/>
          <w:szCs w:val="21"/>
          <w:u w:val="single" w:color="auto"/>
          <w:color w:val="0000FF"/>
          <w:highlight w:val="lightGray"/>
        </w:rPr>
        <w:t>Benchmark</w:t>
      </w:r>
      <w:r>
        <w:rPr>
          <w:rFonts w:ascii="Arial" w:cs="Arial" w:eastAsia="Arial" w:hAnsi="Arial"/>
          <w:sz w:val="21"/>
          <w:szCs w:val="21"/>
          <w:color w:val="0000FF"/>
          <w:highlight w:val="lightGray"/>
        </w:rPr>
        <w:t xml:space="preserve"> </w:t>
      </w:r>
      <w:r>
        <w:rPr>
          <w:rFonts w:ascii="Arial" w:cs="Arial" w:eastAsia="Arial" w:hAnsi="Arial"/>
          <w:sz w:val="21"/>
          <w:szCs w:val="21"/>
          <w:color w:val="000000"/>
        </w:rPr>
        <w:t>Borrowing prior to the end of the Interest Period applicable thereto, then, unless such Borrowing is repaid as</w:t>
      </w:r>
      <w:r>
        <w:rPr>
          <w:rFonts w:ascii="Arial" w:cs="Arial" w:eastAsia="Arial" w:hAnsi="Arial"/>
          <w:sz w:val="21"/>
          <w:szCs w:val="21"/>
          <w:color w:val="0000FF"/>
          <w:highlight w:val="lightGray"/>
        </w:rPr>
        <w:t xml:space="preserve"> </w:t>
      </w:r>
      <w:r>
        <w:rPr>
          <w:rFonts w:ascii="Arial" w:cs="Arial" w:eastAsia="Arial" w:hAnsi="Arial"/>
          <w:sz w:val="21"/>
          <w:szCs w:val="21"/>
          <w:color w:val="000000"/>
        </w:rPr>
        <w:t xml:space="preserve">provided herein, at the end of such Interest Period such Borrowing shall be continued as a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highlight w:val="lightGray"/>
        </w:rPr>
        <w:t>Term Benchmark</w:t>
      </w:r>
      <w:r>
        <w:rPr>
          <w:rFonts w:ascii="Arial" w:cs="Arial" w:eastAsia="Arial" w:hAnsi="Arial"/>
          <w:sz w:val="21"/>
          <w:szCs w:val="21"/>
          <w:color w:val="000000"/>
        </w:rPr>
        <w:t xml:space="preserve"> Borrowing with an Interest Period of one month’s duration. Notwithstanding any contrary provision hereof, if an Event of Default has occurred and is continuing, (i) no outstanding Borrowing may be converted to or continued as a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highlight w:val="lightGray"/>
        </w:rPr>
        <w:t>Term</w:t>
      </w:r>
      <w:r>
        <w:rPr>
          <w:rFonts w:ascii="Arial" w:cs="Arial" w:eastAsia="Arial" w:hAnsi="Arial"/>
          <w:sz w:val="21"/>
          <w:szCs w:val="21"/>
          <w:color w:val="000000"/>
        </w:rPr>
        <w:t xml:space="preserve"> </w:t>
      </w:r>
      <w:r>
        <w:rPr>
          <w:rFonts w:ascii="Arial" w:cs="Arial" w:eastAsia="Arial" w:hAnsi="Arial"/>
          <w:sz w:val="21"/>
          <w:szCs w:val="21"/>
          <w:u w:val="single" w:color="auto"/>
          <w:color w:val="0000FF"/>
          <w:highlight w:val="lightGray"/>
        </w:rPr>
        <w:t>Benchmark</w:t>
      </w:r>
      <w:r>
        <w:rPr>
          <w:rFonts w:ascii="Arial" w:cs="Arial" w:eastAsia="Arial" w:hAnsi="Arial"/>
          <w:sz w:val="21"/>
          <w:szCs w:val="21"/>
          <w:color w:val="0000FF"/>
          <w:highlight w:val="lightGray"/>
        </w:rPr>
        <w:t xml:space="preserve"> </w:t>
      </w:r>
      <w:r>
        <w:rPr>
          <w:rFonts w:ascii="Arial" w:cs="Arial" w:eastAsia="Arial" w:hAnsi="Arial"/>
          <w:sz w:val="21"/>
          <w:szCs w:val="21"/>
          <w:color w:val="000000"/>
        </w:rPr>
        <w:t>Borrowing and (ii) unless repaid, each</w:t>
      </w:r>
      <w:r>
        <w:rPr>
          <w:rFonts w:ascii="Arial" w:cs="Arial" w:eastAsia="Arial" w:hAnsi="Arial"/>
          <w:sz w:val="21"/>
          <w:szCs w:val="21"/>
          <w:color w:val="0000FF"/>
          <w:highlight w:val="lightGray"/>
        </w:rPr>
        <w:t xml:space="preserve">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highlight w:val="lightGray"/>
        </w:rPr>
        <w:t>Term Benchmark</w:t>
      </w:r>
      <w:r>
        <w:rPr>
          <w:rFonts w:ascii="Arial" w:cs="Arial" w:eastAsia="Arial" w:hAnsi="Arial"/>
          <w:sz w:val="21"/>
          <w:szCs w:val="21"/>
          <w:color w:val="0000FF"/>
          <w:highlight w:val="lightGray"/>
        </w:rPr>
        <w:t xml:space="preserve"> </w:t>
      </w:r>
      <w:r>
        <w:rPr>
          <w:rFonts w:ascii="Arial" w:cs="Arial" w:eastAsia="Arial" w:hAnsi="Arial"/>
          <w:sz w:val="21"/>
          <w:szCs w:val="21"/>
          <w:color w:val="000000"/>
        </w:rPr>
        <w:t>Borrowing shall be converted to an ABR</w:t>
      </w:r>
      <w:r>
        <w:rPr>
          <w:rFonts w:ascii="Arial" w:cs="Arial" w:eastAsia="Arial" w:hAnsi="Arial"/>
          <w:sz w:val="21"/>
          <w:szCs w:val="21"/>
          <w:color w:val="0000FF"/>
          <w:highlight w:val="lightGray"/>
        </w:rPr>
        <w:t xml:space="preserve"> </w:t>
      </w:r>
      <w:r>
        <w:rPr>
          <w:rFonts w:ascii="Arial" w:cs="Arial" w:eastAsia="Arial" w:hAnsi="Arial"/>
          <w:sz w:val="21"/>
          <w:szCs w:val="21"/>
          <w:color w:val="000000"/>
        </w:rPr>
        <w:t>Borrowing at the end of the Interest Period applicable thereto.</w:t>
      </w:r>
    </w:p>
    <w:p>
      <w:pPr>
        <w:spacing w:after="0" w:line="164"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22"/>
          <w:szCs w:val="22"/>
          <w:color w:val="auto"/>
        </w:rPr>
        <w:t>Section 2.8</w:t>
      </w:r>
      <w:r>
        <w:rPr>
          <w:sz w:val="20"/>
          <w:szCs w:val="20"/>
          <w:color w:val="auto"/>
        </w:rPr>
        <w:tab/>
      </w:r>
      <w:r>
        <w:rPr>
          <w:rFonts w:ascii="Arial" w:cs="Arial" w:eastAsia="Arial" w:hAnsi="Arial"/>
          <w:sz w:val="19"/>
          <w:szCs w:val="19"/>
          <w:u w:val="single" w:color="auto"/>
          <w:color w:val="auto"/>
        </w:rPr>
        <w:t>Termination and Reduction of Commitments</w:t>
      </w:r>
      <w:r>
        <w:rPr>
          <w:rFonts w:ascii="Arial" w:cs="Arial" w:eastAsia="Arial" w:hAnsi="Arial"/>
          <w:sz w:val="19"/>
          <w:szCs w:val="19"/>
          <w:color w:val="auto"/>
        </w:rPr>
        <w:t>.</w:t>
      </w:r>
    </w:p>
    <w:p>
      <w:pPr>
        <w:spacing w:after="0" w:line="179" w:lineRule="exact"/>
        <w:rPr>
          <w:sz w:val="20"/>
          <w:szCs w:val="20"/>
          <w:color w:val="auto"/>
        </w:rPr>
      </w:pPr>
    </w:p>
    <w:p>
      <w:pPr>
        <w:ind w:left="1840" w:hanging="455"/>
        <w:spacing w:after="0"/>
        <w:tabs>
          <w:tab w:leader="none" w:pos="1840" w:val="left"/>
        </w:tabs>
        <w:numPr>
          <w:ilvl w:val="0"/>
          <w:numId w:val="84"/>
        </w:numPr>
        <w:rPr>
          <w:rFonts w:ascii="Arial" w:cs="Arial" w:eastAsia="Arial" w:hAnsi="Arial"/>
          <w:sz w:val="19"/>
          <w:szCs w:val="19"/>
          <w:color w:val="auto"/>
        </w:rPr>
      </w:pPr>
      <w:r>
        <w:rPr>
          <w:rFonts w:ascii="Arial" w:cs="Arial" w:eastAsia="Arial" w:hAnsi="Arial"/>
          <w:sz w:val="19"/>
          <w:szCs w:val="19"/>
          <w:color w:val="auto"/>
        </w:rPr>
        <w:t>Unless previously terminated, the Commitments shall terminate on the Commitment Termination Date.</w:t>
      </w:r>
    </w:p>
    <w:p>
      <w:pPr>
        <w:spacing w:after="0" w:line="213" w:lineRule="exact"/>
        <w:rPr>
          <w:rFonts w:ascii="Arial" w:cs="Arial" w:eastAsia="Arial" w:hAnsi="Arial"/>
          <w:sz w:val="19"/>
          <w:szCs w:val="19"/>
          <w:color w:val="auto"/>
        </w:rPr>
      </w:pPr>
    </w:p>
    <w:p>
      <w:pPr>
        <w:jc w:val="both"/>
        <w:ind w:left="80" w:firstLine="1305"/>
        <w:spacing w:after="0" w:line="257" w:lineRule="auto"/>
        <w:tabs>
          <w:tab w:leader="none" w:pos="1867"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The Borrowers may at any time terminate, or from time to time reduce, the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each reduction of the Commitments shall be in an amount that is an integral multiple of $1,000,000 and not less than $5,000,000 and (ii) the Borrowers shall not terminate or reduce the Commitments if, after giving effect to any concurrent prepayment of the Loans in accordance with </w:t>
      </w:r>
      <w:r>
        <w:rPr>
          <w:rFonts w:ascii="Arial" w:cs="Arial" w:eastAsia="Arial" w:hAnsi="Arial"/>
          <w:sz w:val="19"/>
          <w:szCs w:val="19"/>
          <w:u w:val="single" w:color="auto"/>
          <w:color w:val="auto"/>
        </w:rPr>
        <w:t>Section 2.10</w:t>
      </w:r>
      <w:r>
        <w:rPr>
          <w:rFonts w:ascii="Arial" w:cs="Arial" w:eastAsia="Arial" w:hAnsi="Arial"/>
          <w:sz w:val="19"/>
          <w:szCs w:val="19"/>
          <w:color w:val="auto"/>
        </w:rPr>
        <w:t>, the Total Utilization of Commitments would exceed the total Commitments.</w:t>
      </w:r>
    </w:p>
    <w:p>
      <w:pPr>
        <w:sectPr>
          <w:pgSz w:w="11900" w:h="16838" w:orient="portrait"/>
          <w:cols w:equalWidth="0" w:num="1">
            <w:col w:w="11240"/>
          </w:cols>
          <w:pgMar w:left="320" w:top="1401" w:right="339" w:bottom="1440" w:gutter="0" w:footer="0" w:header="0"/>
        </w:sectPr>
      </w:pPr>
    </w:p>
    <w:bookmarkStart w:id="109" w:name="page110"/>
    <w:bookmarkEnd w:id="109"/>
    <w:p>
      <w:pPr>
        <w:jc w:val="both"/>
        <w:ind w:left="80" w:firstLine="1305"/>
        <w:spacing w:after="0" w:line="244" w:lineRule="auto"/>
        <w:tabs>
          <w:tab w:leader="none" w:pos="2105"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The Borrowers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Borrowers pursuant to this Section shall be irrevocable;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notice of termination or reduction of the Commitments delivered by the Borrowers may state that such notice is conditioned upon the effectiveness of other credit facilities or another transaction, in which case such notice may be revoked by the Borrowers (by notice to the Administrative Agent on or prior to the specified effective date) if such condition is not satisfied. Any termination or reduction of the Commitments shall be permanent. Each reduction of the Commitments shall be applied to the Lenders in accordance with their respective Applicable Percentages.</w:t>
      </w:r>
    </w:p>
    <w:p>
      <w:pPr>
        <w:spacing w:after="0" w:line="160" w:lineRule="exact"/>
        <w:rPr>
          <w:rFonts w:ascii="Arial" w:cs="Arial" w:eastAsia="Arial" w:hAnsi="Arial"/>
          <w:sz w:val="19"/>
          <w:szCs w:val="19"/>
          <w:color w:val="auto"/>
        </w:rPr>
      </w:pPr>
    </w:p>
    <w:p>
      <w:pPr>
        <w:jc w:val="both"/>
        <w:ind w:left="80" w:firstLine="1305"/>
        <w:spacing w:after="0" w:line="223" w:lineRule="auto"/>
        <w:tabs>
          <w:tab w:leader="none" w:pos="1853" w:val="left"/>
        </w:tabs>
        <w:numPr>
          <w:ilvl w:val="0"/>
          <w:numId w:val="85"/>
        </w:numPr>
        <w:rPr>
          <w:rFonts w:ascii="Arial" w:cs="Arial" w:eastAsia="Arial" w:hAnsi="Arial"/>
          <w:sz w:val="22"/>
          <w:szCs w:val="22"/>
          <w:color w:val="auto"/>
        </w:rPr>
      </w:pPr>
      <w:r>
        <w:rPr>
          <w:rFonts w:ascii="Arial" w:cs="Arial" w:eastAsia="Arial" w:hAnsi="Arial"/>
          <w:sz w:val="22"/>
          <w:szCs w:val="22"/>
          <w:color w:val="auto"/>
        </w:rPr>
        <w:t>If, after giving effect to any reduction of the Revolving Commitments, the Letter of Credit Sublimit exceeds the amount of the Revolving Commitments, such Letter of Credit Sublimit shall be automatically reduced by the amount of such excess.</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Section 2.9 </w:t>
      </w:r>
      <w:r>
        <w:rPr>
          <w:rFonts w:ascii="Arial" w:cs="Arial" w:eastAsia="Arial" w:hAnsi="Arial"/>
          <w:sz w:val="22"/>
          <w:szCs w:val="22"/>
          <w:u w:val="single" w:color="auto"/>
          <w:color w:val="auto"/>
        </w:rPr>
        <w:t>Repayment of Loans; Evidence of Debt</w:t>
      </w:r>
      <w:r>
        <w:rPr>
          <w:rFonts w:ascii="Arial" w:cs="Arial" w:eastAsia="Arial" w:hAnsi="Arial"/>
          <w:sz w:val="22"/>
          <w:szCs w:val="22"/>
          <w:color w:val="auto"/>
        </w:rPr>
        <w:t>. (a) The Borrowers hereby unconditionally promise to pay to the Administrative Agent for the account of each Lender the then unpaid principal amount of each Revolving Loan on the Maturity Date.</w:t>
      </w:r>
    </w:p>
    <w:p>
      <w:pPr>
        <w:spacing w:after="0" w:line="159" w:lineRule="exact"/>
        <w:rPr>
          <w:sz w:val="20"/>
          <w:szCs w:val="20"/>
          <w:color w:val="auto"/>
        </w:rPr>
      </w:pPr>
    </w:p>
    <w:p>
      <w:pPr>
        <w:jc w:val="both"/>
        <w:ind w:left="80" w:firstLine="1305"/>
        <w:spacing w:after="0" w:line="223" w:lineRule="auto"/>
        <w:tabs>
          <w:tab w:leader="none" w:pos="1945" w:val="left"/>
        </w:tabs>
        <w:numPr>
          <w:ilvl w:val="0"/>
          <w:numId w:val="86"/>
        </w:numPr>
        <w:rPr>
          <w:rFonts w:ascii="Arial" w:cs="Arial" w:eastAsia="Arial" w:hAnsi="Arial"/>
          <w:sz w:val="22"/>
          <w:szCs w:val="22"/>
          <w:color w:val="auto"/>
        </w:rPr>
      </w:pPr>
      <w:r>
        <w:rPr>
          <w:rFonts w:ascii="Arial" w:cs="Arial" w:eastAsia="Arial" w:hAnsi="Arial"/>
          <w:sz w:val="22"/>
          <w:szCs w:val="22"/>
          <w:color w:val="auto"/>
        </w:rPr>
        <w:t>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spacing w:after="0" w:line="158" w:lineRule="exact"/>
        <w:rPr>
          <w:rFonts w:ascii="Arial" w:cs="Arial" w:eastAsia="Arial" w:hAnsi="Arial"/>
          <w:sz w:val="22"/>
          <w:szCs w:val="22"/>
          <w:color w:val="auto"/>
        </w:rPr>
      </w:pPr>
    </w:p>
    <w:p>
      <w:pPr>
        <w:jc w:val="both"/>
        <w:ind w:left="80" w:firstLine="1305"/>
        <w:spacing w:after="0" w:line="257" w:lineRule="auto"/>
        <w:tabs>
          <w:tab w:leader="none" w:pos="1841"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Administrative Agent shall maintain accounts in which it shall record (i) the amount of each Loan made hereunder, the Type thereof and the Interest Period applicable thereto, (ii) the amount of any principal or interest due and payable or to become due and payable from the Borrowers to each Lender hereunder and (iii) the amount of any sum received by the Administrative Agent hereunder for the account of the Lenders and each Lender’s share thereof.</w:t>
      </w:r>
    </w:p>
    <w:p>
      <w:pPr>
        <w:spacing w:after="0" w:line="144" w:lineRule="exact"/>
        <w:rPr>
          <w:rFonts w:ascii="Arial" w:cs="Arial" w:eastAsia="Arial" w:hAnsi="Arial"/>
          <w:sz w:val="19"/>
          <w:szCs w:val="19"/>
          <w:color w:val="auto"/>
        </w:rPr>
      </w:pPr>
    </w:p>
    <w:p>
      <w:pPr>
        <w:jc w:val="both"/>
        <w:ind w:left="80" w:firstLine="1305"/>
        <w:spacing w:after="0" w:line="229" w:lineRule="auto"/>
        <w:tabs>
          <w:tab w:leader="none" w:pos="1878" w:val="left"/>
        </w:tabs>
        <w:numPr>
          <w:ilvl w:val="0"/>
          <w:numId w:val="86"/>
        </w:numPr>
        <w:rPr>
          <w:rFonts w:ascii="Arial" w:cs="Arial" w:eastAsia="Arial" w:hAnsi="Arial"/>
          <w:sz w:val="21"/>
          <w:szCs w:val="21"/>
          <w:color w:val="auto"/>
        </w:rPr>
      </w:pPr>
      <w:r>
        <w:rPr>
          <w:rFonts w:ascii="Arial" w:cs="Arial" w:eastAsia="Arial" w:hAnsi="Arial"/>
          <w:sz w:val="21"/>
          <w:szCs w:val="21"/>
          <w:color w:val="auto"/>
        </w:rPr>
        <w:t xml:space="preserve">The entries made in the accounts maintained pursuant to paragraph (b) or (c) of this Section shall be </w:t>
      </w:r>
      <w:r>
        <w:rPr>
          <w:rFonts w:ascii="Arial" w:cs="Arial" w:eastAsia="Arial" w:hAnsi="Arial"/>
          <w:sz w:val="21"/>
          <w:szCs w:val="21"/>
          <w:u w:val="single" w:color="auto"/>
          <w:color w:val="auto"/>
        </w:rPr>
        <w:t>prima</w:t>
      </w:r>
      <w:r>
        <w:rPr>
          <w:rFonts w:ascii="Arial" w:cs="Arial" w:eastAsia="Arial" w:hAnsi="Arial"/>
          <w:sz w:val="21"/>
          <w:szCs w:val="21"/>
          <w:color w:val="auto"/>
        </w:rPr>
        <w:t xml:space="preserve"> </w:t>
      </w:r>
      <w:r>
        <w:rPr>
          <w:rFonts w:ascii="Arial" w:cs="Arial" w:eastAsia="Arial" w:hAnsi="Arial"/>
          <w:sz w:val="21"/>
          <w:szCs w:val="21"/>
          <w:u w:val="single" w:color="auto"/>
          <w:color w:val="auto"/>
        </w:rPr>
        <w:t>facie</w:t>
      </w:r>
      <w:r>
        <w:rPr>
          <w:rFonts w:ascii="Arial" w:cs="Arial" w:eastAsia="Arial" w:hAnsi="Arial"/>
          <w:sz w:val="21"/>
          <w:szCs w:val="21"/>
          <w:color w:val="auto"/>
        </w:rPr>
        <w:t xml:space="preserve"> evidence of the existence and amounts of the obligations recorded therein (absent manifest error);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failure of any Lender or the Administrative Agent to maintain such accounts or any error therein shall not in any manner affect the obligation of the Borrowers to repay the Loans in accordance with the terms of this Agreement.</w:t>
      </w:r>
    </w:p>
    <w:p>
      <w:pPr>
        <w:spacing w:after="0" w:line="158" w:lineRule="exact"/>
        <w:rPr>
          <w:rFonts w:ascii="Arial" w:cs="Arial" w:eastAsia="Arial" w:hAnsi="Arial"/>
          <w:sz w:val="21"/>
          <w:szCs w:val="21"/>
          <w:color w:val="auto"/>
        </w:rPr>
      </w:pPr>
    </w:p>
    <w:p>
      <w:pPr>
        <w:jc w:val="both"/>
        <w:ind w:left="80" w:firstLine="1305"/>
        <w:spacing w:after="0" w:line="252" w:lineRule="auto"/>
        <w:tabs>
          <w:tab w:leader="none" w:pos="1865"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Any Lender may request that Loans made by it be evidenced by a Note. In such event, the Borrowers shall prepare, execute and deliver to such Lender a Note payable to such Lender (or, if requested by such Lender, to such Lender and its registered assigns). Thereafter, the Loans evidenced by such Note and interest thereon shall at all times (including after assignment pursuant to </w:t>
      </w:r>
      <w:r>
        <w:rPr>
          <w:rFonts w:ascii="Arial" w:cs="Arial" w:eastAsia="Arial" w:hAnsi="Arial"/>
          <w:sz w:val="19"/>
          <w:szCs w:val="19"/>
          <w:u w:val="single" w:color="auto"/>
          <w:color w:val="auto"/>
        </w:rPr>
        <w:t>Section 10.4</w:t>
      </w:r>
      <w:r>
        <w:rPr>
          <w:rFonts w:ascii="Arial" w:cs="Arial" w:eastAsia="Arial" w:hAnsi="Arial"/>
          <w:sz w:val="19"/>
          <w:szCs w:val="19"/>
          <w:color w:val="auto"/>
        </w:rPr>
        <w:t>) be represented by one or more Notes in such form payable to the payee named therein (or, if such Note is a registered note, to such payee and its registered assigns).</w:t>
      </w:r>
    </w:p>
    <w:p>
      <w:pPr>
        <w:spacing w:after="0" w:line="14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u w:val="single" w:color="auto"/>
          <w:color w:val="auto"/>
        </w:rPr>
        <w:t>Prepayment of Loans</w:t>
      </w:r>
      <w:r>
        <w:rPr>
          <w:rFonts w:ascii="Arial" w:cs="Arial" w:eastAsia="Arial" w:hAnsi="Arial"/>
          <w:sz w:val="22"/>
          <w:szCs w:val="22"/>
          <w:color w:val="auto"/>
        </w:rPr>
        <w:t xml:space="preserve">. (a) The Borrowers shall have the right at any time and from time to time to prepay any Borrowing in whole or in part, without premium or penalty (subject to the requirements of </w:t>
      </w:r>
      <w:r>
        <w:rPr>
          <w:rFonts w:ascii="Arial" w:cs="Arial" w:eastAsia="Arial" w:hAnsi="Arial"/>
          <w:sz w:val="22"/>
          <w:szCs w:val="22"/>
          <w:u w:val="single" w:color="auto"/>
          <w:color w:val="auto"/>
        </w:rPr>
        <w:t>Section 2.15</w:t>
      </w:r>
      <w:r>
        <w:rPr>
          <w:rFonts w:ascii="Arial" w:cs="Arial" w:eastAsia="Arial" w:hAnsi="Arial"/>
          <w:sz w:val="22"/>
          <w:szCs w:val="22"/>
          <w:color w:val="auto"/>
        </w:rPr>
        <w:t xml:space="preserve"> ), subject to prior notice in accordance with this Section. The Borrowers shall notify the Administrative Agent in writing (by telecopy or facsimile or other electronic transmission) or hand delivery of written notice of any prepayment hereunder (i) in the case of prepayment of a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highlight w:val="lightGray"/>
        </w:rPr>
        <w:t>Term Benchmark</w:t>
      </w:r>
      <w:r>
        <w:rPr>
          <w:rFonts w:ascii="Arial" w:cs="Arial" w:eastAsia="Arial" w:hAnsi="Arial"/>
          <w:sz w:val="22"/>
          <w:szCs w:val="22"/>
          <w:color w:val="auto"/>
        </w:rPr>
        <w:t xml:space="preserve"> Borrowing, not later</w:t>
      </w:r>
    </w:p>
    <w:p>
      <w:pPr>
        <w:sectPr>
          <w:pgSz w:w="11900" w:h="16838" w:orient="portrait"/>
          <w:cols w:equalWidth="0" w:num="1">
            <w:col w:w="11240"/>
          </w:cols>
          <w:pgMar w:left="320" w:top="1401" w:right="339" w:bottom="1440" w:gutter="0" w:footer="0" w:header="0"/>
        </w:sectPr>
      </w:pPr>
    </w:p>
    <w:bookmarkStart w:id="110" w:name="page111"/>
    <w:bookmarkEnd w:id="110"/>
    <w:p>
      <w:pPr>
        <w:jc w:val="both"/>
        <w:spacing w:after="0" w:line="246" w:lineRule="auto"/>
        <w:rPr>
          <w:sz w:val="20"/>
          <w:szCs w:val="20"/>
          <w:color w:val="auto"/>
        </w:rPr>
      </w:pPr>
      <w:r>
        <w:rPr>
          <w:rFonts w:ascii="Arial" w:cs="Arial" w:eastAsia="Arial" w:hAnsi="Arial"/>
          <w:sz w:val="19"/>
          <w:szCs w:val="19"/>
          <w:color w:val="auto"/>
        </w:rPr>
        <w:t xml:space="preserve">than 11:00 a.m., New York City time, three Business Days before the date of prepayment and (ii) in the case of prepayment of an ABR Borrowing, not later than 12:00 noon, New York City time, one Business Day before the date of prepayment. Each such notice shall be irrevocable and shall specify the prepayment date and the principal amount of each Borrowing or portion thereof to be prepaid;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notice of prepayment is given in connection with a conditional notice of reduction or termination of the Commitments as contemplated by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then such notice of prepayment may be revoked if such notice of reduction or termination is revoked in accordance with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w:t>
      </w:r>
      <w:r>
        <w:rPr>
          <w:rFonts w:ascii="Arial" w:cs="Arial" w:eastAsia="Arial" w:hAnsi="Arial"/>
          <w:sz w:val="19"/>
          <w:szCs w:val="19"/>
          <w:u w:val="single" w:color="auto"/>
          <w:color w:val="auto"/>
        </w:rPr>
        <w:t>Section 2.2</w:t>
      </w:r>
      <w:r>
        <w:rPr>
          <w:rFonts w:ascii="Arial" w:cs="Arial" w:eastAsia="Arial" w:hAnsi="Arial"/>
          <w:sz w:val="19"/>
          <w:szCs w:val="19"/>
          <w:color w:val="auto"/>
        </w:rPr>
        <w:t>.</w:t>
      </w:r>
    </w:p>
    <w:p>
      <w:pPr>
        <w:spacing w:after="0" w:line="152" w:lineRule="exact"/>
        <w:rPr>
          <w:sz w:val="20"/>
          <w:szCs w:val="20"/>
          <w:color w:val="auto"/>
        </w:rPr>
      </w:pPr>
    </w:p>
    <w:p>
      <w:pPr>
        <w:ind w:left="80" w:firstLine="1305"/>
        <w:spacing w:after="0" w:line="232" w:lineRule="auto"/>
        <w:tabs>
          <w:tab w:leader="none" w:pos="1864"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Borrowers shall from time to time prepay the Revolving Loans to the extent necessary so that the Total Utilization of Commitments shall not at any time exceed the Commitments then in effect.</w:t>
      </w:r>
    </w:p>
    <w:p>
      <w:pPr>
        <w:spacing w:after="0" w:line="158" w:lineRule="exact"/>
        <w:rPr>
          <w:rFonts w:ascii="Arial" w:cs="Arial" w:eastAsia="Arial" w:hAnsi="Arial"/>
          <w:sz w:val="22"/>
          <w:szCs w:val="22"/>
          <w:color w:val="auto"/>
        </w:rPr>
      </w:pPr>
    </w:p>
    <w:p>
      <w:pPr>
        <w:jc w:val="both"/>
        <w:ind w:left="80" w:firstLine="1305"/>
        <w:spacing w:after="0" w:line="223" w:lineRule="auto"/>
        <w:tabs>
          <w:tab w:leader="none" w:pos="1898" w:val="left"/>
        </w:tabs>
        <w:numPr>
          <w:ilvl w:val="0"/>
          <w:numId w:val="87"/>
        </w:numPr>
        <w:rPr>
          <w:rFonts w:ascii="Arial" w:cs="Arial" w:eastAsia="Arial" w:hAnsi="Arial"/>
          <w:sz w:val="22"/>
          <w:szCs w:val="22"/>
          <w:color w:val="auto"/>
        </w:rPr>
      </w:pPr>
      <w:r>
        <w:rPr>
          <w:rFonts w:ascii="Arial" w:cs="Arial" w:eastAsia="Arial" w:hAnsi="Arial"/>
          <w:sz w:val="22"/>
          <w:szCs w:val="22"/>
          <w:color w:val="auto"/>
        </w:rPr>
        <w:t xml:space="preserve">Each prepayment of a Borrowing shall be applied ratably to the Loans of the Lenders in accordance with their respective Applicable Percentages. Prepayments shall be accompanied by accrued interest to the extent required by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2.12</w:t>
      </w:r>
      <w:r>
        <w:rPr>
          <w:rFonts w:ascii="Arial" w:cs="Arial" w:eastAsia="Arial" w:hAnsi="Arial"/>
          <w:sz w:val="22"/>
          <w:szCs w:val="22"/>
          <w:color w:val="auto"/>
        </w:rPr>
        <w:t xml:space="preserve"> and any costs incurred as contemplated by </w:t>
      </w:r>
      <w:r>
        <w:rPr>
          <w:rFonts w:ascii="Arial" w:cs="Arial" w:eastAsia="Arial" w:hAnsi="Arial"/>
          <w:sz w:val="22"/>
          <w:szCs w:val="22"/>
          <w:u w:val="single" w:color="auto"/>
          <w:color w:val="auto"/>
        </w:rPr>
        <w:t>Section 2.15</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 xml:space="preserve">Section 2.11 </w:t>
      </w:r>
      <w:r>
        <w:rPr>
          <w:rFonts w:ascii="Arial" w:cs="Arial" w:eastAsia="Arial" w:hAnsi="Arial"/>
          <w:sz w:val="21"/>
          <w:szCs w:val="21"/>
          <w:u w:val="single" w:color="auto"/>
          <w:color w:val="auto"/>
        </w:rPr>
        <w:t>Fees</w:t>
      </w:r>
      <w:r>
        <w:rPr>
          <w:rFonts w:ascii="Arial" w:cs="Arial" w:eastAsia="Arial" w:hAnsi="Arial"/>
          <w:sz w:val="21"/>
          <w:szCs w:val="21"/>
          <w:color w:val="auto"/>
        </w:rPr>
        <w:t>. (a) The Borrowers jointly and severally agree to pay to the Administrative Agent for the account of each Lender (other than any Defaulting Lender) a commitment fee, which shall accrue at a rate of 0.25% per annum on the daily amount of the unused Commitment of such Lender during the period from and including the Effective Date to but excluding the date on which such Commitment terminates. Accrued commitment fees shall be payable in arrears on the last day of March, June, September and December of each year and on the date on which the Commitments terminate, commencing on the first such date to occur after the Effective Date. All commitment fees shall be computed on the basis of a year of 360 days and shall be payable for the actual number of days elapsed (including the first day but excluding the last day). For purposes of computing commitment fees, a Commitment of a Lender shall be deemed to be used to the extent of the outstanding Revolving Loans and Letter of Credit Usage of such Lender.</w:t>
      </w:r>
    </w:p>
    <w:p>
      <w:pPr>
        <w:spacing w:after="0" w:line="159" w:lineRule="exact"/>
        <w:rPr>
          <w:sz w:val="20"/>
          <w:szCs w:val="20"/>
          <w:color w:val="auto"/>
        </w:rPr>
      </w:pPr>
    </w:p>
    <w:p>
      <w:pPr>
        <w:jc w:val="both"/>
        <w:ind w:left="80" w:firstLine="1305"/>
        <w:spacing w:after="0" w:line="244" w:lineRule="auto"/>
        <w:tabs>
          <w:tab w:leader="none" w:pos="1875" w:val="left"/>
        </w:tabs>
        <w:numPr>
          <w:ilvl w:val="0"/>
          <w:numId w:val="88"/>
        </w:numPr>
        <w:rPr>
          <w:rFonts w:ascii="Arial" w:cs="Arial" w:eastAsia="Arial" w:hAnsi="Arial"/>
          <w:sz w:val="19"/>
          <w:szCs w:val="19"/>
          <w:color w:val="auto"/>
        </w:rPr>
      </w:pPr>
      <w:r>
        <w:rPr>
          <w:rFonts w:ascii="Arial" w:cs="Arial" w:eastAsia="Arial" w:hAnsi="Arial"/>
          <w:sz w:val="19"/>
          <w:szCs w:val="19"/>
          <w:color w:val="auto"/>
        </w:rPr>
        <w:t>On the Effective Date, the Borrowers jointly and severally agree to pay to the Administrative Agent for the account of each Lender as of the Effective Date, an upfront fee equal to (i) if such Lender is an existing Lender (as defined in the Existing Credit Agreement) under the Existing Credit Agreement immediately prior to the Effective Date (an “</w:t>
      </w:r>
      <w:r>
        <w:rPr>
          <w:rFonts w:ascii="Arial" w:cs="Arial" w:eastAsia="Arial" w:hAnsi="Arial"/>
          <w:sz w:val="19"/>
          <w:szCs w:val="19"/>
          <w:u w:val="single" w:color="auto"/>
          <w:color w:val="auto"/>
        </w:rPr>
        <w:t>Existing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Lender</w:t>
      </w:r>
      <w:r>
        <w:rPr>
          <w:rFonts w:ascii="Arial" w:cs="Arial" w:eastAsia="Arial" w:hAnsi="Arial"/>
          <w:sz w:val="19"/>
          <w:szCs w:val="19"/>
          <w:color w:val="auto"/>
        </w:rPr>
        <w:t>”), the sum of (x) 0.10% of the amount of such Existing Lender’s Commitment as in effect on the Effective Date up to the amount of the Commitment (as defined in the Existing Credit Agreement) of such Existing Lender under the Existing Credit Agreement immediately prior to the Effective Date and (y) 0.25% of the amount of such Existing Lender’s Commitment as in effect on the Effective Date that exceeds the Commitment (as defined in the Existing Credit Agreement) of such Existing Lender under the Existing Credit Agreement immediately prior to the Effective Date or (ii) if such Lender is not an Existing Lender, 0.25% of the aggregate amount of such Lender’s Commitment as in effect on the Effective Date.</w:t>
      </w:r>
    </w:p>
    <w:p>
      <w:pPr>
        <w:spacing w:after="0" w:line="160" w:lineRule="exact"/>
        <w:rPr>
          <w:rFonts w:ascii="Arial" w:cs="Arial" w:eastAsia="Arial" w:hAnsi="Arial"/>
          <w:sz w:val="19"/>
          <w:szCs w:val="19"/>
          <w:color w:val="auto"/>
        </w:rPr>
      </w:pPr>
    </w:p>
    <w:p>
      <w:pPr>
        <w:jc w:val="both"/>
        <w:ind w:left="80" w:firstLine="1305"/>
        <w:spacing w:after="0" w:line="252" w:lineRule="auto"/>
        <w:tabs>
          <w:tab w:leader="none" w:pos="1836"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The Borrowers jointly and severally agree to pay to the Administrative Agent for the account of each Lender (other than any Defaulting Lender) letter of credit fees equal to such Lender’s Applicable Percentage of (i) the Applicable Rate for Revolving Loans that are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highlight w:val="lightGray"/>
        </w:rPr>
        <w:t>Term Benchmark</w:t>
      </w:r>
      <w:r>
        <w:rPr>
          <w:rFonts w:ascii="Arial" w:cs="Arial" w:eastAsia="Arial" w:hAnsi="Arial"/>
          <w:sz w:val="19"/>
          <w:szCs w:val="19"/>
          <w:color w:val="auto"/>
        </w:rPr>
        <w:t xml:space="preserve"> Loans, multiplied by (ii) the average aggregate daily maximum Dollar Equivalent (determined in accordance with Section 1.5(b)) available to be drawn under all Letters of Credit (determined as of the close of business on any date of determination and regardless of whether any conditions for drawing could then be met and</w:t>
      </w:r>
    </w:p>
    <w:p>
      <w:pPr>
        <w:sectPr>
          <w:pgSz w:w="11900" w:h="16838" w:orient="portrait"/>
          <w:cols w:equalWidth="0" w:num="1">
            <w:col w:w="11240"/>
          </w:cols>
          <w:pgMar w:left="320" w:top="1401" w:right="339" w:bottom="1440" w:gutter="0" w:footer="0" w:header="0"/>
        </w:sectPr>
      </w:pPr>
    </w:p>
    <w:bookmarkStart w:id="111" w:name="page112"/>
    <w:bookmarkEnd w:id="111"/>
    <w:p>
      <w:pPr>
        <w:jc w:val="both"/>
        <w:ind w:left="80"/>
        <w:spacing w:after="0" w:line="212" w:lineRule="auto"/>
        <w:rPr>
          <w:sz w:val="20"/>
          <w:szCs w:val="20"/>
          <w:color w:val="auto"/>
        </w:rPr>
      </w:pPr>
      <w:r>
        <w:rPr>
          <w:rFonts w:ascii="Arial" w:cs="Arial" w:eastAsia="Arial" w:hAnsi="Arial"/>
          <w:sz w:val="22"/>
          <w:szCs w:val="22"/>
          <w:color w:val="auto"/>
        </w:rPr>
        <w:t>determined as of the close of business on any date of determination), during the period from and including the Effective Date to but excluding the later of the date on which such Lender’s Commitment terminates and the date on which such Lender ceases to have any Revolving Exposure arising from Letters of Credit. Such letter of credit fees shall be paid on a quarterly basis in arrears and shall be due and payable on the tenth Business Day after the end of each March, June, September and December in respect of the most recently ended quarterly period (or portion thereof, in the case of the first payment), commencing with the first such date to occur after the issuance of any Letter of Credit, on the Commitment Termination Date and thereafter on demand.</w:t>
      </w:r>
    </w:p>
    <w:p>
      <w:pPr>
        <w:spacing w:after="0" w:line="164" w:lineRule="exact"/>
        <w:rPr>
          <w:sz w:val="20"/>
          <w:szCs w:val="20"/>
          <w:color w:val="auto"/>
        </w:rPr>
      </w:pPr>
    </w:p>
    <w:p>
      <w:pPr>
        <w:ind w:left="1940" w:hanging="555"/>
        <w:spacing w:after="0"/>
        <w:tabs>
          <w:tab w:leader="none" w:pos="1940" w:val="left"/>
        </w:tabs>
        <w:numPr>
          <w:ilvl w:val="1"/>
          <w:numId w:val="89"/>
        </w:numPr>
        <w:rPr>
          <w:rFonts w:ascii="Arial" w:cs="Arial" w:eastAsia="Arial" w:hAnsi="Arial"/>
          <w:sz w:val="19"/>
          <w:szCs w:val="19"/>
          <w:color w:val="auto"/>
        </w:rPr>
      </w:pPr>
      <w:r>
        <w:rPr>
          <w:rFonts w:ascii="Arial" w:cs="Arial" w:eastAsia="Arial" w:hAnsi="Arial"/>
          <w:sz w:val="19"/>
          <w:szCs w:val="19"/>
          <w:color w:val="auto"/>
        </w:rPr>
        <w:t>The Borrowers jointly and severally agree to pay directly to each Issuing Bank, for its own account, the</w:t>
      </w:r>
    </w:p>
    <w:p>
      <w:pPr>
        <w:spacing w:after="0" w:line="15" w:lineRule="exact"/>
        <w:rPr>
          <w:rFonts w:ascii="Arial" w:cs="Arial" w:eastAsia="Arial" w:hAnsi="Arial"/>
          <w:sz w:val="19"/>
          <w:szCs w:val="19"/>
          <w:color w:val="auto"/>
        </w:rPr>
      </w:pPr>
    </w:p>
    <w:p>
      <w:pPr>
        <w:ind w:left="80"/>
        <w:spacing w:after="0"/>
        <w:rPr>
          <w:rFonts w:ascii="Arial" w:cs="Arial" w:eastAsia="Arial" w:hAnsi="Arial"/>
          <w:sz w:val="19"/>
          <w:szCs w:val="19"/>
          <w:color w:val="auto"/>
        </w:rPr>
      </w:pPr>
      <w:r>
        <w:rPr>
          <w:rFonts w:ascii="Arial" w:cs="Arial" w:eastAsia="Arial" w:hAnsi="Arial"/>
          <w:sz w:val="22"/>
          <w:szCs w:val="22"/>
          <w:color w:val="auto"/>
        </w:rPr>
        <w:t>following fees:</w:t>
      </w:r>
    </w:p>
    <w:p>
      <w:pPr>
        <w:spacing w:after="0" w:line="161" w:lineRule="exact"/>
        <w:rPr>
          <w:rFonts w:ascii="Arial" w:cs="Arial" w:eastAsia="Arial" w:hAnsi="Arial"/>
          <w:sz w:val="19"/>
          <w:szCs w:val="19"/>
          <w:color w:val="auto"/>
        </w:rPr>
      </w:pPr>
    </w:p>
    <w:p>
      <w:pPr>
        <w:jc w:val="both"/>
        <w:ind w:left="660" w:firstLine="644"/>
        <w:spacing w:after="0" w:line="249" w:lineRule="auto"/>
        <w:tabs>
          <w:tab w:leader="none" w:pos="1874" w:val="left"/>
        </w:tabs>
        <w:numPr>
          <w:ilvl w:val="0"/>
          <w:numId w:val="90"/>
        </w:numPr>
        <w:rPr>
          <w:rFonts w:ascii="Arial" w:cs="Arial" w:eastAsia="Arial" w:hAnsi="Arial"/>
          <w:sz w:val="19"/>
          <w:szCs w:val="19"/>
          <w:color w:val="auto"/>
        </w:rPr>
      </w:pPr>
      <w:r>
        <w:rPr>
          <w:rFonts w:ascii="Arial" w:cs="Arial" w:eastAsia="Arial" w:hAnsi="Arial"/>
          <w:sz w:val="19"/>
          <w:szCs w:val="19"/>
          <w:color w:val="auto"/>
        </w:rPr>
        <w:t>a fronting fee equal to 0.125% per annum, multiplied by the average aggregate daily maximum Dollar Equivalent (determined in accordance with Section 1.5(b)) available to be drawn under all Letters of Credit issued by such Issuing Bank (determined as of the close of business on any date of determination and regardless of whether any conditions for drawing could then be met and determined as of the close of business on any date of determination) from and including the Effective Date to but excluding the later of the date of termination of the Commitments and the date on which there ceases to be any Letter of Credit Usage attributable to Letters of Credit issued by such Issuing Bank; and</w:t>
      </w:r>
    </w:p>
    <w:p>
      <w:pPr>
        <w:spacing w:after="0" w:line="151" w:lineRule="exact"/>
        <w:rPr>
          <w:rFonts w:ascii="Arial" w:cs="Arial" w:eastAsia="Arial" w:hAnsi="Arial"/>
          <w:sz w:val="19"/>
          <w:szCs w:val="19"/>
          <w:color w:val="auto"/>
        </w:rPr>
      </w:pPr>
    </w:p>
    <w:p>
      <w:pPr>
        <w:jc w:val="both"/>
        <w:ind w:left="660" w:firstLine="644"/>
        <w:spacing w:after="0" w:line="234" w:lineRule="auto"/>
        <w:tabs>
          <w:tab w:leader="none" w:pos="1815" w:val="left"/>
        </w:tabs>
        <w:numPr>
          <w:ilvl w:val="0"/>
          <w:numId w:val="90"/>
        </w:numPr>
        <w:rPr>
          <w:rFonts w:ascii="Arial" w:cs="Arial" w:eastAsia="Arial" w:hAnsi="Arial"/>
          <w:sz w:val="21"/>
          <w:szCs w:val="21"/>
          <w:color w:val="auto"/>
        </w:rPr>
      </w:pPr>
      <w:r>
        <w:rPr>
          <w:rFonts w:ascii="Arial" w:cs="Arial" w:eastAsia="Arial" w:hAnsi="Arial"/>
          <w:sz w:val="21"/>
          <w:szCs w:val="21"/>
          <w:color w:val="auto"/>
        </w:rPr>
        <w:t>such administrative, documentary and processing charges for any issuance, amendment, transfer or payment of a Letter of Credit as are in accordance with such Issuing Bank’s standard schedule for such charges and as in effect at the time of such issuance, amendment, transfer or payment, as the case may be.</w:t>
      </w:r>
    </w:p>
    <w:p>
      <w:pPr>
        <w:spacing w:after="0" w:line="158"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Such fronting fee shall be paid on a quarterly basis in arrears and shall be due and payable on the tenth Business Day after the end of each March, June, September and December in respect of the most recently ended quarterly period (or portion thereof, in the case of the first payment), commencing with the first such date to occur after the issuance of such Letter of Credit, on the Commitment Termination Date and thereafter on demand. Such documentary and processing charges are due and payable on demand.</w:t>
      </w:r>
    </w:p>
    <w:p>
      <w:pPr>
        <w:spacing w:after="0" w:line="158" w:lineRule="exact"/>
        <w:rPr>
          <w:sz w:val="20"/>
          <w:szCs w:val="20"/>
          <w:color w:val="auto"/>
        </w:rPr>
      </w:pPr>
    </w:p>
    <w:p>
      <w:pPr>
        <w:ind w:left="80" w:firstLine="1305"/>
        <w:spacing w:after="0" w:line="298" w:lineRule="auto"/>
        <w:tabs>
          <w:tab w:leader="none" w:pos="1931"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Borrowers jointly and severally agree to pay to the Administrative Agent, for its own account, fees payable in the amounts and at the times separately agreed upon between the Borrowers and the Administrative Agent.</w:t>
      </w:r>
    </w:p>
    <w:p>
      <w:pPr>
        <w:spacing w:after="0" w:line="105" w:lineRule="exact"/>
        <w:rPr>
          <w:rFonts w:ascii="Arial" w:cs="Arial" w:eastAsia="Arial" w:hAnsi="Arial"/>
          <w:sz w:val="19"/>
          <w:szCs w:val="19"/>
          <w:color w:val="auto"/>
        </w:rPr>
      </w:pPr>
    </w:p>
    <w:p>
      <w:pPr>
        <w:ind w:left="80" w:firstLine="1305"/>
        <w:spacing w:after="0" w:line="232" w:lineRule="auto"/>
        <w:tabs>
          <w:tab w:leader="none" w:pos="1904" w:val="left"/>
        </w:tabs>
        <w:numPr>
          <w:ilvl w:val="0"/>
          <w:numId w:val="91"/>
        </w:numPr>
        <w:rPr>
          <w:rFonts w:ascii="Arial" w:cs="Arial" w:eastAsia="Arial" w:hAnsi="Arial"/>
          <w:sz w:val="22"/>
          <w:szCs w:val="22"/>
          <w:color w:val="auto"/>
        </w:rPr>
      </w:pPr>
      <w:r>
        <w:rPr>
          <w:rFonts w:ascii="Arial" w:cs="Arial" w:eastAsia="Arial" w:hAnsi="Arial"/>
          <w:sz w:val="22"/>
          <w:szCs w:val="22"/>
          <w:color w:val="auto"/>
        </w:rPr>
        <w:t>All fees payable hereunder shall be paid on the dates due, in immediately available funds, to the parties specified herein. Fees paid shall not be refundable under any circumstances.</w:t>
      </w:r>
    </w:p>
    <w:p>
      <w:pPr>
        <w:spacing w:after="0" w:line="159" w:lineRule="exact"/>
        <w:rPr>
          <w:sz w:val="20"/>
          <w:szCs w:val="20"/>
          <w:color w:val="auto"/>
        </w:rPr>
      </w:pPr>
    </w:p>
    <w:p>
      <w:pPr>
        <w:ind w:firstLine="1296"/>
        <w:spacing w:after="0" w:line="232" w:lineRule="auto"/>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u w:val="single" w:color="auto"/>
          <w:color w:val="auto"/>
        </w:rPr>
        <w:t>Interest</w:t>
      </w:r>
      <w:r>
        <w:rPr>
          <w:rFonts w:ascii="Arial" w:cs="Arial" w:eastAsia="Arial" w:hAnsi="Arial"/>
          <w:sz w:val="22"/>
          <w:szCs w:val="22"/>
          <w:color w:val="auto"/>
        </w:rPr>
        <w:t xml:space="preserve">. (a) The Loans comprising each ABR Borrowing shall bear interest at the Alternate Base Rate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Applicable Rate.</w:t>
      </w:r>
    </w:p>
    <w:p>
      <w:pPr>
        <w:spacing w:after="0" w:line="159" w:lineRule="exact"/>
        <w:rPr>
          <w:sz w:val="20"/>
          <w:szCs w:val="20"/>
          <w:color w:val="auto"/>
        </w:rPr>
      </w:pPr>
    </w:p>
    <w:p>
      <w:pPr>
        <w:ind w:left="80" w:firstLine="1305"/>
        <w:spacing w:after="0" w:line="232" w:lineRule="auto"/>
        <w:tabs>
          <w:tab w:leader="none" w:pos="1993"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The Loans comprising each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highlight w:val="lightGray"/>
        </w:rPr>
        <w:t>Term Benchmark</w:t>
      </w:r>
      <w:r>
        <w:rPr>
          <w:rFonts w:ascii="Arial" w:cs="Arial" w:eastAsia="Arial" w:hAnsi="Arial"/>
          <w:sz w:val="22"/>
          <w:szCs w:val="22"/>
          <w:color w:val="auto"/>
        </w:rPr>
        <w:t xml:space="preserve"> Borrowing shall bear interest at the Adjusted </w:t>
      </w:r>
      <w:r>
        <w:rPr>
          <w:rFonts w:ascii="Arial" w:cs="Arial" w:eastAsia="Arial" w:hAnsi="Arial"/>
          <w:sz w:val="22"/>
          <w:szCs w:val="22"/>
          <w:color w:val="FF0000"/>
          <w:strike w:val="1"/>
        </w:rPr>
        <w:t>LIBO</w:t>
      </w:r>
      <w:r>
        <w:rPr>
          <w:rFonts w:ascii="Arial" w:cs="Arial" w:eastAsia="Arial" w:hAnsi="Arial"/>
          <w:sz w:val="22"/>
          <w:szCs w:val="22"/>
          <w:u w:val="single" w:color="auto"/>
          <w:color w:val="0000FF"/>
          <w:highlight w:val="lightGray"/>
        </w:rPr>
        <w:t>Term SOFR</w:t>
      </w:r>
      <w:r>
        <w:rPr>
          <w:rFonts w:ascii="Arial" w:cs="Arial" w:eastAsia="Arial" w:hAnsi="Arial"/>
          <w:sz w:val="22"/>
          <w:szCs w:val="22"/>
          <w:color w:val="FF0000"/>
        </w:rPr>
        <w:t xml:space="preserve"> </w:t>
      </w:r>
      <w:r>
        <w:rPr>
          <w:rFonts w:ascii="Arial" w:cs="Arial" w:eastAsia="Arial" w:hAnsi="Arial"/>
          <w:sz w:val="22"/>
          <w:szCs w:val="22"/>
          <w:color w:val="000000"/>
        </w:rPr>
        <w:t>Rate for the Interest Period in effect for such Borrowing</w:t>
      </w:r>
      <w:r>
        <w:rPr>
          <w:rFonts w:ascii="Arial" w:cs="Arial" w:eastAsia="Arial" w:hAnsi="Arial"/>
          <w:sz w:val="22"/>
          <w:szCs w:val="22"/>
          <w:color w:val="FF0000"/>
        </w:rPr>
        <w:t xml:space="preserve"> </w:t>
      </w:r>
      <w:r>
        <w:rPr>
          <w:rFonts w:ascii="Arial" w:cs="Arial" w:eastAsia="Arial" w:hAnsi="Arial"/>
          <w:sz w:val="22"/>
          <w:szCs w:val="22"/>
          <w:i w:val="1"/>
          <w:iCs w:val="1"/>
          <w:color w:val="000000"/>
        </w:rPr>
        <w:t>plus</w:t>
      </w:r>
      <w:r>
        <w:rPr>
          <w:rFonts w:ascii="Arial" w:cs="Arial" w:eastAsia="Arial" w:hAnsi="Arial"/>
          <w:sz w:val="22"/>
          <w:szCs w:val="22"/>
          <w:color w:val="FF0000"/>
        </w:rPr>
        <w:t xml:space="preserve"> </w:t>
      </w:r>
      <w:r>
        <w:rPr>
          <w:rFonts w:ascii="Arial" w:cs="Arial" w:eastAsia="Arial" w:hAnsi="Arial"/>
          <w:sz w:val="22"/>
          <w:szCs w:val="22"/>
          <w:color w:val="000000"/>
        </w:rPr>
        <w:t>the Applicable Rate.</w:t>
      </w:r>
    </w:p>
    <w:p>
      <w:pPr>
        <w:spacing w:after="0" w:line="158" w:lineRule="exact"/>
        <w:rPr>
          <w:rFonts w:ascii="Arial" w:cs="Arial" w:eastAsia="Arial" w:hAnsi="Arial"/>
          <w:sz w:val="22"/>
          <w:szCs w:val="22"/>
          <w:color w:val="auto"/>
        </w:rPr>
      </w:pPr>
    </w:p>
    <w:p>
      <w:pPr>
        <w:jc w:val="both"/>
        <w:ind w:left="80" w:firstLine="1305"/>
        <w:spacing w:after="0" w:line="268" w:lineRule="auto"/>
        <w:tabs>
          <w:tab w:leader="none" w:pos="1835"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Notwithstanding the foregoing, at all times when an Event of Default listed in paragraph (a), (b), (h) or (i) of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has occurred hereunder and is continuing, all overdue amounts outstanding hereunder shall bear interest, after as well as before judgment, at a rate per annum equal to (i) in the case of overdue principal of any Loan, 2%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rate</w:t>
      </w:r>
    </w:p>
    <w:p>
      <w:pPr>
        <w:sectPr>
          <w:pgSz w:w="11900" w:h="16838" w:orient="portrait"/>
          <w:cols w:equalWidth="0" w:num="1">
            <w:col w:w="11240"/>
          </w:cols>
          <w:pgMar w:left="320" w:top="1401" w:right="339" w:bottom="1440" w:gutter="0" w:footer="0" w:header="0"/>
        </w:sectPr>
      </w:pPr>
    </w:p>
    <w:bookmarkStart w:id="112" w:name="page113"/>
    <w:bookmarkEnd w:id="112"/>
    <w:p>
      <w:pPr>
        <w:spacing w:after="0" w:line="232" w:lineRule="auto"/>
        <w:rPr>
          <w:sz w:val="20"/>
          <w:szCs w:val="20"/>
          <w:color w:val="auto"/>
        </w:rPr>
      </w:pPr>
      <w:r>
        <w:rPr>
          <w:rFonts w:ascii="Arial" w:cs="Arial" w:eastAsia="Arial" w:hAnsi="Arial"/>
          <w:sz w:val="22"/>
          <w:szCs w:val="22"/>
          <w:color w:val="auto"/>
        </w:rPr>
        <w:t xml:space="preserve">otherwise applicable thereto as provided in the preceding paragraphs of this Section or (ii) in the case of any other overdue amount, 2%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rate applicable to ABR Loans as provided in paragraph (a) of this Section.</w:t>
      </w:r>
    </w:p>
    <w:p>
      <w:pPr>
        <w:spacing w:after="0" w:line="159" w:lineRule="exact"/>
        <w:rPr>
          <w:sz w:val="20"/>
          <w:szCs w:val="20"/>
          <w:color w:val="auto"/>
        </w:rPr>
      </w:pPr>
    </w:p>
    <w:p>
      <w:pPr>
        <w:jc w:val="both"/>
        <w:ind w:firstLine="1305"/>
        <w:spacing w:after="0" w:line="212" w:lineRule="auto"/>
        <w:tabs>
          <w:tab w:leader="none" w:pos="1787" w:val="left"/>
        </w:tabs>
        <w:numPr>
          <w:ilvl w:val="0"/>
          <w:numId w:val="93"/>
        </w:numPr>
        <w:rPr>
          <w:rFonts w:ascii="Arial" w:cs="Arial" w:eastAsia="Arial" w:hAnsi="Arial"/>
          <w:sz w:val="22"/>
          <w:szCs w:val="22"/>
          <w:color w:val="auto"/>
        </w:rPr>
      </w:pPr>
      <w:r>
        <w:rPr>
          <w:rFonts w:ascii="Arial" w:cs="Arial" w:eastAsia="Arial" w:hAnsi="Arial"/>
          <w:sz w:val="22"/>
          <w:szCs w:val="22"/>
          <w:color w:val="auto"/>
        </w:rPr>
        <w:t xml:space="preserve">Accrued interest on each Loan shall be payable in arrears on each Interest Payment Date for such Loan and upon termination of the Commitments;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interest accrued pursuant to paragraph (c) of this Section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highlight w:val="lightGray"/>
        </w:rPr>
        <w:t>Term Benchmark</w:t>
      </w:r>
      <w:r>
        <w:rPr>
          <w:rFonts w:ascii="Arial" w:cs="Arial" w:eastAsia="Arial" w:hAnsi="Arial"/>
          <w:sz w:val="22"/>
          <w:szCs w:val="22"/>
          <w:color w:val="auto"/>
        </w:rPr>
        <w:t xml:space="preserve"> Loan prior to the end of the current Interest Period therefor, accrued interest on such Loan shall be payable on the effective date of such conversion.</w:t>
      </w:r>
    </w:p>
    <w:p>
      <w:pPr>
        <w:spacing w:after="0" w:line="163" w:lineRule="exact"/>
        <w:rPr>
          <w:rFonts w:ascii="Arial" w:cs="Arial" w:eastAsia="Arial" w:hAnsi="Arial"/>
          <w:sz w:val="22"/>
          <w:szCs w:val="22"/>
          <w:color w:val="auto"/>
        </w:rPr>
      </w:pPr>
    </w:p>
    <w:p>
      <w:pPr>
        <w:jc w:val="both"/>
        <w:ind w:firstLine="1305"/>
        <w:spacing w:after="0" w:line="224" w:lineRule="auto"/>
        <w:tabs>
          <w:tab w:leader="none" w:pos="1859" w:val="left"/>
        </w:tabs>
        <w:numPr>
          <w:ilvl w:val="0"/>
          <w:numId w:val="93"/>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2.12(g)</w:t>
      </w:r>
      <w:r>
        <w:rPr>
          <w:rFonts w:ascii="Arial" w:cs="Arial" w:eastAsia="Arial" w:hAnsi="Arial"/>
          <w:sz w:val="21"/>
          <w:szCs w:val="21"/>
          <w:color w:val="auto"/>
        </w:rPr>
        <w:t xml:space="preserve">, 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Adjusted </w:t>
      </w:r>
      <w:r>
        <w:rPr>
          <w:rFonts w:ascii="Arial" w:cs="Arial" w:eastAsia="Arial" w:hAnsi="Arial"/>
          <w:sz w:val="21"/>
          <w:szCs w:val="21"/>
          <w:color w:val="FF0000"/>
          <w:strike w:val="1"/>
        </w:rPr>
        <w:t>LIBO</w:t>
      </w:r>
      <w:r>
        <w:rPr>
          <w:rFonts w:ascii="Arial" w:cs="Arial" w:eastAsia="Arial" w:hAnsi="Arial"/>
          <w:sz w:val="21"/>
          <w:szCs w:val="21"/>
          <w:u w:val="single" w:color="auto"/>
          <w:color w:val="0000FF"/>
          <w:highlight w:val="lightGray"/>
        </w:rPr>
        <w:t>Term SOFR</w:t>
      </w:r>
      <w:r>
        <w:rPr>
          <w:rFonts w:ascii="Arial" w:cs="Arial" w:eastAsia="Arial" w:hAnsi="Arial"/>
          <w:sz w:val="21"/>
          <w:szCs w:val="21"/>
          <w:color w:val="auto"/>
        </w:rPr>
        <w:t xml:space="preserve"> Rate or </w:t>
      </w:r>
      <w:r>
        <w:rPr>
          <w:rFonts w:ascii="Arial" w:cs="Arial" w:eastAsia="Arial" w:hAnsi="Arial"/>
          <w:sz w:val="21"/>
          <w:szCs w:val="21"/>
          <w:color w:val="FF0000"/>
          <w:strike w:val="1"/>
        </w:rPr>
        <w:t>LIBO</w:t>
      </w:r>
      <w:r>
        <w:rPr>
          <w:rFonts w:ascii="Arial" w:cs="Arial" w:eastAsia="Arial" w:hAnsi="Arial"/>
          <w:sz w:val="21"/>
          <w:szCs w:val="21"/>
          <w:u w:val="single" w:color="auto"/>
          <w:color w:val="0000FF"/>
          <w:highlight w:val="lightGray"/>
        </w:rPr>
        <w:t>Term SOFR</w:t>
      </w:r>
      <w:r>
        <w:rPr>
          <w:rFonts w:ascii="Arial" w:cs="Arial" w:eastAsia="Arial" w:hAnsi="Arial"/>
          <w:sz w:val="21"/>
          <w:szCs w:val="21"/>
          <w:color w:val="auto"/>
        </w:rPr>
        <w:t xml:space="preserve"> Rate shall be determined by the Administrative Agent, and such determination shall be conclusive absent manifest error.</w:t>
      </w:r>
    </w:p>
    <w:p>
      <w:pPr>
        <w:spacing w:after="0" w:line="159" w:lineRule="exact"/>
        <w:rPr>
          <w:rFonts w:ascii="Arial" w:cs="Arial" w:eastAsia="Arial" w:hAnsi="Arial"/>
          <w:sz w:val="21"/>
          <w:szCs w:val="21"/>
          <w:color w:val="auto"/>
        </w:rPr>
      </w:pPr>
    </w:p>
    <w:p>
      <w:pPr>
        <w:jc w:val="both"/>
        <w:ind w:firstLine="1305"/>
        <w:spacing w:after="0" w:line="247" w:lineRule="auto"/>
        <w:tabs>
          <w:tab w:leader="none" w:pos="1797"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Borrowers jointly and severally agree to pay to each Issuing Bank, with respect to drawings honored under any Letter of Credit issued by such Issuing Bank, interest on the Dollar Equivalent (determined in accordance with Section 1.5(b)) paid by such Issuing Bank in respect of each such honored drawing from the date such drawing is honored to but excluding the date such amount is reimbursed by or on behalf of the Borrowers at a rate equal to (i) for the period from the applicable Disbursement Date to but excluding the applicable Reimbursement Date, the rate of interest otherwise payable hereunder with respect to Revolving Loans that are ABR Loans, and (ii) thereafter, a rate which is 2% per annum in excess of the rate of interest otherwise payable hereunder with respect to Revolving Loans that are ABR Loans.</w:t>
      </w:r>
    </w:p>
    <w:p>
      <w:pPr>
        <w:spacing w:after="0" w:line="153" w:lineRule="exact"/>
        <w:rPr>
          <w:rFonts w:ascii="Arial" w:cs="Arial" w:eastAsia="Arial" w:hAnsi="Arial"/>
          <w:sz w:val="19"/>
          <w:szCs w:val="19"/>
          <w:color w:val="auto"/>
        </w:rPr>
      </w:pPr>
    </w:p>
    <w:p>
      <w:pPr>
        <w:jc w:val="both"/>
        <w:ind w:firstLine="1305"/>
        <w:spacing w:after="0" w:line="211" w:lineRule="auto"/>
        <w:tabs>
          <w:tab w:leader="none" w:pos="1834" w:val="left"/>
        </w:tabs>
        <w:numPr>
          <w:ilvl w:val="0"/>
          <w:numId w:val="93"/>
        </w:numPr>
        <w:rPr>
          <w:rFonts w:ascii="Arial" w:cs="Arial" w:eastAsia="Arial" w:hAnsi="Arial"/>
          <w:sz w:val="22"/>
          <w:szCs w:val="22"/>
          <w:color w:val="auto"/>
        </w:rPr>
      </w:pPr>
      <w:r>
        <w:rPr>
          <w:rFonts w:ascii="Arial" w:cs="Arial" w:eastAsia="Arial" w:hAnsi="Arial"/>
          <w:sz w:val="22"/>
          <w:szCs w:val="22"/>
          <w:color w:val="auto"/>
        </w:rPr>
        <w:t xml:space="preserve">Interest payable pursuant to </w:t>
      </w:r>
      <w:r>
        <w:rPr>
          <w:rFonts w:ascii="Arial" w:cs="Arial" w:eastAsia="Arial" w:hAnsi="Arial"/>
          <w:sz w:val="22"/>
          <w:szCs w:val="22"/>
          <w:u w:val="single" w:color="auto"/>
          <w:color w:val="auto"/>
        </w:rPr>
        <w:t>Section 2.12(f)</w:t>
      </w:r>
      <w:r>
        <w:rPr>
          <w:rFonts w:ascii="Arial" w:cs="Arial" w:eastAsia="Arial" w:hAnsi="Arial"/>
          <w:sz w:val="22"/>
          <w:szCs w:val="22"/>
          <w:color w:val="auto"/>
        </w:rPr>
        <w:t xml:space="preserve"> shall be computed on the basis of a 365/366 day year for the actual number of days elapsed in the period during which it accrues, and shall be payable on demand or, if no demand is made, on the date on which the related drawing under a Letter of Credit is reimbursed in full. In the event any Issuing Bank shall have been reimbursed by Lenders for all or any portion of any honored drawing, such Issuing Bank shall distribute to the Administrative Agent, for the account of each Lender which has paid all amounts payable by it under </w:t>
      </w:r>
      <w:r>
        <w:rPr>
          <w:rFonts w:ascii="Arial" w:cs="Arial" w:eastAsia="Arial" w:hAnsi="Arial"/>
          <w:sz w:val="22"/>
          <w:szCs w:val="22"/>
          <w:u w:val="single" w:color="auto"/>
          <w:color w:val="auto"/>
        </w:rPr>
        <w:t>Section 2.4(d)</w:t>
      </w:r>
      <w:r>
        <w:rPr>
          <w:rFonts w:ascii="Arial" w:cs="Arial" w:eastAsia="Arial" w:hAnsi="Arial"/>
          <w:sz w:val="22"/>
          <w:szCs w:val="22"/>
          <w:color w:val="auto"/>
        </w:rPr>
        <w:t xml:space="preserve"> with respect to such honored drawing, such Lender’s Applicable Percentage of any interest received by such Issuing Bank in respect of that portion of such honored drawing so reimbursed by such Lender for the period from the date on which such Issuing Bank was so reimbursed by such Lender to but excluding the date on which such portion of such honored drawing is reimbursed by the Borrowers.</w:t>
      </w:r>
    </w:p>
    <w:p>
      <w:pPr>
        <w:spacing w:after="0" w:line="158" w:lineRule="exact"/>
        <w:rPr>
          <w:sz w:val="20"/>
          <w:szCs w:val="20"/>
          <w:color w:val="auto"/>
        </w:rPr>
      </w:pPr>
    </w:p>
    <w:p>
      <w:pPr>
        <w:ind w:left="1220"/>
        <w:spacing w:after="0"/>
        <w:tabs>
          <w:tab w:leader="none" w:pos="256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9"/>
          <w:szCs w:val="19"/>
          <w:u w:val="single" w:color="auto"/>
          <w:color w:val="auto"/>
        </w:rPr>
        <w:t>Alternate Rate of Interest</w:t>
      </w:r>
      <w:r>
        <w:rPr>
          <w:rFonts w:ascii="Arial" w:cs="Arial" w:eastAsia="Arial" w:hAnsi="Arial"/>
          <w:sz w:val="19"/>
          <w:szCs w:val="19"/>
          <w:color w:val="auto"/>
        </w:rPr>
        <w:t>.</w:t>
      </w:r>
    </w:p>
    <w:p>
      <w:pPr>
        <w:spacing w:after="0" w:line="179" w:lineRule="exact"/>
        <w:rPr>
          <w:sz w:val="20"/>
          <w:szCs w:val="20"/>
          <w:color w:val="auto"/>
        </w:rPr>
      </w:pPr>
    </w:p>
    <w:p>
      <w:pPr>
        <w:ind w:firstLine="1305"/>
        <w:spacing w:after="0" w:line="232" w:lineRule="auto"/>
        <w:tabs>
          <w:tab w:leader="none" w:pos="1762" w:val="left"/>
        </w:tabs>
        <w:numPr>
          <w:ilvl w:val="1"/>
          <w:numId w:val="94"/>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clauses (b)</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w:t>
      </w:r>
      <w:r>
        <w:rPr>
          <w:rFonts w:ascii="Arial" w:cs="Arial" w:eastAsia="Arial" w:hAnsi="Arial"/>
          <w:sz w:val="22"/>
          <w:szCs w:val="22"/>
          <w:u w:val="single" w:color="auto"/>
          <w:color w:val="auto"/>
        </w:rPr>
        <w:t>(d)</w:t>
      </w:r>
      <w:r>
        <w:rPr>
          <w:rFonts w:ascii="Arial" w:cs="Arial" w:eastAsia="Arial" w:hAnsi="Arial"/>
          <w:sz w:val="22"/>
          <w:szCs w:val="22"/>
          <w:color w:val="auto"/>
        </w:rPr>
        <w:t xml:space="preserve">, </w:t>
      </w:r>
      <w:r>
        <w:rPr>
          <w:rFonts w:ascii="Arial" w:cs="Arial" w:eastAsia="Arial" w:hAnsi="Arial"/>
          <w:sz w:val="22"/>
          <w:szCs w:val="22"/>
          <w:u w:val="single" w:color="auto"/>
          <w:color w:val="auto"/>
        </w:rPr>
        <w:t>(e)</w:t>
      </w:r>
      <w:r>
        <w:rPr>
          <w:rFonts w:ascii="Arial" w:cs="Arial" w:eastAsia="Arial" w:hAnsi="Arial"/>
          <w:sz w:val="22"/>
          <w:szCs w:val="22"/>
          <w:color w:val="FF0000"/>
          <w:strike w:val="1"/>
        </w:rPr>
        <w:t>,</w:t>
      </w:r>
      <w:r>
        <w:rPr>
          <w:rFonts w:ascii="Arial" w:cs="Arial" w:eastAsia="Arial" w:hAnsi="Arial"/>
          <w:sz w:val="22"/>
          <w:szCs w:val="22"/>
          <w:color w:val="auto"/>
        </w:rPr>
        <w:t xml:space="preserve"> </w:t>
      </w:r>
      <w:r>
        <w:rPr>
          <w:rFonts w:ascii="Arial" w:cs="Arial" w:eastAsia="Arial" w:hAnsi="Arial"/>
          <w:sz w:val="22"/>
          <w:szCs w:val="22"/>
          <w:u w:val="single" w:color="auto"/>
          <w:color w:val="0000FF"/>
          <w:highlight w:val="lightGray"/>
        </w:rPr>
        <w:t>and</w:t>
      </w:r>
      <w:r>
        <w:rPr>
          <w:rFonts w:ascii="Arial" w:cs="Arial" w:eastAsia="Arial" w:hAnsi="Arial"/>
          <w:sz w:val="22"/>
          <w:szCs w:val="22"/>
          <w:color w:val="auto"/>
        </w:rPr>
        <w:t xml:space="preserve"> </w:t>
      </w:r>
      <w:r>
        <w:rPr>
          <w:rFonts w:ascii="Arial" w:cs="Arial" w:eastAsia="Arial" w:hAnsi="Arial"/>
          <w:sz w:val="22"/>
          <w:szCs w:val="22"/>
          <w:u w:val="single" w:color="auto"/>
          <w:color w:val="auto"/>
        </w:rPr>
        <w:t>(f)</w:t>
      </w:r>
      <w:r>
        <w:rPr>
          <w:rFonts w:ascii="Arial" w:cs="Arial" w:eastAsia="Arial" w:hAnsi="Arial"/>
          <w:sz w:val="22"/>
          <w:szCs w:val="22"/>
          <w:color w:val="auto"/>
        </w:rPr>
        <w:t xml:space="preserve"> </w:t>
      </w:r>
      <w:r>
        <w:rPr>
          <w:rFonts w:ascii="Arial" w:cs="Arial" w:eastAsia="Arial" w:hAnsi="Arial"/>
          <w:sz w:val="22"/>
          <w:szCs w:val="22"/>
          <w:color w:val="FF0000"/>
          <w:strike w:val="1"/>
        </w:rPr>
        <w:t>and</w:t>
      </w:r>
      <w:r>
        <w:rPr>
          <w:rFonts w:ascii="Arial" w:cs="Arial" w:eastAsia="Arial" w:hAnsi="Arial"/>
          <w:sz w:val="22"/>
          <w:szCs w:val="22"/>
          <w:color w:val="auto"/>
        </w:rPr>
        <w:t xml:space="preserve"> </w:t>
      </w:r>
      <w:r>
        <w:rPr>
          <w:rFonts w:ascii="Arial" w:cs="Arial" w:eastAsia="Arial" w:hAnsi="Arial"/>
          <w:sz w:val="22"/>
          <w:szCs w:val="22"/>
          <w:u w:val="single" w:color="auto"/>
          <w:color w:val="FF0000"/>
          <w:strike w:val="1"/>
        </w:rPr>
        <w:t>(g)</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2.13</w:t>
      </w:r>
      <w:r>
        <w:rPr>
          <w:rFonts w:ascii="Arial" w:cs="Arial" w:eastAsia="Arial" w:hAnsi="Arial"/>
          <w:sz w:val="22"/>
          <w:szCs w:val="22"/>
          <w:color w:val="auto"/>
        </w:rPr>
        <w:t xml:space="preserve">, if </w:t>
      </w:r>
      <w:r>
        <w:rPr>
          <w:rFonts w:ascii="Arial" w:cs="Arial" w:eastAsia="Arial" w:hAnsi="Arial"/>
          <w:sz w:val="22"/>
          <w:szCs w:val="22"/>
          <w:color w:val="008000"/>
          <w:strike w:val="1"/>
        </w:rPr>
        <w:t>prior to the commencement of any</w:t>
      </w:r>
      <w:r>
        <w:rPr>
          <w:rFonts w:ascii="Arial" w:cs="Arial" w:eastAsia="Arial" w:hAnsi="Arial"/>
          <w:sz w:val="22"/>
          <w:szCs w:val="22"/>
          <w:color w:val="auto"/>
        </w:rPr>
        <w:t xml:space="preserve"> </w:t>
      </w:r>
      <w:r>
        <w:rPr>
          <w:rFonts w:ascii="Arial" w:cs="Arial" w:eastAsia="Arial" w:hAnsi="Arial"/>
          <w:sz w:val="22"/>
          <w:szCs w:val="22"/>
          <w:color w:val="008000"/>
          <w:strike w:val="1"/>
        </w:rPr>
        <w:t>Interest Period for a</w:t>
      </w:r>
      <w:r>
        <w:rPr>
          <w:rFonts w:ascii="Arial" w:cs="Arial" w:eastAsia="Arial" w:hAnsi="Arial"/>
          <w:sz w:val="22"/>
          <w:szCs w:val="22"/>
          <w:color w:val="008000"/>
        </w:rPr>
        <w:t xml:space="preserve"> </w:t>
      </w:r>
      <w:r>
        <w:rPr>
          <w:rFonts w:ascii="Arial" w:cs="Arial" w:eastAsia="Arial" w:hAnsi="Arial"/>
          <w:sz w:val="22"/>
          <w:szCs w:val="22"/>
          <w:color w:val="FF0000"/>
          <w:strike w:val="1"/>
        </w:rPr>
        <w:t>Eurodollar Borrowing</w:t>
      </w:r>
      <w:r>
        <w:rPr>
          <w:rFonts w:ascii="Arial" w:cs="Arial" w:eastAsia="Arial" w:hAnsi="Arial"/>
          <w:sz w:val="22"/>
          <w:szCs w:val="22"/>
          <w:color w:val="000000"/>
        </w:rPr>
        <w:t>:</w:t>
      </w:r>
    </w:p>
    <w:p>
      <w:pPr>
        <w:spacing w:after="0" w:line="158" w:lineRule="exact"/>
        <w:rPr>
          <w:rFonts w:ascii="Arial" w:cs="Arial" w:eastAsia="Arial" w:hAnsi="Arial"/>
          <w:sz w:val="22"/>
          <w:szCs w:val="22"/>
          <w:color w:val="auto"/>
        </w:rPr>
      </w:pPr>
    </w:p>
    <w:p>
      <w:pPr>
        <w:jc w:val="both"/>
        <w:ind w:left="580" w:firstLine="644"/>
        <w:spacing w:after="0" w:line="223" w:lineRule="auto"/>
        <w:tabs>
          <w:tab w:leader="none" w:pos="1757" w:val="left"/>
        </w:tabs>
        <w:numPr>
          <w:ilvl w:val="0"/>
          <w:numId w:val="95"/>
        </w:numPr>
        <w:rPr>
          <w:rFonts w:ascii="Arial" w:cs="Arial" w:eastAsia="Arial" w:hAnsi="Arial"/>
          <w:sz w:val="22"/>
          <w:szCs w:val="22"/>
          <w:color w:val="auto"/>
        </w:rPr>
      </w:pPr>
      <w:r>
        <w:rPr>
          <w:rFonts w:ascii="Arial" w:cs="Arial" w:eastAsia="Arial" w:hAnsi="Arial"/>
          <w:sz w:val="22"/>
          <w:szCs w:val="22"/>
          <w:color w:val="auto"/>
        </w:rPr>
        <w:t xml:space="preserve">the Administrative Agent determines (which determination shall be conclusive absent manifest error) </w:t>
      </w:r>
      <w:r>
        <w:rPr>
          <w:rFonts w:ascii="Arial" w:cs="Arial" w:eastAsia="Arial" w:hAnsi="Arial"/>
          <w:sz w:val="22"/>
          <w:szCs w:val="22"/>
          <w:u w:val="single" w:color="auto"/>
          <w:color w:val="0000FF"/>
          <w:highlight w:val="lightGray"/>
        </w:rPr>
        <w:t>(A)</w:t>
      </w:r>
      <w:r>
        <w:rPr>
          <w:rFonts w:ascii="Arial" w:cs="Arial" w:eastAsia="Arial" w:hAnsi="Arial"/>
          <w:sz w:val="22"/>
          <w:szCs w:val="22"/>
          <w:color w:val="auto"/>
        </w:rPr>
        <w:t xml:space="preserve"> </w:t>
      </w:r>
      <w:r>
        <w:rPr>
          <w:rFonts w:ascii="Arial" w:cs="Arial" w:eastAsia="Arial" w:hAnsi="Arial"/>
          <w:sz w:val="22"/>
          <w:szCs w:val="22"/>
          <w:u w:val="single" w:color="auto"/>
          <w:color w:val="008000"/>
        </w:rPr>
        <w:t>prior to the commencement of any Interest Period for a</w:t>
      </w:r>
      <w:r>
        <w:rPr>
          <w:rFonts w:ascii="Arial" w:cs="Arial" w:eastAsia="Arial" w:hAnsi="Arial"/>
          <w:sz w:val="22"/>
          <w:szCs w:val="22"/>
          <w:color w:val="008000"/>
        </w:rPr>
        <w:t xml:space="preserve"> </w:t>
      </w:r>
      <w:r>
        <w:rPr>
          <w:rFonts w:ascii="Arial" w:cs="Arial" w:eastAsia="Arial" w:hAnsi="Arial"/>
          <w:sz w:val="22"/>
          <w:szCs w:val="22"/>
          <w:u w:val="single" w:color="auto"/>
          <w:color w:val="0000FF"/>
          <w:highlight w:val="lightGray"/>
        </w:rPr>
        <w:t>Term Benchmark Borrowing,</w:t>
      </w:r>
      <w:r>
        <w:rPr>
          <w:rFonts w:ascii="Arial" w:cs="Arial" w:eastAsia="Arial" w:hAnsi="Arial"/>
          <w:sz w:val="22"/>
          <w:szCs w:val="22"/>
          <w:color w:val="008000"/>
        </w:rPr>
        <w:t xml:space="preserve"> </w:t>
      </w:r>
      <w:r>
        <w:rPr>
          <w:rFonts w:ascii="Arial" w:cs="Arial" w:eastAsia="Arial" w:hAnsi="Arial"/>
          <w:sz w:val="22"/>
          <w:szCs w:val="22"/>
          <w:color w:val="000000"/>
        </w:rPr>
        <w:t>that adequate and reasonable means</w:t>
      </w:r>
      <w:r>
        <w:rPr>
          <w:rFonts w:ascii="Arial" w:cs="Arial" w:eastAsia="Arial" w:hAnsi="Arial"/>
          <w:sz w:val="22"/>
          <w:szCs w:val="22"/>
          <w:color w:val="008000"/>
        </w:rPr>
        <w:t xml:space="preserve"> </w:t>
      </w:r>
      <w:r>
        <w:rPr>
          <w:rFonts w:ascii="Arial" w:cs="Arial" w:eastAsia="Arial" w:hAnsi="Arial"/>
          <w:sz w:val="22"/>
          <w:szCs w:val="22"/>
          <w:color w:val="000000"/>
        </w:rPr>
        <w:t>do not exist for</w:t>
      </w:r>
    </w:p>
    <w:p>
      <w:pPr>
        <w:sectPr>
          <w:pgSz w:w="11900" w:h="16838" w:orient="portrait"/>
          <w:cols w:equalWidth="0" w:num="1">
            <w:col w:w="11160"/>
          </w:cols>
          <w:pgMar w:left="400" w:top="1401" w:right="339" w:bottom="1440" w:gutter="0" w:footer="0" w:header="0"/>
        </w:sectPr>
      </w:pPr>
    </w:p>
    <w:bookmarkStart w:id="113" w:name="page114"/>
    <w:bookmarkEnd w:id="113"/>
    <w:p>
      <w:pPr>
        <w:jc w:val="both"/>
        <w:ind w:left="660"/>
        <w:spacing w:after="0" w:line="229" w:lineRule="auto"/>
        <w:rPr>
          <w:sz w:val="20"/>
          <w:szCs w:val="20"/>
          <w:color w:val="auto"/>
        </w:rPr>
      </w:pPr>
      <w:r>
        <w:rPr>
          <w:rFonts w:ascii="Arial" w:cs="Arial" w:eastAsia="Arial" w:hAnsi="Arial"/>
          <w:sz w:val="21"/>
          <w:szCs w:val="21"/>
          <w:color w:val="auto"/>
        </w:rPr>
        <w:t xml:space="preserve">ascertaining the Adjusted </w:t>
      </w:r>
      <w:r>
        <w:rPr>
          <w:rFonts w:ascii="Arial" w:cs="Arial" w:eastAsia="Arial" w:hAnsi="Arial"/>
          <w:sz w:val="21"/>
          <w:szCs w:val="21"/>
          <w:color w:val="FF0000"/>
          <w:strike w:val="1"/>
        </w:rPr>
        <w:t>LIBO</w:t>
      </w:r>
      <w:r>
        <w:rPr>
          <w:rFonts w:ascii="Arial" w:cs="Arial" w:eastAsia="Arial" w:hAnsi="Arial"/>
          <w:sz w:val="21"/>
          <w:szCs w:val="21"/>
          <w:u w:val="single" w:color="auto"/>
          <w:color w:val="0000FF"/>
          <w:highlight w:val="lightGray"/>
        </w:rPr>
        <w:t>Term SOFR</w:t>
      </w:r>
      <w:r>
        <w:rPr>
          <w:rFonts w:ascii="Arial" w:cs="Arial" w:eastAsia="Arial" w:hAnsi="Arial"/>
          <w:sz w:val="21"/>
          <w:szCs w:val="21"/>
          <w:color w:val="auto"/>
        </w:rPr>
        <w:t xml:space="preserve"> Rate </w:t>
      </w:r>
      <w:r>
        <w:rPr>
          <w:rFonts w:ascii="Arial" w:cs="Arial" w:eastAsia="Arial" w:hAnsi="Arial"/>
          <w:sz w:val="21"/>
          <w:szCs w:val="21"/>
          <w:color w:val="FF0000"/>
          <w:strike w:val="1"/>
        </w:rPr>
        <w:t>or the LIBO Rate, as applicable</w:t>
      </w:r>
      <w:r>
        <w:rPr>
          <w:rFonts w:ascii="Arial" w:cs="Arial" w:eastAsia="Arial" w:hAnsi="Arial"/>
          <w:sz w:val="21"/>
          <w:szCs w:val="21"/>
          <w:color w:val="auto"/>
        </w:rPr>
        <w:t xml:space="preserve"> (including because the </w:t>
      </w:r>
      <w:r>
        <w:rPr>
          <w:rFonts w:ascii="Arial" w:cs="Arial" w:eastAsia="Arial" w:hAnsi="Arial"/>
          <w:sz w:val="21"/>
          <w:szCs w:val="21"/>
          <w:color w:val="FF0000"/>
          <w:strike w:val="1"/>
        </w:rPr>
        <w:t>LIBO</w:t>
      </w:r>
      <w:r>
        <w:rPr>
          <w:rFonts w:ascii="Arial" w:cs="Arial" w:eastAsia="Arial" w:hAnsi="Arial"/>
          <w:sz w:val="21"/>
          <w:szCs w:val="21"/>
          <w:color w:val="auto"/>
        </w:rPr>
        <w:t xml:space="preserve"> </w:t>
      </w:r>
      <w:r>
        <w:rPr>
          <w:rFonts w:ascii="Arial" w:cs="Arial" w:eastAsia="Arial" w:hAnsi="Arial"/>
          <w:sz w:val="21"/>
          <w:szCs w:val="21"/>
          <w:color w:val="FF0000"/>
          <w:strike w:val="1"/>
        </w:rPr>
        <w:t>Screen</w:t>
      </w:r>
      <w:r>
        <w:rPr>
          <w:rFonts w:ascii="Arial" w:cs="Arial" w:eastAsia="Arial" w:hAnsi="Arial"/>
          <w:sz w:val="21"/>
          <w:szCs w:val="21"/>
          <w:u w:val="single" w:color="auto"/>
          <w:color w:val="0000FF"/>
          <w:highlight w:val="lightGray"/>
        </w:rPr>
        <w:t>Term SOFR Reference</w:t>
      </w:r>
      <w:r>
        <w:rPr>
          <w:rFonts w:ascii="Arial" w:cs="Arial" w:eastAsia="Arial" w:hAnsi="Arial"/>
          <w:sz w:val="21"/>
          <w:szCs w:val="21"/>
          <w:color w:val="FF0000"/>
        </w:rPr>
        <w:t xml:space="preserve"> </w:t>
      </w:r>
      <w:r>
        <w:rPr>
          <w:rFonts w:ascii="Arial" w:cs="Arial" w:eastAsia="Arial" w:hAnsi="Arial"/>
          <w:sz w:val="21"/>
          <w:szCs w:val="21"/>
          <w:color w:val="000000"/>
        </w:rPr>
        <w:t>Rate is not available or published on a current basis), for such Interest Period</w:t>
      </w:r>
      <w:r>
        <w:rPr>
          <w:rFonts w:ascii="Arial" w:cs="Arial" w:eastAsia="Arial" w:hAnsi="Arial"/>
          <w:sz w:val="21"/>
          <w:szCs w:val="21"/>
          <w:color w:val="FF0000"/>
          <w:strike w:val="1"/>
        </w:rPr>
        <w:t>,</w:t>
      </w:r>
      <w:r>
        <w:rPr>
          <w:rFonts w:ascii="Arial" w:cs="Arial" w:eastAsia="Arial" w:hAnsi="Arial"/>
          <w:sz w:val="21"/>
          <w:szCs w:val="21"/>
          <w:color w:val="FF0000"/>
        </w:rPr>
        <w:t xml:space="preserve"> </w:t>
      </w:r>
      <w:r>
        <w:rPr>
          <w:rFonts w:ascii="Arial" w:cs="Arial" w:eastAsia="Arial" w:hAnsi="Arial"/>
          <w:sz w:val="21"/>
          <w:szCs w:val="21"/>
          <w:u w:val="single" w:color="auto"/>
          <w:color w:val="FF0000"/>
          <w:strike w:val="1"/>
        </w:rPr>
        <w:t>provided</w:t>
      </w:r>
      <w:r>
        <w:rPr>
          <w:rFonts w:ascii="Arial" w:cs="Arial" w:eastAsia="Arial" w:hAnsi="Arial"/>
          <w:sz w:val="21"/>
          <w:szCs w:val="21"/>
          <w:color w:val="FF0000"/>
        </w:rPr>
        <w:t xml:space="preserve"> </w:t>
      </w:r>
      <w:r>
        <w:rPr>
          <w:rFonts w:ascii="Arial" w:cs="Arial" w:eastAsia="Arial" w:hAnsi="Arial"/>
          <w:sz w:val="21"/>
          <w:szCs w:val="21"/>
          <w:color w:val="FF0000"/>
          <w:strike w:val="1"/>
        </w:rPr>
        <w:t>that</w:t>
      </w:r>
      <w:r>
        <w:rPr>
          <w:rFonts w:ascii="Arial" w:cs="Arial" w:eastAsia="Arial" w:hAnsi="Arial"/>
          <w:sz w:val="21"/>
          <w:szCs w:val="21"/>
          <w:color w:val="FF0000"/>
        </w:rPr>
        <w:t xml:space="preserve"> </w:t>
      </w:r>
      <w:r>
        <w:rPr>
          <w:rFonts w:ascii="Arial" w:cs="Arial" w:eastAsia="Arial" w:hAnsi="Arial"/>
          <w:sz w:val="21"/>
          <w:szCs w:val="21"/>
          <w:color w:val="FF0000"/>
          <w:strike w:val="1"/>
        </w:rPr>
        <w:t xml:space="preserve">no Benchmark Transition Event shall have occurred at such time </w:t>
      </w:r>
      <w:r>
        <w:rPr>
          <w:rFonts w:ascii="Arial" w:cs="Arial" w:eastAsia="Arial" w:hAnsi="Arial"/>
          <w:sz w:val="21"/>
          <w:szCs w:val="21"/>
          <w:u w:val="single" w:color="auto"/>
          <w:color w:val="0000FF"/>
          <w:highlight w:val="lightGray"/>
          <w:strike w:val="1"/>
        </w:rPr>
        <w:t>or (B) at any time, that adequate and reasonable means</w:t>
      </w:r>
      <w:r>
        <w:rPr>
          <w:rFonts w:ascii="Arial" w:cs="Arial" w:eastAsia="Arial" w:hAnsi="Arial"/>
          <w:sz w:val="21"/>
          <w:szCs w:val="21"/>
          <w:color w:val="FF0000"/>
          <w:strike w:val="1"/>
        </w:rPr>
        <w:t xml:space="preserve"> </w:t>
      </w:r>
      <w:r>
        <w:rPr>
          <w:rFonts w:ascii="Arial" w:cs="Arial" w:eastAsia="Arial" w:hAnsi="Arial"/>
          <w:sz w:val="21"/>
          <w:szCs w:val="21"/>
          <w:u w:val="single" w:color="auto"/>
          <w:color w:val="0000FF"/>
          <w:highlight w:val="lightGray"/>
          <w:strike w:val="1"/>
        </w:rPr>
        <w:t>do not exist for ascertaining the applicable Adjusted Daily Simple SOFR</w:t>
      </w:r>
      <w:r>
        <w:rPr>
          <w:rFonts w:ascii="Arial" w:cs="Arial" w:eastAsia="Arial" w:hAnsi="Arial"/>
          <w:sz w:val="21"/>
          <w:szCs w:val="21"/>
          <w:color w:val="000000"/>
          <w:strike w:val="1"/>
        </w:rPr>
        <w:t>; or</w:t>
      </w:r>
    </w:p>
    <w:p>
      <w:pPr>
        <w:spacing w:after="0" w:line="158" w:lineRule="exact"/>
        <w:rPr>
          <w:sz w:val="20"/>
          <w:szCs w:val="20"/>
          <w:color w:val="auto"/>
        </w:rPr>
      </w:pPr>
    </w:p>
    <w:p>
      <w:pPr>
        <w:jc w:val="both"/>
        <w:ind w:left="660" w:firstLine="644"/>
        <w:spacing w:after="0" w:line="224" w:lineRule="auto"/>
        <w:tabs>
          <w:tab w:leader="none" w:pos="1872" w:val="left"/>
        </w:tabs>
        <w:numPr>
          <w:ilvl w:val="0"/>
          <w:numId w:val="96"/>
        </w:numPr>
        <w:rPr>
          <w:rFonts w:ascii="Arial" w:cs="Arial" w:eastAsia="Arial" w:hAnsi="Arial"/>
          <w:sz w:val="21"/>
          <w:szCs w:val="21"/>
          <w:color w:val="auto"/>
        </w:rPr>
      </w:pPr>
      <w:r>
        <w:rPr>
          <w:rFonts w:ascii="Arial" w:cs="Arial" w:eastAsia="Arial" w:hAnsi="Arial"/>
          <w:sz w:val="21"/>
          <w:szCs w:val="21"/>
          <w:color w:val="auto"/>
        </w:rPr>
        <w:t xml:space="preserve">the Administrative Agent is advised by the Required Lenders that </w:t>
      </w:r>
      <w:r>
        <w:rPr>
          <w:rFonts w:ascii="Arial" w:cs="Arial" w:eastAsia="Arial" w:hAnsi="Arial"/>
          <w:sz w:val="21"/>
          <w:szCs w:val="21"/>
          <w:u w:val="single" w:color="auto"/>
          <w:color w:val="0000FF"/>
          <w:highlight w:val="lightGray"/>
        </w:rPr>
        <w:t>(A) prior to the commencement of any</w:t>
      </w:r>
      <w:r>
        <w:rPr>
          <w:rFonts w:ascii="Arial" w:cs="Arial" w:eastAsia="Arial" w:hAnsi="Arial"/>
          <w:sz w:val="21"/>
          <w:szCs w:val="21"/>
          <w:color w:val="auto"/>
        </w:rPr>
        <w:t xml:space="preserve"> </w:t>
      </w:r>
      <w:r>
        <w:rPr>
          <w:rFonts w:ascii="Arial" w:cs="Arial" w:eastAsia="Arial" w:hAnsi="Arial"/>
          <w:sz w:val="21"/>
          <w:szCs w:val="21"/>
          <w:u w:val="single" w:color="auto"/>
          <w:color w:val="0000FF"/>
          <w:highlight w:val="lightGray"/>
        </w:rPr>
        <w:t>Interest Period for a Term Benchmark Borrowing,</w:t>
      </w:r>
      <w:r>
        <w:rPr>
          <w:rFonts w:ascii="Arial" w:cs="Arial" w:eastAsia="Arial" w:hAnsi="Arial"/>
          <w:sz w:val="21"/>
          <w:szCs w:val="21"/>
          <w:color w:val="0000FF"/>
          <w:highlight w:val="lightGray"/>
        </w:rPr>
        <w:t xml:space="preserve"> </w:t>
      </w:r>
      <w:r>
        <w:rPr>
          <w:rFonts w:ascii="Arial" w:cs="Arial" w:eastAsia="Arial" w:hAnsi="Arial"/>
          <w:sz w:val="21"/>
          <w:szCs w:val="21"/>
          <w:color w:val="000000"/>
        </w:rPr>
        <w:t>the Adjusted</w:t>
      </w:r>
      <w:r>
        <w:rPr>
          <w:rFonts w:ascii="Arial" w:cs="Arial" w:eastAsia="Arial" w:hAnsi="Arial"/>
          <w:sz w:val="21"/>
          <w:szCs w:val="21"/>
          <w:color w:val="0000FF"/>
          <w:highlight w:val="lightGray"/>
        </w:rPr>
        <w:t xml:space="preserve"> </w:t>
      </w:r>
      <w:r>
        <w:rPr>
          <w:rFonts w:ascii="Arial" w:cs="Arial" w:eastAsia="Arial" w:hAnsi="Arial"/>
          <w:sz w:val="21"/>
          <w:szCs w:val="21"/>
          <w:color w:val="FF0000"/>
          <w:strike w:val="1"/>
        </w:rPr>
        <w:t>LIBO</w:t>
      </w:r>
      <w:r>
        <w:rPr>
          <w:rFonts w:ascii="Arial" w:cs="Arial" w:eastAsia="Arial" w:hAnsi="Arial"/>
          <w:sz w:val="21"/>
          <w:szCs w:val="21"/>
          <w:u w:val="single" w:color="auto"/>
          <w:color w:val="0000FF"/>
          <w:highlight w:val="lightGray"/>
        </w:rPr>
        <w:t>Term SOFR</w:t>
      </w:r>
      <w:r>
        <w:rPr>
          <w:rFonts w:ascii="Arial" w:cs="Arial" w:eastAsia="Arial" w:hAnsi="Arial"/>
          <w:sz w:val="21"/>
          <w:szCs w:val="21"/>
          <w:color w:val="0000FF"/>
          <w:highlight w:val="lightGray"/>
        </w:rPr>
        <w:t xml:space="preserve"> </w:t>
      </w:r>
      <w:r>
        <w:rPr>
          <w:rFonts w:ascii="Arial" w:cs="Arial" w:eastAsia="Arial" w:hAnsi="Arial"/>
          <w:sz w:val="21"/>
          <w:szCs w:val="21"/>
          <w:color w:val="000000"/>
        </w:rPr>
        <w:t>Rate</w:t>
      </w:r>
      <w:r>
        <w:rPr>
          <w:rFonts w:ascii="Arial" w:cs="Arial" w:eastAsia="Arial" w:hAnsi="Arial"/>
          <w:sz w:val="21"/>
          <w:szCs w:val="21"/>
          <w:color w:val="0000FF"/>
          <w:highlight w:val="lightGray"/>
        </w:rPr>
        <w:t xml:space="preserve"> </w:t>
      </w:r>
      <w:r>
        <w:rPr>
          <w:rFonts w:ascii="Arial" w:cs="Arial" w:eastAsia="Arial" w:hAnsi="Arial"/>
          <w:sz w:val="21"/>
          <w:szCs w:val="21"/>
          <w:color w:val="FF0000"/>
          <w:strike w:val="1"/>
        </w:rPr>
        <w:t>or the LIBO Rate, as applicable,</w:t>
      </w:r>
      <w:r>
        <w:rPr>
          <w:rFonts w:ascii="Arial" w:cs="Arial" w:eastAsia="Arial" w:hAnsi="Arial"/>
          <w:sz w:val="21"/>
          <w:szCs w:val="21"/>
          <w:color w:val="0000FF"/>
          <w:highlight w:val="lightGray"/>
        </w:rPr>
        <w:t xml:space="preserve"> </w:t>
      </w:r>
      <w:r>
        <w:rPr>
          <w:rFonts w:ascii="Arial" w:cs="Arial" w:eastAsia="Arial" w:hAnsi="Arial"/>
          <w:sz w:val="21"/>
          <w:szCs w:val="21"/>
          <w:color w:val="000000"/>
        </w:rPr>
        <w:t xml:space="preserve">for such Interest Period will not adequately and fairly reflect the cost to such Lenders (or Lender) of making or maintaining their Loans (or its Loan) included in such Borrowing for such Interest Period </w:t>
      </w:r>
      <w:r>
        <w:rPr>
          <w:rFonts w:ascii="Arial" w:cs="Arial" w:eastAsia="Arial" w:hAnsi="Arial"/>
          <w:sz w:val="21"/>
          <w:szCs w:val="21"/>
          <w:color w:val="0000FF"/>
        </w:rPr>
        <w:t>or (B) at any time, Adjusted</w:t>
      </w:r>
      <w:r>
        <w:rPr>
          <w:rFonts w:ascii="Arial" w:cs="Arial" w:eastAsia="Arial" w:hAnsi="Arial"/>
          <w:sz w:val="21"/>
          <w:szCs w:val="21"/>
          <w:color w:val="000000"/>
        </w:rPr>
        <w:t xml:space="preserve"> </w:t>
      </w:r>
      <w:r>
        <w:rPr>
          <w:rFonts w:ascii="Arial" w:cs="Arial" w:eastAsia="Arial" w:hAnsi="Arial"/>
          <w:sz w:val="21"/>
          <w:szCs w:val="21"/>
          <w:u w:val="single" w:color="auto"/>
          <w:color w:val="0000FF"/>
          <w:highlight w:val="lightGray"/>
        </w:rPr>
        <w:t>Daily Simple SOFR will not adequately and fairly reflect the cost to such Lenders (or Lender) of making or maintaining their Loans (or its Loan) included in such Borrowing</w:t>
      </w:r>
      <w:r>
        <w:rPr>
          <w:rFonts w:ascii="Arial" w:cs="Arial" w:eastAsia="Arial" w:hAnsi="Arial"/>
          <w:sz w:val="21"/>
          <w:szCs w:val="2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-433070</wp:posOffset>
            </wp:positionV>
            <wp:extent cx="16459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1645920" cy="146050"/>
                    </a:xfrm>
                    <a:prstGeom prst="rect">
                      <a:avLst/>
                    </a:prstGeom>
                    <a:noFill/>
                  </pic:spPr>
                </pic:pic>
              </a:graphicData>
            </a:graphic>
          </wp:anchor>
        </w:drawing>
      </w:r>
    </w:p>
    <w:p>
      <w:pPr>
        <w:spacing w:after="0" w:line="140"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 xml:space="preserve">then the Administrative Agent shall give notice thereof to the Borrowers and the Lenders in writing (by telecopy or facsimile or other electronic transmission) as promptly as practicable thereafter and, until </w:t>
      </w:r>
      <w:r>
        <w:rPr>
          <w:rFonts w:ascii="Arial" w:cs="Arial" w:eastAsia="Arial" w:hAnsi="Arial"/>
          <w:sz w:val="19"/>
          <w:szCs w:val="19"/>
          <w:u w:val="single" w:color="auto"/>
          <w:color w:val="0000FF"/>
          <w:highlight w:val="lightGray"/>
        </w:rPr>
        <w:t>(x)</w:t>
      </w:r>
      <w:r>
        <w:rPr>
          <w:rFonts w:ascii="Arial" w:cs="Arial" w:eastAsia="Arial" w:hAnsi="Arial"/>
          <w:sz w:val="19"/>
          <w:szCs w:val="19"/>
          <w:color w:val="auto"/>
        </w:rPr>
        <w:t xml:space="preserve"> the Administrative Agent notifies the Borrowers and the Lenders that the circumstances giving rise to such notice no longer exist</w:t>
      </w:r>
      <w:r>
        <w:rPr>
          <w:rFonts w:ascii="Arial" w:cs="Arial" w:eastAsia="Arial" w:hAnsi="Arial"/>
          <w:sz w:val="19"/>
          <w:szCs w:val="19"/>
          <w:color w:val="FF0000"/>
          <w:strike w:val="1"/>
        </w:rPr>
        <w:t>, (x)</w:t>
      </w:r>
      <w:r>
        <w:rPr>
          <w:rFonts w:ascii="Arial" w:cs="Arial" w:eastAsia="Arial" w:hAnsi="Arial"/>
          <w:sz w:val="19"/>
          <w:szCs w:val="19"/>
          <w:color w:val="auto"/>
        </w:rPr>
        <w:t xml:space="preserve"> </w:t>
      </w:r>
      <w:r>
        <w:rPr>
          <w:rFonts w:ascii="Arial" w:cs="Arial" w:eastAsia="Arial" w:hAnsi="Arial"/>
          <w:sz w:val="19"/>
          <w:szCs w:val="19"/>
          <w:u w:val="single" w:color="auto"/>
          <w:color w:val="0000FF"/>
          <w:highlight w:val="lightGray"/>
        </w:rPr>
        <w:t>with respect to the relevant Benchmark and</w:t>
      </w:r>
    </w:p>
    <w:p>
      <w:pPr>
        <w:spacing w:after="0" w:line="2" w:lineRule="exact"/>
        <w:rPr>
          <w:sz w:val="20"/>
          <w:szCs w:val="20"/>
          <w:color w:val="auto"/>
        </w:rPr>
      </w:pPr>
    </w:p>
    <w:p>
      <w:pPr>
        <w:jc w:val="both"/>
        <w:ind w:firstLine="8"/>
        <w:spacing w:after="0"/>
        <w:tabs>
          <w:tab w:leader="none" w:pos="339" w:val="left"/>
        </w:tabs>
        <w:numPr>
          <w:ilvl w:val="0"/>
          <w:numId w:val="97"/>
        </w:numPr>
        <w:rPr>
          <w:rFonts w:ascii="Arial" w:cs="Arial" w:eastAsia="Arial" w:hAnsi="Arial"/>
          <w:sz w:val="19"/>
          <w:szCs w:val="19"/>
          <w:u w:val="single" w:color="auto"/>
          <w:color w:val="0000FF"/>
          <w:highlight w:val="lightGray"/>
        </w:rPr>
      </w:pPr>
      <w:r>
        <w:rPr>
          <w:rFonts w:ascii="Arial" w:cs="Arial" w:eastAsia="Arial" w:hAnsi="Arial"/>
          <w:sz w:val="19"/>
          <w:szCs w:val="19"/>
          <w:u w:val="single" w:color="auto"/>
          <w:color w:val="0000FF"/>
          <w:highlight w:val="lightGray"/>
        </w:rPr>
        <w:t>the Borrowers deliver a new Interest Election Request in accordance with the terms of Section 2.7 or a new Borrowing Request in accordance with the terms of Section 2.5,</w:t>
      </w:r>
      <w:r>
        <w:rPr>
          <w:rFonts w:ascii="Arial" w:cs="Arial" w:eastAsia="Arial" w:hAnsi="Arial"/>
          <w:sz w:val="19"/>
          <w:szCs w:val="19"/>
          <w:color w:val="0000FF"/>
          <w:highlight w:val="lightGray"/>
        </w:rPr>
        <w:t xml:space="preserve"> </w:t>
      </w:r>
      <w:r>
        <w:rPr>
          <w:rFonts w:ascii="Arial" w:cs="Arial" w:eastAsia="Arial" w:hAnsi="Arial"/>
          <w:sz w:val="19"/>
          <w:szCs w:val="19"/>
          <w:color w:val="000000"/>
        </w:rPr>
        <w:t>any Interest Election Request that requests the conversion of any Borrowing</w:t>
      </w:r>
      <w:r>
        <w:rPr>
          <w:rFonts w:ascii="Arial" w:cs="Arial" w:eastAsia="Arial" w:hAnsi="Arial"/>
          <w:sz w:val="19"/>
          <w:szCs w:val="19"/>
          <w:color w:val="0000FF"/>
          <w:highlight w:val="lightGray"/>
        </w:rPr>
        <w:t xml:space="preserve"> </w:t>
      </w:r>
      <w:r>
        <w:rPr>
          <w:rFonts w:ascii="Arial" w:cs="Arial" w:eastAsia="Arial" w:hAnsi="Arial"/>
          <w:sz w:val="19"/>
          <w:szCs w:val="19"/>
          <w:color w:val="000000"/>
        </w:rPr>
        <w:t xml:space="preserve">to, or continuation of any Borrowing as, a </w:t>
      </w:r>
      <w:r>
        <w:rPr>
          <w:rFonts w:ascii="Arial" w:cs="Arial" w:eastAsia="Arial" w:hAnsi="Arial"/>
          <w:sz w:val="19"/>
          <w:szCs w:val="19"/>
          <w:color w:val="FF0000"/>
          <w:strike w:val="1"/>
        </w:rPr>
        <w:t>Eurodollar Borrowing shall be ineffective and such Borrowing shall be continued as an</w:t>
      </w:r>
      <w:r>
        <w:rPr>
          <w:rFonts w:ascii="Arial" w:cs="Arial" w:eastAsia="Arial" w:hAnsi="Arial"/>
          <w:sz w:val="19"/>
          <w:szCs w:val="19"/>
          <w:color w:val="000000"/>
        </w:rPr>
        <w:t xml:space="preserve"> </w:t>
      </w:r>
      <w:r>
        <w:rPr>
          <w:rFonts w:ascii="Arial" w:cs="Arial" w:eastAsia="Arial" w:hAnsi="Arial"/>
          <w:sz w:val="19"/>
          <w:szCs w:val="19"/>
          <w:color w:val="FF0000"/>
          <w:strike w:val="1"/>
        </w:rPr>
        <w:t>ABR Borrowing, and (y) if any Borrowing Request requests a Eurodollar Borrowing, such Borrowing shall be made as an ABR Borrowing.</w:t>
      </w:r>
      <w:r>
        <w:rPr>
          <w:rFonts w:ascii="Arial" w:cs="Arial" w:eastAsia="Arial" w:hAnsi="Arial"/>
          <w:sz w:val="19"/>
          <w:szCs w:val="19"/>
          <w:u w:val="single" w:color="auto"/>
          <w:color w:val="0000FF"/>
          <w:highlight w:val="lightGray"/>
          <w:strike w:val="1"/>
        </w:rPr>
        <w:t>Term Benchmark Borrowing and any Borrowing Request that requests a Term Benchmark Borrowing shall instead be</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highlight w:val="lightGray"/>
          <w:strike w:val="1"/>
        </w:rPr>
        <w:t xml:space="preserve">deemed to be an Interest Election Request or a Borrowing Request, as applicable for (x) an Adjusted Daily Simple SOFR Borrowing so long as the Adjusted Daily Simple SOFR is not also the subject of Section 2.13(a)(i) or (ii) above or (y) an ABR Borrowing if the Adjusted Daily Simple SOFR also is the subject of subject of Section 2.13(a)(i) or (ii) above; provided that if the circumstances giving rise to such notice affect only one Type of Borrowings, then all other Types of Borrowings shall be permitted. Furthermore, if any Term Benchmark Loan is outstanding on the date of the Borrowers’ receipt of the notice from the Administrative Agent referred to in this Section 2.13(a) with respect to a Relevant Rate applicable to such Term Benchmark Loan, then until (x) the Administrative Agent notifies the Borrowers and the Lenders that the circumstances giving rise to such notice no longer exist with respect to the relevant Benchmark and (y) the Borrowers deliver a new Interest Election Request in accordance with the terms of Section 2.7 or a new Borrowing Request in accordance with the terms of Section 2.5, any Term Benchmark Loan shall on </w:t>
      </w:r>
      <w:r>
        <w:rPr>
          <w:rFonts w:ascii="Arial" w:cs="Arial" w:eastAsia="Arial" w:hAnsi="Arial"/>
          <w:sz w:val="19"/>
          <w:szCs w:val="19"/>
          <w:u w:val="single" w:color="auto"/>
          <w:color w:val="008000"/>
          <w:strike w:val="1"/>
        </w:rPr>
        <w:t>the last day of the</w:t>
      </w:r>
      <w:r>
        <w:rPr>
          <w:rFonts w:ascii="Arial" w:cs="Arial" w:eastAsia="Arial" w:hAnsi="Arial"/>
          <w:sz w:val="19"/>
          <w:szCs w:val="19"/>
          <w:u w:val="single" w:color="auto"/>
          <w:color w:val="0000FF"/>
          <w:highlight w:val="lightGray"/>
          <w:strike w:val="1"/>
        </w:rPr>
        <w:t xml:space="preserve"> Interest Period applicable to such Loan, be converted by the Administrative Agent to, and shall constitute, (x) an Adjusted Daily Simple SOFR Borrowing so long as the Adjusted Daily Simple SOFR is not also the subject of Section 2.13(a)(i) or (ii) above or (y) an ABR Loan if the Adjusted Daily Simple SOFR also is the subject of Section 2.13(a)(i) or (ii) above, on such day.</w:t>
      </w:r>
    </w:p>
    <w:p>
      <w:pPr>
        <w:spacing w:after="0" w:line="371" w:lineRule="exact"/>
        <w:rPr>
          <w:rFonts w:ascii="Arial" w:cs="Arial" w:eastAsia="Arial" w:hAnsi="Arial"/>
          <w:sz w:val="19"/>
          <w:szCs w:val="19"/>
          <w:u w:val="single" w:color="auto"/>
          <w:color w:val="0000FF"/>
          <w:highlight w:val="lightGray"/>
        </w:rPr>
      </w:pPr>
    </w:p>
    <w:p>
      <w:pPr>
        <w:jc w:val="both"/>
        <w:ind w:left="80" w:firstLine="1305"/>
        <w:spacing w:after="0" w:line="222" w:lineRule="auto"/>
        <w:tabs>
          <w:tab w:leader="none" w:pos="1869" w:val="left"/>
        </w:tabs>
        <w:numPr>
          <w:ilvl w:val="1"/>
          <w:numId w:val="97"/>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herein or in any other Loan Document (and any Swap Agreement shall be deemed not to be a “Loan Document” for purposes of this </w:t>
      </w:r>
      <w:r>
        <w:rPr>
          <w:rFonts w:ascii="Arial" w:cs="Arial" w:eastAsia="Arial" w:hAnsi="Arial"/>
          <w:sz w:val="21"/>
          <w:szCs w:val="21"/>
          <w:u w:val="single" w:color="auto"/>
          <w:color w:val="auto"/>
        </w:rPr>
        <w:t>Section 2.13</w:t>
      </w:r>
      <w:r>
        <w:rPr>
          <w:rFonts w:ascii="Arial" w:cs="Arial" w:eastAsia="Arial" w:hAnsi="Arial"/>
          <w:sz w:val="21"/>
          <w:szCs w:val="21"/>
          <w:color w:val="auto"/>
        </w:rPr>
        <w:t>), if a Benchmark Transition Event</w:t>
      </w:r>
      <w:r>
        <w:rPr>
          <w:rFonts w:ascii="Arial" w:cs="Arial" w:eastAsia="Arial" w:hAnsi="Arial"/>
          <w:sz w:val="21"/>
          <w:szCs w:val="21"/>
          <w:color w:val="FF0000"/>
          <w:strike w:val="1"/>
        </w:rPr>
        <w:t>, an Early Opt-in Election or an Other Benchmark Rate Election, as applicable,</w:t>
      </w:r>
      <w:r>
        <w:rPr>
          <w:rFonts w:ascii="Arial" w:cs="Arial" w:eastAsia="Arial" w:hAnsi="Arial"/>
          <w:sz w:val="21"/>
          <w:szCs w:val="21"/>
          <w:color w:val="FF0000"/>
        </w:rPr>
        <w:t xml:space="preserve"> </w:t>
      </w:r>
      <w:r>
        <w:rPr>
          <w:rFonts w:ascii="Arial" w:cs="Arial" w:eastAsia="Arial" w:hAnsi="Arial"/>
          <w:sz w:val="21"/>
          <w:szCs w:val="21"/>
          <w:color w:val="000000"/>
        </w:rPr>
        <w:t>and its related Benchmark Replacement Date have occurred</w:t>
      </w:r>
      <w:r>
        <w:rPr>
          <w:rFonts w:ascii="Arial" w:cs="Arial" w:eastAsia="Arial" w:hAnsi="Arial"/>
          <w:sz w:val="21"/>
          <w:szCs w:val="21"/>
          <w:color w:val="FF0000"/>
        </w:rPr>
        <w:t xml:space="preserve"> </w:t>
      </w:r>
      <w:r>
        <w:rPr>
          <w:rFonts w:ascii="Arial" w:cs="Arial" w:eastAsia="Arial" w:hAnsi="Arial"/>
          <w:sz w:val="21"/>
          <w:szCs w:val="21"/>
          <w:color w:val="000000"/>
        </w:rPr>
        <w:t xml:space="preserve">prior to the Reference Time in respect of any setting of the then-current Benchmark, then (x) if a Benchmark Replacement is determined in accordance with </w:t>
      </w:r>
      <w:r>
        <w:rPr>
          <w:rFonts w:ascii="Arial" w:cs="Arial" w:eastAsia="Arial" w:hAnsi="Arial"/>
          <w:sz w:val="21"/>
          <w:szCs w:val="21"/>
          <w:u w:val="single" w:color="auto"/>
          <w:color w:val="000000"/>
        </w:rPr>
        <w:t>clause (1</w:t>
      </w:r>
      <w:r>
        <w:rPr>
          <w:rFonts w:ascii="Arial" w:cs="Arial" w:eastAsia="Arial" w:hAnsi="Arial"/>
          <w:sz w:val="21"/>
          <w:szCs w:val="21"/>
          <w:u w:val="single" w:color="auto"/>
          <w:color w:val="FF0000"/>
          <w:strike w:val="1"/>
        </w:rPr>
        <w:t>)</w:t>
      </w:r>
      <w:r>
        <w:rPr>
          <w:rFonts w:ascii="Arial" w:cs="Arial" w:eastAsia="Arial" w:hAnsi="Arial"/>
          <w:sz w:val="21"/>
          <w:szCs w:val="21"/>
          <w:color w:val="000000"/>
        </w:rPr>
        <w:t xml:space="preserve"> </w:t>
      </w:r>
      <w:r>
        <w:rPr>
          <w:rFonts w:ascii="Arial" w:cs="Arial" w:eastAsia="Arial" w:hAnsi="Arial"/>
          <w:sz w:val="21"/>
          <w:szCs w:val="21"/>
          <w:color w:val="FF0000"/>
          <w:strike w:val="1"/>
        </w:rPr>
        <w:t>or</w:t>
      </w:r>
      <w:r>
        <w:rPr>
          <w:rFonts w:ascii="Arial" w:cs="Arial" w:eastAsia="Arial" w:hAnsi="Arial"/>
          <w:sz w:val="21"/>
          <w:szCs w:val="21"/>
          <w:color w:val="000000"/>
        </w:rPr>
        <w:t xml:space="preserve"> </w:t>
      </w:r>
      <w:r>
        <w:rPr>
          <w:rFonts w:ascii="Arial" w:cs="Arial" w:eastAsia="Arial" w:hAnsi="Arial"/>
          <w:sz w:val="21"/>
          <w:szCs w:val="21"/>
          <w:u w:val="single" w:color="auto"/>
          <w:color w:val="FF0000"/>
          <w:strike w:val="1"/>
        </w:rPr>
        <w:t>(2</w:t>
      </w:r>
      <w:r>
        <w:rPr>
          <w:rFonts w:ascii="Arial" w:cs="Arial" w:eastAsia="Arial" w:hAnsi="Arial"/>
          <w:sz w:val="21"/>
          <w:szCs w:val="21"/>
          <w:u w:val="single" w:color="auto"/>
          <w:color w:val="000000"/>
        </w:rPr>
        <w:t>)</w:t>
      </w:r>
      <w:r>
        <w:rPr>
          <w:rFonts w:ascii="Arial" w:cs="Arial" w:eastAsia="Arial" w:hAnsi="Arial"/>
          <w:sz w:val="21"/>
          <w:szCs w:val="21"/>
          <w:color w:val="000000"/>
        </w:rPr>
        <w:t xml:space="preserve"> of the definition of “Benchmark Replacement” for such Benchmark Replacement Date, such Benchmark Replacement will replace such Benchmark for all purposes hereunder and under any Loan Document in respect of such Benchmark setting and subsequent</w:t>
      </w:r>
    </w:p>
    <w:p>
      <w:pPr>
        <w:sectPr>
          <w:pgSz w:w="11900" w:h="16838" w:orient="portrait"/>
          <w:cols w:equalWidth="0" w:num="1">
            <w:col w:w="11240"/>
          </w:cols>
          <w:pgMar w:left="320" w:top="1401" w:right="339" w:bottom="1440" w:gutter="0" w:footer="0" w:header="0"/>
        </w:sectPr>
      </w:pPr>
    </w:p>
    <w:bookmarkStart w:id="114" w:name="page115"/>
    <w:bookmarkEnd w:id="114"/>
    <w:p>
      <w:pPr>
        <w:jc w:val="both"/>
        <w:spacing w:after="0" w:line="221" w:lineRule="auto"/>
        <w:rPr>
          <w:sz w:val="20"/>
          <w:szCs w:val="20"/>
          <w:color w:val="auto"/>
        </w:rPr>
      </w:pPr>
      <w:r>
        <w:rPr>
          <w:rFonts w:ascii="Arial" w:cs="Arial" w:eastAsia="Arial" w:hAnsi="Arial"/>
          <w:sz w:val="21"/>
          <w:szCs w:val="21"/>
          <w:color w:val="auto"/>
        </w:rPr>
        <w:t xml:space="preserve">Benchmark settings without any amendment to, or further action or consent of any other party to, this Agreement or any other Loan Document and (y) if a Benchmark Replacement is determined in accordance with </w:t>
      </w:r>
      <w:r>
        <w:rPr>
          <w:rFonts w:ascii="Arial" w:cs="Arial" w:eastAsia="Arial" w:hAnsi="Arial"/>
          <w:sz w:val="21"/>
          <w:szCs w:val="21"/>
          <w:u w:val="single" w:color="auto"/>
          <w:color w:val="auto"/>
        </w:rPr>
        <w:t>clause (</w:t>
      </w:r>
      <w:r>
        <w:rPr>
          <w:rFonts w:ascii="Arial" w:cs="Arial" w:eastAsia="Arial" w:hAnsi="Arial"/>
          <w:sz w:val="21"/>
          <w:szCs w:val="21"/>
          <w:color w:val="auto"/>
        </w:rPr>
        <w:t xml:space="preserve"> </w:t>
      </w:r>
      <w:r>
        <w:rPr>
          <w:rFonts w:ascii="Arial" w:cs="Arial" w:eastAsia="Arial" w:hAnsi="Arial"/>
          <w:sz w:val="21"/>
          <w:szCs w:val="21"/>
          <w:u w:val="single" w:color="auto"/>
          <w:color w:val="FF0000"/>
          <w:strike w:val="1"/>
        </w:rPr>
        <w:t>3</w:t>
      </w:r>
      <w:r>
        <w:rPr>
          <w:rFonts w:ascii="Arial" w:cs="Arial" w:eastAsia="Arial" w:hAnsi="Arial"/>
          <w:sz w:val="21"/>
          <w:szCs w:val="21"/>
          <w:u w:val="single" w:color="auto"/>
          <w:color w:val="0000FF"/>
          <w:highlight w:val="lightGray"/>
        </w:rPr>
        <w:t>2</w:t>
      </w:r>
      <w:r>
        <w:rPr>
          <w:rFonts w:ascii="Arial" w:cs="Arial" w:eastAsia="Arial" w:hAnsi="Arial"/>
          <w:sz w:val="21"/>
          <w:szCs w:val="21"/>
          <w:u w:val="single" w:color="auto"/>
          <w:color w:val="auto"/>
        </w:rPr>
        <w:t>)</w:t>
      </w:r>
      <w:r>
        <w:rPr>
          <w:rFonts w:ascii="Arial" w:cs="Arial" w:eastAsia="Arial" w:hAnsi="Arial"/>
          <w:sz w:val="21"/>
          <w:szCs w:val="21"/>
          <w:color w:val="auto"/>
        </w:rPr>
        <w:t xml:space="preserve"> of the definition of “Benchmark Replacement” for such Benchmark Replacement Date, such Benchmark Replacement will replace such Benchmark for all purposes hereunder and under any Loan Document in respect of any Benchmark setting at or after 5:00 p.m. (New York City time) on the fifth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65" w:lineRule="exact"/>
        <w:rPr>
          <w:sz w:val="20"/>
          <w:szCs w:val="20"/>
          <w:color w:val="auto"/>
        </w:rPr>
      </w:pPr>
    </w:p>
    <w:p>
      <w:pPr>
        <w:jc w:val="both"/>
        <w:ind w:firstLine="1305"/>
        <w:spacing w:after="0" w:line="221" w:lineRule="auto"/>
        <w:tabs>
          <w:tab w:leader="none" w:pos="1791" w:val="left"/>
        </w:tabs>
        <w:numPr>
          <w:ilvl w:val="0"/>
          <w:numId w:val="98"/>
        </w:numPr>
        <w:rPr>
          <w:rFonts w:ascii="Arial" w:cs="Arial" w:eastAsia="Arial" w:hAnsi="Arial"/>
          <w:sz w:val="21"/>
          <w:szCs w:val="21"/>
          <w:color w:val="FF0000"/>
          <w:strike w:val="1"/>
        </w:rPr>
      </w:pPr>
      <w:r>
        <w:rPr>
          <w:rFonts w:ascii="Arial" w:cs="Arial" w:eastAsia="Arial" w:hAnsi="Arial"/>
          <w:sz w:val="21"/>
          <w:szCs w:val="21"/>
          <w:color w:val="008000"/>
          <w:strike w:val="1"/>
        </w:rPr>
        <w:t xml:space="preserve">Notwithstanding anything to the contrary herein or in any other Loan Document </w:t>
      </w:r>
      <w:r>
        <w:rPr>
          <w:rFonts w:ascii="Arial" w:cs="Arial" w:eastAsia="Arial" w:hAnsi="Arial"/>
          <w:sz w:val="21"/>
          <w:szCs w:val="21"/>
          <w:color w:val="FF0000"/>
          <w:strike w:val="1"/>
        </w:rPr>
        <w:t>and subject to the proviso</w:t>
      </w:r>
      <w:r>
        <w:rPr>
          <w:rFonts w:ascii="Arial" w:cs="Arial" w:eastAsia="Arial" w:hAnsi="Arial"/>
          <w:sz w:val="21"/>
          <w:szCs w:val="21"/>
          <w:color w:val="008000"/>
          <w:strike w:val="1"/>
        </w:rPr>
        <w:t xml:space="preserve"> </w:t>
      </w:r>
      <w:r>
        <w:rPr>
          <w:rFonts w:ascii="Arial" w:cs="Arial" w:eastAsia="Arial" w:hAnsi="Arial"/>
          <w:sz w:val="21"/>
          <w:szCs w:val="21"/>
          <w:color w:val="FF0000"/>
          <w:strike w:val="1"/>
        </w:rPr>
        <w:t xml:space="preserve">below in this </w:t>
      </w:r>
      <w:r>
        <w:rPr>
          <w:rFonts w:ascii="Arial" w:cs="Arial" w:eastAsia="Arial" w:hAnsi="Arial"/>
          <w:sz w:val="21"/>
          <w:szCs w:val="21"/>
          <w:u w:val="single" w:color="auto"/>
          <w:color w:val="FF0000"/>
          <w:strike w:val="1"/>
        </w:rPr>
        <w:t>paragraph (c)</w:t>
      </w:r>
      <w:r>
        <w:rPr>
          <w:rFonts w:ascii="Arial" w:cs="Arial" w:eastAsia="Arial" w:hAnsi="Arial"/>
          <w:sz w:val="21"/>
          <w:szCs w:val="21"/>
          <w:color w:val="FF0000"/>
          <w:strike w:val="1"/>
        </w:rPr>
        <w:t xml:space="preserve">,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Arial" w:cs="Arial" w:eastAsia="Arial" w:hAnsi="Arial"/>
          <w:sz w:val="21"/>
          <w:szCs w:val="21"/>
          <w:u w:val="single" w:color="auto"/>
          <w:color w:val="FF0000"/>
          <w:strike w:val="1"/>
        </w:rPr>
        <w:t>provided</w:t>
      </w:r>
      <w:r>
        <w:rPr>
          <w:rFonts w:ascii="Arial" w:cs="Arial" w:eastAsia="Arial" w:hAnsi="Arial"/>
          <w:sz w:val="21"/>
          <w:szCs w:val="21"/>
          <w:color w:val="FF0000"/>
          <w:strike w:val="1"/>
        </w:rPr>
        <w:t xml:space="preserve"> that, this </w:t>
      </w:r>
      <w:r>
        <w:rPr>
          <w:rFonts w:ascii="Arial" w:cs="Arial" w:eastAsia="Arial" w:hAnsi="Arial"/>
          <w:sz w:val="21"/>
          <w:szCs w:val="21"/>
          <w:u w:val="single" w:color="auto"/>
          <w:color w:val="FF0000"/>
          <w:strike w:val="1"/>
        </w:rPr>
        <w:t>clause (c)</w:t>
      </w:r>
      <w:r>
        <w:rPr>
          <w:rFonts w:ascii="Arial" w:cs="Arial" w:eastAsia="Arial" w:hAnsi="Arial"/>
          <w:sz w:val="21"/>
          <w:szCs w:val="21"/>
          <w:color w:val="FF0000"/>
          <w:strike w:val="1"/>
        </w:rPr>
        <w:t xml:space="preserve"> shall not be effective unless the Administrative Agent has delivered to the Lenders and the Borrowers a Term SOFR Notice</w:t>
      </w:r>
      <w:r>
        <w:rPr>
          <w:rFonts w:ascii="Arial" w:cs="Arial" w:eastAsia="Arial" w:hAnsi="Arial"/>
          <w:sz w:val="21"/>
          <w:szCs w:val="21"/>
          <w:color w:val="008000"/>
          <w:strike w:val="1"/>
        </w:rPr>
        <w:t>. For the avoidance of doubt, the</w:t>
      </w:r>
      <w:r>
        <w:rPr>
          <w:rFonts w:ascii="Arial" w:cs="Arial" w:eastAsia="Arial" w:hAnsi="Arial"/>
          <w:sz w:val="21"/>
          <w:szCs w:val="21"/>
          <w:color w:val="FF0000"/>
          <w:strike w:val="1"/>
        </w:rPr>
        <w:t xml:space="preserve"> Administrative Agent shall not be required to deliver a Term SOFR Notice after the occurrence of a Term SOFR Transition Event and may do so in its sole discretion.</w:t>
      </w:r>
    </w:p>
    <w:p>
      <w:pPr>
        <w:spacing w:after="0" w:line="15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color w:val="FF0000"/>
          <w:strike w:val="1"/>
        </w:rPr>
        <w:t>d</w:t>
      </w:r>
      <w:r>
        <w:rPr>
          <w:rFonts w:ascii="Arial" w:cs="Arial" w:eastAsia="Arial" w:hAnsi="Arial"/>
          <w:sz w:val="19"/>
          <w:szCs w:val="19"/>
          <w:u w:val="single" w:color="auto"/>
          <w:color w:val="0000FF"/>
          <w:highlight w:val="lightGray"/>
        </w:rPr>
        <w:t>c</w:t>
      </w:r>
      <w:r>
        <w:rPr>
          <w:rFonts w:ascii="Arial" w:cs="Arial" w:eastAsia="Arial" w:hAnsi="Arial"/>
          <w:sz w:val="19"/>
          <w:szCs w:val="19"/>
          <w:color w:val="auto"/>
        </w:rPr>
        <w:t xml:space="preserve"> ) </w:t>
      </w:r>
      <w:r>
        <w:rPr>
          <w:rFonts w:ascii="Arial" w:cs="Arial" w:eastAsia="Arial" w:hAnsi="Arial"/>
          <w:sz w:val="19"/>
          <w:szCs w:val="19"/>
          <w:color w:val="FF0000"/>
          <w:strike w:val="1"/>
        </w:rPr>
        <w:t>In connection with the implementation of a Benchmark Replacement</w:t>
      </w:r>
      <w:r>
        <w:rPr>
          <w:rFonts w:ascii="Arial" w:cs="Arial" w:eastAsia="Arial" w:hAnsi="Arial"/>
          <w:sz w:val="19"/>
          <w:szCs w:val="19"/>
          <w:u w:val="single" w:color="auto"/>
          <w:color w:val="008000"/>
        </w:rPr>
        <w:t>Notwithstanding anything to the</w:t>
      </w:r>
      <w:r>
        <w:rPr>
          <w:rFonts w:ascii="Arial" w:cs="Arial" w:eastAsia="Arial" w:hAnsi="Arial"/>
          <w:sz w:val="19"/>
          <w:szCs w:val="19"/>
          <w:color w:val="auto"/>
        </w:rPr>
        <w:t xml:space="preserve"> </w:t>
      </w:r>
      <w:r>
        <w:rPr>
          <w:rFonts w:ascii="Arial" w:cs="Arial" w:eastAsia="Arial" w:hAnsi="Arial"/>
          <w:sz w:val="19"/>
          <w:szCs w:val="19"/>
          <w:u w:val="single" w:color="auto"/>
          <w:color w:val="008000"/>
        </w:rPr>
        <w:t>contrary herein or in any other Loan Document</w:t>
      </w:r>
      <w:r>
        <w:rPr>
          <w:rFonts w:ascii="Arial" w:cs="Arial" w:eastAsia="Arial" w:hAnsi="Arial"/>
          <w:sz w:val="19"/>
          <w:szCs w:val="19"/>
          <w:color w:val="000000"/>
        </w:rPr>
        <w:t>, the Administrative Agent will have the right to make Benchmark Replacement</w:t>
      </w:r>
      <w:r>
        <w:rPr>
          <w:rFonts w:ascii="Arial" w:cs="Arial" w:eastAsia="Arial" w:hAnsi="Arial"/>
          <w:sz w:val="19"/>
          <w:szCs w:val="19"/>
          <w:color w:val="008000"/>
        </w:rPr>
        <w:t xml:space="preserve"> </w:t>
      </w:r>
      <w:r>
        <w:rPr>
          <w:rFonts w:ascii="Arial" w:cs="Arial" w:eastAsia="Arial" w:hAnsi="Arial"/>
          <w:sz w:val="19"/>
          <w:szCs w:val="19"/>
          <w:color w:val="000000"/>
        </w:rPr>
        <w:t>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4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color w:val="FF0000"/>
          <w:strike w:val="1"/>
        </w:rPr>
        <w:t>e</w:t>
      </w:r>
      <w:r>
        <w:rPr>
          <w:rFonts w:ascii="Arial" w:cs="Arial" w:eastAsia="Arial" w:hAnsi="Arial"/>
          <w:sz w:val="19"/>
          <w:szCs w:val="19"/>
          <w:u w:val="single" w:color="auto"/>
          <w:color w:val="0000FF"/>
          <w:highlight w:val="lightGray"/>
        </w:rPr>
        <w:t>d</w:t>
      </w:r>
      <w:r>
        <w:rPr>
          <w:rFonts w:ascii="Arial" w:cs="Arial" w:eastAsia="Arial" w:hAnsi="Arial"/>
          <w:sz w:val="19"/>
          <w:szCs w:val="19"/>
          <w:color w:val="auto"/>
        </w:rPr>
        <w:t>) The Administrative Agent will promptly notify the Borrowers and the Lenders of (i) any occurrence of a Benchmark Transition Event</w:t>
      </w:r>
      <w:r>
        <w:rPr>
          <w:rFonts w:ascii="Arial" w:cs="Arial" w:eastAsia="Arial" w:hAnsi="Arial"/>
          <w:sz w:val="19"/>
          <w:szCs w:val="19"/>
          <w:color w:val="FF0000"/>
          <w:strike w:val="1"/>
        </w:rPr>
        <w:t>, an Early Opt-in Election or an Other Benchmark Rate Election, as applicable,</w:t>
      </w:r>
      <w:r>
        <w:rPr>
          <w:rFonts w:ascii="Arial" w:cs="Arial" w:eastAsia="Arial" w:hAnsi="Arial"/>
          <w:sz w:val="19"/>
          <w:szCs w:val="19"/>
          <w:color w:val="auto"/>
        </w:rPr>
        <w:t xml:space="preserve"> and its related Benchmark Replacement Date (ii) the implementation of any Benchmark Replacement, (iii) the effectiveness of any Benchmark Replacement Conforming Changes, (iv) the removal or reinstatement of any tenor of a Benchmark pursuant to </w:t>
      </w:r>
      <w:r>
        <w:rPr>
          <w:rFonts w:ascii="Arial" w:cs="Arial" w:eastAsia="Arial" w:hAnsi="Arial"/>
          <w:sz w:val="19"/>
          <w:szCs w:val="19"/>
          <w:u w:val="single" w:color="auto"/>
          <w:color w:val="auto"/>
        </w:rPr>
        <w:t>clause (</w:t>
      </w:r>
      <w:r>
        <w:rPr>
          <w:rFonts w:ascii="Arial" w:cs="Arial" w:eastAsia="Arial" w:hAnsi="Arial"/>
          <w:sz w:val="19"/>
          <w:szCs w:val="19"/>
          <w:u w:val="single" w:color="auto"/>
          <w:color w:val="FF0000"/>
          <w:strike w:val="1"/>
        </w:rPr>
        <w:t>f</w:t>
      </w:r>
      <w:r>
        <w:rPr>
          <w:rFonts w:ascii="Arial" w:cs="Arial" w:eastAsia="Arial" w:hAnsi="Arial"/>
          <w:sz w:val="19"/>
          <w:szCs w:val="19"/>
          <w:u w:val="single" w:color="auto"/>
          <w:color w:val="0000FF"/>
          <w:highlight w:val="lightGray"/>
        </w:rPr>
        <w:t>e</w:t>
      </w:r>
      <w:r>
        <w:rPr>
          <w:rFonts w:ascii="Arial" w:cs="Arial" w:eastAsia="Arial" w:hAnsi="Arial"/>
          <w:sz w:val="19"/>
          <w:szCs w:val="19"/>
          <w:u w:val="single" w:color="auto"/>
          <w:color w:val="auto"/>
        </w:rPr>
        <w:t>)</w:t>
      </w:r>
      <w:r>
        <w:rPr>
          <w:rFonts w:ascii="Arial" w:cs="Arial" w:eastAsia="Arial" w:hAnsi="Arial"/>
          <w:sz w:val="19"/>
          <w:szCs w:val="19"/>
          <w:color w:val="auto"/>
        </w:rPr>
        <w:t xml:space="preserve"> below and (v) the commencement or conclusion of any Benchmark Unavailability Period. Any determination, decision or election that may be made by the Administrative Agent, or, if applicable, any Lender (or group of Lenders) pursuant to this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9"/>
          <w:szCs w:val="19"/>
          <w:u w:val="single" w:color="auto"/>
          <w:color w:val="auto"/>
        </w:rPr>
        <w:t>Section 2.13</w:t>
      </w:r>
      <w:r>
        <w:rPr>
          <w:rFonts w:ascii="Arial" w:cs="Arial" w:eastAsia="Arial" w:hAnsi="Arial"/>
          <w:sz w:val="19"/>
          <w:szCs w:val="19"/>
          <w:color w:val="auto"/>
        </w:rPr>
        <w:t>.</w:t>
      </w:r>
    </w:p>
    <w:p>
      <w:pPr>
        <w:spacing w:after="0" w:line="155"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color w:val="FF0000"/>
          <w:strike w:val="1"/>
        </w:rPr>
        <w:t>f</w:t>
      </w:r>
      <w:r>
        <w:rPr>
          <w:rFonts w:ascii="Arial" w:cs="Arial" w:eastAsia="Arial" w:hAnsi="Arial"/>
          <w:sz w:val="22"/>
          <w:szCs w:val="22"/>
          <w:u w:val="single" w:color="auto"/>
          <w:color w:val="0000FF"/>
          <w:highlight w:val="lightGray"/>
        </w:rPr>
        <w:t>e</w:t>
      </w:r>
      <w:r>
        <w:rPr>
          <w:rFonts w:ascii="Arial" w:cs="Arial" w:eastAsia="Arial" w:hAnsi="Arial"/>
          <w:sz w:val="22"/>
          <w:szCs w:val="22"/>
          <w:color w:val="auto"/>
        </w:rPr>
        <w:t xml:space="preserve">) Notwithstanding anything to the contrary herein or in any other Loan Document, at any time (including in connection with the implementation of a Benchmark Replacement), (i) if the then-current Benchmark is a term rate (including </w:t>
      </w:r>
      <w:r>
        <w:rPr>
          <w:rFonts w:ascii="Arial" w:cs="Arial" w:eastAsia="Arial" w:hAnsi="Arial"/>
          <w:sz w:val="22"/>
          <w:szCs w:val="22"/>
          <w:u w:val="single" w:color="auto"/>
          <w:color w:val="0000FF"/>
          <w:highlight w:val="lightGray"/>
        </w:rPr>
        <w:t>the</w:t>
      </w:r>
      <w:r>
        <w:rPr>
          <w:rFonts w:ascii="Arial" w:cs="Arial" w:eastAsia="Arial" w:hAnsi="Arial"/>
          <w:sz w:val="22"/>
          <w:szCs w:val="22"/>
          <w:color w:val="0000FF"/>
          <w:highlight w:val="lightGray"/>
        </w:rPr>
        <w:t xml:space="preserve"> </w:t>
      </w:r>
      <w:r>
        <w:rPr>
          <w:rFonts w:ascii="Arial" w:cs="Arial" w:eastAsia="Arial" w:hAnsi="Arial"/>
          <w:sz w:val="22"/>
          <w:szCs w:val="22"/>
          <w:color w:val="000000"/>
        </w:rPr>
        <w:t>Term SOFR</w:t>
      </w:r>
      <w:r>
        <w:rPr>
          <w:rFonts w:ascii="Arial" w:cs="Arial" w:eastAsia="Arial" w:hAnsi="Arial"/>
          <w:sz w:val="22"/>
          <w:szCs w:val="22"/>
          <w:color w:val="0000FF"/>
          <w:highlight w:val="lightGray"/>
        </w:rPr>
        <w:t xml:space="preserve"> </w:t>
      </w:r>
      <w:r>
        <w:rPr>
          <w:rFonts w:ascii="Arial" w:cs="Arial" w:eastAsia="Arial" w:hAnsi="Arial"/>
          <w:sz w:val="22"/>
          <w:szCs w:val="22"/>
          <w:color w:val="FF0000"/>
          <w:strike w:val="1"/>
        </w:rPr>
        <w:t>or LIBO</w:t>
      </w:r>
      <w:r>
        <w:rPr>
          <w:rFonts w:ascii="Arial" w:cs="Arial" w:eastAsia="Arial" w:hAnsi="Arial"/>
          <w:sz w:val="22"/>
          <w:szCs w:val="22"/>
          <w:color w:val="0000FF"/>
          <w:highlight w:val="lightGray"/>
        </w:rPr>
        <w:t xml:space="preserve"> </w:t>
      </w:r>
      <w:r>
        <w:rPr>
          <w:rFonts w:ascii="Arial" w:cs="Arial" w:eastAsia="Arial" w:hAnsi="Arial"/>
          <w:sz w:val="22"/>
          <w:szCs w:val="22"/>
          <w:color w:val="000000"/>
        </w:rPr>
        <w:t>Rate) and either (A) any tenor for such Benchmark is not displayed on a screen or other information</w:t>
      </w:r>
      <w:r>
        <w:rPr>
          <w:rFonts w:ascii="Arial" w:cs="Arial" w:eastAsia="Arial" w:hAnsi="Arial"/>
          <w:sz w:val="22"/>
          <w:szCs w:val="22"/>
          <w:color w:val="0000FF"/>
          <w:highlight w:val="lightGray"/>
        </w:rPr>
        <w:t xml:space="preserve"> </w:t>
      </w:r>
      <w:r>
        <w:rPr>
          <w:rFonts w:ascii="Arial" w:cs="Arial" w:eastAsia="Arial" w:hAnsi="Arial"/>
          <w:sz w:val="22"/>
          <w:szCs w:val="22"/>
          <w:color w:val="000000"/>
        </w:rPr>
        <w:t>service that publishes such rate from time to time as selected by the Administrative Agent in its reasonable discretion or (B) the regulatory supervisor for the administrator of such</w:t>
      </w:r>
    </w:p>
    <w:p>
      <w:pPr>
        <w:sectPr>
          <w:pgSz w:w="11900" w:h="16838" w:orient="portrait"/>
          <w:cols w:equalWidth="0" w:num="1">
            <w:col w:w="11160"/>
          </w:cols>
          <w:pgMar w:left="400" w:top="1401" w:right="339" w:bottom="1440" w:gutter="0" w:footer="0" w:header="0"/>
        </w:sectPr>
      </w:pPr>
    </w:p>
    <w:bookmarkStart w:id="115" w:name="page116"/>
    <w:bookmarkEnd w:id="115"/>
    <w:p>
      <w:pPr>
        <w:jc w:val="both"/>
        <w:ind w:left="80"/>
        <w:spacing w:after="0" w:line="247" w:lineRule="auto"/>
        <w:rPr>
          <w:sz w:val="20"/>
          <w:szCs w:val="20"/>
          <w:color w:val="auto"/>
        </w:rPr>
      </w:pPr>
      <w:r>
        <w:rPr>
          <w:rFonts w:ascii="Arial" w:cs="Arial" w:eastAsia="Arial" w:hAnsi="Arial"/>
          <w:sz w:val="19"/>
          <w:szCs w:val="19"/>
          <w:color w:val="auto"/>
        </w:rPr>
        <w:t xml:space="preserve">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54" w:lineRule="exact"/>
        <w:rPr>
          <w:sz w:val="20"/>
          <w:szCs w:val="20"/>
          <w:color w:val="auto"/>
        </w:rPr>
      </w:pPr>
    </w:p>
    <w:p>
      <w:pPr>
        <w:jc w:val="both"/>
        <w:ind w:left="80" w:firstLine="1296"/>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color w:val="FF0000"/>
          <w:strike w:val="1"/>
        </w:rPr>
        <w:t>g</w:t>
      </w:r>
      <w:r>
        <w:rPr>
          <w:rFonts w:ascii="Arial" w:cs="Arial" w:eastAsia="Arial" w:hAnsi="Arial"/>
          <w:sz w:val="19"/>
          <w:szCs w:val="19"/>
          <w:u w:val="single" w:color="auto"/>
          <w:color w:val="0000FF"/>
          <w:highlight w:val="lightGray"/>
        </w:rPr>
        <w:t>f</w:t>
      </w:r>
      <w:r>
        <w:rPr>
          <w:rFonts w:ascii="Arial" w:cs="Arial" w:eastAsia="Arial" w:hAnsi="Arial"/>
          <w:sz w:val="19"/>
          <w:szCs w:val="19"/>
          <w:color w:val="auto"/>
        </w:rPr>
        <w:t xml:space="preserve">) Upon the Borrowers’ receipt of notice of the commencement of a Benchmark Unavailability Period, the Borrowers may revoke any request for a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highlight w:val="lightGray"/>
        </w:rPr>
        <w:t>Term Benchmark</w:t>
      </w:r>
      <w:r>
        <w:rPr>
          <w:rFonts w:ascii="Arial" w:cs="Arial" w:eastAsia="Arial" w:hAnsi="Arial"/>
          <w:sz w:val="19"/>
          <w:szCs w:val="19"/>
          <w:color w:val="auto"/>
        </w:rPr>
        <w:t xml:space="preserve"> Borrowing of, conversion to or continuation of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highlight w:val="lightGray"/>
        </w:rPr>
        <w:t>Term Benchmark</w:t>
      </w:r>
      <w:r>
        <w:rPr>
          <w:rFonts w:ascii="Arial" w:cs="Arial" w:eastAsia="Arial" w:hAnsi="Arial"/>
          <w:sz w:val="19"/>
          <w:szCs w:val="19"/>
          <w:color w:val="FF0000"/>
        </w:rPr>
        <w:t xml:space="preserve"> </w:t>
      </w:r>
      <w:r>
        <w:rPr>
          <w:rFonts w:ascii="Arial" w:cs="Arial" w:eastAsia="Arial" w:hAnsi="Arial"/>
          <w:sz w:val="19"/>
          <w:szCs w:val="19"/>
          <w:color w:val="000000"/>
        </w:rPr>
        <w:t>Loans to be made, converted or continued during any Benchmark Unavailability Period and, failing</w:t>
      </w:r>
      <w:r>
        <w:rPr>
          <w:rFonts w:ascii="Arial" w:cs="Arial" w:eastAsia="Arial" w:hAnsi="Arial"/>
          <w:sz w:val="19"/>
          <w:szCs w:val="19"/>
          <w:color w:val="FF0000"/>
        </w:rPr>
        <w:t xml:space="preserve"> </w:t>
      </w:r>
      <w:r>
        <w:rPr>
          <w:rFonts w:ascii="Arial" w:cs="Arial" w:eastAsia="Arial" w:hAnsi="Arial"/>
          <w:sz w:val="19"/>
          <w:szCs w:val="19"/>
          <w:color w:val="000000"/>
        </w:rPr>
        <w:t xml:space="preserve">that, the Borrowers will be deemed to have converted any such request into a request for a Borrowing of or conversion to </w:t>
      </w:r>
      <w:r>
        <w:rPr>
          <w:rFonts w:ascii="Arial" w:cs="Arial" w:eastAsia="Arial" w:hAnsi="Arial"/>
          <w:sz w:val="19"/>
          <w:szCs w:val="19"/>
          <w:color w:val="FF0000"/>
          <w:strike w:val="1"/>
        </w:rPr>
        <w:t>ABR</w:t>
      </w:r>
      <w:r>
        <w:rPr>
          <w:rFonts w:ascii="Arial" w:cs="Arial" w:eastAsia="Arial" w:hAnsi="Arial"/>
          <w:sz w:val="19"/>
          <w:szCs w:val="19"/>
          <w:color w:val="000000"/>
        </w:rPr>
        <w:t xml:space="preserve"> </w:t>
      </w:r>
      <w:r>
        <w:rPr>
          <w:rFonts w:ascii="Arial" w:cs="Arial" w:eastAsia="Arial" w:hAnsi="Arial"/>
          <w:sz w:val="19"/>
          <w:szCs w:val="19"/>
          <w:color w:val="FF0000"/>
          <w:strike w:val="1"/>
        </w:rPr>
        <w:t>Loans</w:t>
      </w:r>
      <w:r>
        <w:rPr>
          <w:rFonts w:ascii="Arial" w:cs="Arial" w:eastAsia="Arial" w:hAnsi="Arial"/>
          <w:sz w:val="19"/>
          <w:szCs w:val="19"/>
          <w:u w:val="single" w:color="auto"/>
          <w:color w:val="0000FF"/>
          <w:highlight w:val="lightGray"/>
          <w:strike w:val="1"/>
        </w:rPr>
        <w:t>(i) Adjusted Daily Simple SOFR Loans so long as the Adjusted Daily Simple SOFR is not the subject of</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8000"/>
          <w:strike w:val="1"/>
        </w:rPr>
        <w:t>a Benchmark</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8000"/>
          <w:strike w:val="1"/>
        </w:rPr>
        <w:t>Transition Event or</w:t>
      </w:r>
      <w:r>
        <w:rPr>
          <w:rFonts w:ascii="Arial" w:cs="Arial" w:eastAsia="Arial" w:hAnsi="Arial"/>
          <w:sz w:val="19"/>
          <w:szCs w:val="19"/>
          <w:color w:val="008000"/>
          <w:strike w:val="1"/>
        </w:rPr>
        <w:t xml:space="preserve"> </w:t>
      </w:r>
      <w:r>
        <w:rPr>
          <w:rFonts w:ascii="Arial" w:cs="Arial" w:eastAsia="Arial" w:hAnsi="Arial"/>
          <w:sz w:val="19"/>
          <w:szCs w:val="19"/>
          <w:u w:val="single" w:color="auto"/>
          <w:color w:val="0000FF"/>
          <w:highlight w:val="lightGray"/>
          <w:strike w:val="1"/>
        </w:rPr>
        <w:t>(ii) an ABR Borrowing if the Adjusted Daily Simple SOFR is the subject of a Benchmark Transition Event</w:t>
      </w:r>
      <w:r>
        <w:rPr>
          <w:rFonts w:ascii="Arial" w:cs="Arial" w:eastAsia="Arial" w:hAnsi="Arial"/>
          <w:sz w:val="19"/>
          <w:szCs w:val="19"/>
          <w:color w:val="000000"/>
          <w:strike w:val="1"/>
        </w:rPr>
        <w:t>.</w:t>
      </w:r>
      <w:r>
        <w:rPr>
          <w:rFonts w:ascii="Arial" w:cs="Arial" w:eastAsia="Arial" w:hAnsi="Arial"/>
          <w:sz w:val="19"/>
          <w:szCs w:val="19"/>
          <w:color w:val="008000"/>
          <w:strike w:val="1"/>
        </w:rPr>
        <w:t xml:space="preserve"> </w:t>
      </w:r>
      <w:r>
        <w:rPr>
          <w:rFonts w:ascii="Arial" w:cs="Arial" w:eastAsia="Arial" w:hAnsi="Arial"/>
          <w:sz w:val="19"/>
          <w:szCs w:val="19"/>
          <w:color w:val="000000"/>
          <w:strike w:val="1"/>
        </w:rPr>
        <w:t xml:space="preserve">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highlight w:val="lightGray"/>
          <w:strike w:val="1"/>
        </w:rPr>
        <w:t>Term Benchmark</w:t>
      </w:r>
      <w:r>
        <w:rPr>
          <w:rFonts w:ascii="Arial" w:cs="Arial" w:eastAsia="Arial" w:hAnsi="Arial"/>
          <w:sz w:val="19"/>
          <w:szCs w:val="19"/>
          <w:color w:val="000000"/>
          <w:strike w:val="1"/>
        </w:rPr>
        <w:t xml:space="preserve"> Loan is outstanding on the date of the Borrower’s receipt of notice of the commencement of a Benchmark Unavailability Period with respect to the </w:t>
      </w:r>
      <w:r>
        <w:rPr>
          <w:rFonts w:ascii="Arial" w:cs="Arial" w:eastAsia="Arial" w:hAnsi="Arial"/>
          <w:sz w:val="19"/>
          <w:szCs w:val="19"/>
          <w:color w:val="FF0000"/>
          <w:strike w:val="1"/>
        </w:rPr>
        <w:t>LIBO</w:t>
      </w:r>
      <w:r>
        <w:rPr>
          <w:rFonts w:ascii="Arial" w:cs="Arial" w:eastAsia="Arial" w:hAnsi="Arial"/>
          <w:sz w:val="19"/>
          <w:szCs w:val="19"/>
          <w:u w:val="single" w:color="auto"/>
          <w:color w:val="0000FF"/>
          <w:highlight w:val="lightGray"/>
          <w:strike w:val="1"/>
        </w:rPr>
        <w:t>Term SOFR</w:t>
      </w:r>
      <w:r>
        <w:rPr>
          <w:rFonts w:ascii="Arial" w:cs="Arial" w:eastAsia="Arial" w:hAnsi="Arial"/>
          <w:sz w:val="19"/>
          <w:szCs w:val="19"/>
          <w:color w:val="000000"/>
          <w:strike w:val="1"/>
        </w:rPr>
        <w:t xml:space="preserve"> Rate, then until such time as a Benchmark Replacement is implemented pursuant to this Section 2.13, </w:t>
      </w:r>
      <w:r>
        <w:rPr>
          <w:rFonts w:ascii="Arial" w:cs="Arial" w:eastAsia="Arial" w:hAnsi="Arial"/>
          <w:sz w:val="19"/>
          <w:szCs w:val="19"/>
          <w:color w:val="FF0000"/>
          <w:strike w:val="1"/>
        </w:rPr>
        <w:t>then</w:t>
      </w:r>
      <w:r>
        <w:rPr>
          <w:rFonts w:ascii="Arial" w:cs="Arial" w:eastAsia="Arial" w:hAnsi="Arial"/>
          <w:sz w:val="19"/>
          <w:szCs w:val="19"/>
          <w:u w:val="single" w:color="auto"/>
          <w:color w:val="0000FF"/>
          <w:highlight w:val="lightGray"/>
          <w:strike w:val="1"/>
        </w:rPr>
        <w:t>any Term Benchmark</w:t>
      </w:r>
      <w:r>
        <w:rPr>
          <w:rFonts w:ascii="Arial" w:cs="Arial" w:eastAsia="Arial" w:hAnsi="Arial"/>
          <w:sz w:val="19"/>
          <w:szCs w:val="19"/>
          <w:color w:val="000000"/>
          <w:strike w:val="1"/>
        </w:rPr>
        <w:t xml:space="preserve"> </w:t>
      </w:r>
      <w:r>
        <w:rPr>
          <w:rFonts w:ascii="Arial" w:cs="Arial" w:eastAsia="Arial" w:hAnsi="Arial"/>
          <w:sz w:val="19"/>
          <w:szCs w:val="19"/>
          <w:u w:val="single" w:color="auto"/>
          <w:color w:val="0000FF"/>
          <w:highlight w:val="lightGray"/>
          <w:strike w:val="1"/>
        </w:rPr>
        <w:t>Loan shall,</w:t>
      </w:r>
      <w:r>
        <w:rPr>
          <w:rFonts w:ascii="Arial" w:cs="Arial" w:eastAsia="Arial" w:hAnsi="Arial"/>
          <w:sz w:val="19"/>
          <w:szCs w:val="19"/>
          <w:color w:val="0000FF"/>
          <w:highlight w:val="lightGray"/>
          <w:strike w:val="1"/>
        </w:rPr>
        <w:t xml:space="preserve"> </w:t>
      </w:r>
      <w:r>
        <w:rPr>
          <w:rFonts w:ascii="Arial" w:cs="Arial" w:eastAsia="Arial" w:hAnsi="Arial"/>
          <w:sz w:val="19"/>
          <w:szCs w:val="19"/>
          <w:color w:val="000000"/>
          <w:strike w:val="1"/>
        </w:rPr>
        <w:t>on the last day of the Interest Period applicable to such Loan</w:t>
      </w:r>
      <w:r>
        <w:rPr>
          <w:rFonts w:ascii="Arial" w:cs="Arial" w:eastAsia="Arial" w:hAnsi="Arial"/>
          <w:sz w:val="19"/>
          <w:szCs w:val="19"/>
          <w:color w:val="0000FF"/>
          <w:highlight w:val="lightGray"/>
          <w:strike w:val="1"/>
        </w:rPr>
        <w:t xml:space="preserve"> </w:t>
      </w:r>
      <w:r>
        <w:rPr>
          <w:rFonts w:ascii="Arial" w:cs="Arial" w:eastAsia="Arial" w:hAnsi="Arial"/>
          <w:sz w:val="19"/>
          <w:szCs w:val="19"/>
          <w:color w:val="FF0000"/>
          <w:strike w:val="1"/>
        </w:rPr>
        <w:t>(or the next succeeding Business Day if such day is not</w:t>
      </w:r>
      <w:r>
        <w:rPr>
          <w:rFonts w:ascii="Arial" w:cs="Arial" w:eastAsia="Arial" w:hAnsi="Arial"/>
          <w:sz w:val="19"/>
          <w:szCs w:val="19"/>
          <w:color w:val="0000FF"/>
          <w:highlight w:val="lightGray"/>
          <w:strike w:val="1"/>
        </w:rPr>
        <w:t xml:space="preserve"> </w:t>
      </w:r>
      <w:r>
        <w:rPr>
          <w:rFonts w:ascii="Arial" w:cs="Arial" w:eastAsia="Arial" w:hAnsi="Arial"/>
          <w:sz w:val="19"/>
          <w:szCs w:val="19"/>
          <w:color w:val="FF0000"/>
          <w:strike w:val="1"/>
        </w:rPr>
        <w:t>a Business Day), such Loan shall</w:t>
      </w:r>
      <w:r>
        <w:rPr>
          <w:rFonts w:ascii="Arial" w:cs="Arial" w:eastAsia="Arial" w:hAnsi="Arial"/>
          <w:sz w:val="19"/>
          <w:szCs w:val="19"/>
          <w:u w:val="single" w:color="auto"/>
          <w:color w:val="0000FF"/>
          <w:highlight w:val="lightGray"/>
          <w:strike w:val="1"/>
        </w:rPr>
        <w:t>,</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be converted by the Administrative Agent to, and shall constitute,</w:t>
      </w:r>
      <w:r>
        <w:rPr>
          <w:rFonts w:ascii="Arial" w:cs="Arial" w:eastAsia="Arial" w:hAnsi="Arial"/>
          <w:sz w:val="19"/>
          <w:szCs w:val="19"/>
          <w:color w:val="FF0000"/>
          <w:strike w:val="1"/>
        </w:rPr>
        <w:t xml:space="preserve"> an ABR Loan denominated in Dollars </w:t>
      </w:r>
      <w:r>
        <w:rPr>
          <w:rFonts w:ascii="Arial" w:cs="Arial" w:eastAsia="Arial" w:hAnsi="Arial"/>
          <w:sz w:val="19"/>
          <w:szCs w:val="19"/>
          <w:u w:val="single" w:color="auto"/>
          <w:color w:val="0000FF"/>
          <w:highlight w:val="lightGray"/>
          <w:strike w:val="1"/>
        </w:rPr>
        <w:t>(x) an Adjusted Daily Simple SOFR Loan so long as the Adjusted Daily Simple SOFR is not the subject</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8000"/>
          <w:strike w:val="1"/>
        </w:rPr>
        <w:t>of a</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8000"/>
          <w:strike w:val="1"/>
        </w:rPr>
        <w:t xml:space="preserve">Benchmark Transition Event </w:t>
      </w:r>
      <w:r>
        <w:rPr>
          <w:rFonts w:ascii="Arial" w:cs="Arial" w:eastAsia="Arial" w:hAnsi="Arial"/>
          <w:sz w:val="19"/>
          <w:szCs w:val="19"/>
          <w:u w:val="single" w:color="auto"/>
          <w:color w:val="0000FF"/>
          <w:highlight w:val="lightGray"/>
          <w:strike w:val="1"/>
        </w:rPr>
        <w:t>or (y) an ABR Loan if the Adjusted Daily Simple SOFR is the subject of a Benchmark Transition</w:t>
      </w:r>
      <w:r>
        <w:rPr>
          <w:rFonts w:ascii="Arial" w:cs="Arial" w:eastAsia="Arial" w:hAnsi="Arial"/>
          <w:sz w:val="19"/>
          <w:szCs w:val="19"/>
          <w:u w:val="single" w:color="auto"/>
          <w:color w:val="008000"/>
          <w:strike w:val="1"/>
        </w:rPr>
        <w:t xml:space="preserve"> </w:t>
      </w:r>
      <w:r>
        <w:rPr>
          <w:rFonts w:ascii="Arial" w:cs="Arial" w:eastAsia="Arial" w:hAnsi="Arial"/>
          <w:sz w:val="19"/>
          <w:szCs w:val="19"/>
          <w:u w:val="single" w:color="auto"/>
          <w:color w:val="0000FF"/>
          <w:highlight w:val="lightGray"/>
          <w:strike w:val="1"/>
        </w:rPr>
        <w:t>Event,</w:t>
      </w:r>
      <w:r>
        <w:rPr>
          <w:rFonts w:ascii="Arial" w:cs="Arial" w:eastAsia="Arial" w:hAnsi="Arial"/>
          <w:sz w:val="19"/>
          <w:szCs w:val="19"/>
          <w:color w:val="0000FF"/>
          <w:highlight w:val="lightGray"/>
          <w:strike w:val="1"/>
        </w:rPr>
        <w:t xml:space="preserve"> </w:t>
      </w:r>
      <w:r>
        <w:rPr>
          <w:rFonts w:ascii="Arial" w:cs="Arial" w:eastAsia="Arial" w:hAnsi="Arial"/>
          <w:sz w:val="19"/>
          <w:szCs w:val="19"/>
          <w:color w:val="000000"/>
          <w:strike w:val="1"/>
        </w:rPr>
        <w:t>on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-489585</wp:posOffset>
            </wp:positionV>
            <wp:extent cx="30873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3087370" cy="8255"/>
                    </a:xfrm>
                    <a:prstGeom prst="rect">
                      <a:avLst/>
                    </a:prstGeom>
                    <a:noFill/>
                  </pic:spPr>
                </pic:pic>
              </a:graphicData>
            </a:graphic>
          </wp:anchor>
        </w:drawing>
      </w:r>
    </w:p>
    <w:p>
      <w:pPr>
        <w:spacing w:after="0" w:line="361"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22"/>
          <w:szCs w:val="22"/>
          <w:color w:val="auto"/>
        </w:rPr>
        <w:t>Section 2.14</w:t>
      </w:r>
      <w:r>
        <w:rPr>
          <w:sz w:val="20"/>
          <w:szCs w:val="20"/>
          <w:color w:val="auto"/>
        </w:rPr>
        <w:tab/>
      </w:r>
      <w:r>
        <w:rPr>
          <w:rFonts w:ascii="Arial" w:cs="Arial" w:eastAsia="Arial" w:hAnsi="Arial"/>
          <w:sz w:val="19"/>
          <w:szCs w:val="19"/>
          <w:u w:val="single" w:color="auto"/>
          <w:color w:val="auto"/>
        </w:rPr>
        <w:t>Increased Costs</w:t>
      </w:r>
      <w:r>
        <w:rPr>
          <w:rFonts w:ascii="Arial" w:cs="Arial" w:eastAsia="Arial" w:hAnsi="Arial"/>
          <w:sz w:val="19"/>
          <w:szCs w:val="19"/>
          <w:color w:val="auto"/>
        </w:rPr>
        <w:t>. (a) If any Change in Law shall:</w:t>
      </w:r>
    </w:p>
    <w:p>
      <w:pPr>
        <w:spacing w:after="0" w:line="179" w:lineRule="exact"/>
        <w:rPr>
          <w:sz w:val="20"/>
          <w:szCs w:val="20"/>
          <w:color w:val="auto"/>
        </w:rPr>
      </w:pPr>
    </w:p>
    <w:p>
      <w:pPr>
        <w:jc w:val="both"/>
        <w:ind w:left="660" w:firstLine="644"/>
        <w:spacing w:after="0" w:line="268" w:lineRule="auto"/>
        <w:tabs>
          <w:tab w:leader="none" w:pos="1750"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impose, modify or deem applicable any reserve, special deposit, liquidity, compulsory loan, insurance charge or similar requirement against assets of, deposits with or for the account of, or credit extended by or participated in, any Lender </w:t>
      </w:r>
      <w:r>
        <w:rPr>
          <w:rFonts w:ascii="Arial" w:cs="Arial" w:eastAsia="Arial" w:hAnsi="Arial"/>
          <w:sz w:val="19"/>
          <w:szCs w:val="19"/>
          <w:color w:val="FF0000"/>
          <w:strike w:val="1"/>
        </w:rPr>
        <w:t>(except any such reserve requirement reflected in the Adjusted LIBO Rate)</w:t>
      </w:r>
      <w:r>
        <w:rPr>
          <w:rFonts w:ascii="Arial" w:cs="Arial" w:eastAsia="Arial" w:hAnsi="Arial"/>
          <w:sz w:val="19"/>
          <w:szCs w:val="19"/>
          <w:color w:val="auto"/>
        </w:rPr>
        <w:t xml:space="preserve"> or Issuing Bank; or</w:t>
      </w:r>
    </w:p>
    <w:p>
      <w:pPr>
        <w:spacing w:after="0" w:line="132" w:lineRule="exact"/>
        <w:rPr>
          <w:rFonts w:ascii="Arial" w:cs="Arial" w:eastAsia="Arial" w:hAnsi="Arial"/>
          <w:sz w:val="19"/>
          <w:szCs w:val="19"/>
          <w:color w:val="auto"/>
        </w:rPr>
      </w:pPr>
    </w:p>
    <w:p>
      <w:pPr>
        <w:jc w:val="both"/>
        <w:ind w:left="660" w:firstLine="644"/>
        <w:spacing w:after="0" w:line="223" w:lineRule="auto"/>
        <w:tabs>
          <w:tab w:leader="none" w:pos="1836" w:val="left"/>
        </w:tabs>
        <w:numPr>
          <w:ilvl w:val="0"/>
          <w:numId w:val="99"/>
        </w:numPr>
        <w:rPr>
          <w:rFonts w:ascii="Arial" w:cs="Arial" w:eastAsia="Arial" w:hAnsi="Arial"/>
          <w:sz w:val="22"/>
          <w:szCs w:val="22"/>
          <w:color w:val="auto"/>
        </w:rPr>
      </w:pPr>
      <w:r>
        <w:rPr>
          <w:rFonts w:ascii="Arial" w:cs="Arial" w:eastAsia="Arial" w:hAnsi="Arial"/>
          <w:sz w:val="22"/>
          <w:szCs w:val="22"/>
          <w:color w:val="auto"/>
        </w:rPr>
        <w:t xml:space="preserve">impose on any Lender or Issuing Bank or the </w:t>
      </w:r>
      <w:r>
        <w:rPr>
          <w:rFonts w:ascii="Arial" w:cs="Arial" w:eastAsia="Arial" w:hAnsi="Arial"/>
          <w:sz w:val="22"/>
          <w:szCs w:val="22"/>
          <w:color w:val="FF0000"/>
          <w:strike w:val="1"/>
        </w:rPr>
        <w:t>London</w:t>
      </w:r>
      <w:r>
        <w:rPr>
          <w:rFonts w:ascii="Arial" w:cs="Arial" w:eastAsia="Arial" w:hAnsi="Arial"/>
          <w:sz w:val="22"/>
          <w:szCs w:val="22"/>
          <w:u w:val="single" w:color="auto"/>
          <w:color w:val="0000FF"/>
          <w:highlight w:val="lightGray"/>
        </w:rPr>
        <w:t>applicable</w:t>
      </w:r>
      <w:r>
        <w:rPr>
          <w:rFonts w:ascii="Arial" w:cs="Arial" w:eastAsia="Arial" w:hAnsi="Arial"/>
          <w:sz w:val="22"/>
          <w:szCs w:val="22"/>
          <w:color w:val="auto"/>
        </w:rPr>
        <w:t xml:space="preserve"> interbank market any other condition, cost or expense (other than Taxes) affecting this Agreement or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highlight w:val="lightGray"/>
        </w:rPr>
        <w:t>Term Benchmark</w:t>
      </w:r>
      <w:r>
        <w:rPr>
          <w:rFonts w:ascii="Arial" w:cs="Arial" w:eastAsia="Arial" w:hAnsi="Arial"/>
          <w:sz w:val="22"/>
          <w:szCs w:val="22"/>
          <w:color w:val="auto"/>
        </w:rPr>
        <w:t xml:space="preserve"> Loans made by such Lender or any Letter of Credit or participation therein; or</w:t>
      </w:r>
    </w:p>
    <w:p>
      <w:pPr>
        <w:spacing w:after="0" w:line="158" w:lineRule="exact"/>
        <w:rPr>
          <w:rFonts w:ascii="Arial" w:cs="Arial" w:eastAsia="Arial" w:hAnsi="Arial"/>
          <w:sz w:val="22"/>
          <w:szCs w:val="22"/>
          <w:color w:val="auto"/>
        </w:rPr>
      </w:pPr>
    </w:p>
    <w:p>
      <w:pPr>
        <w:jc w:val="both"/>
        <w:ind w:left="660" w:firstLine="644"/>
        <w:spacing w:after="0" w:line="234" w:lineRule="auto"/>
        <w:tabs>
          <w:tab w:leader="none" w:pos="1875" w:val="left"/>
        </w:tabs>
        <w:numPr>
          <w:ilvl w:val="0"/>
          <w:numId w:val="99"/>
        </w:numPr>
        <w:rPr>
          <w:rFonts w:ascii="Arial" w:cs="Arial" w:eastAsia="Arial" w:hAnsi="Arial"/>
          <w:sz w:val="21"/>
          <w:szCs w:val="21"/>
          <w:color w:val="auto"/>
        </w:rPr>
      </w:pPr>
      <w:r>
        <w:rPr>
          <w:rFonts w:ascii="Arial" w:cs="Arial" w:eastAsia="Arial" w:hAnsi="Arial"/>
          <w:sz w:val="21"/>
          <w:szCs w:val="21"/>
          <w:color w:val="auto"/>
        </w:rPr>
        <w:t>impose on any Recipient any Taxes (other than Indemnified Taxes, Tax described in clauses (b) through (d) of the definition of Excluded Taxes or Connection Income Taxes), on its loans, loan principal, letters of credit, commitments, or other obligations, or its deposits, reserves, other liabilities or capital attributable thereto;</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 xml:space="preserve">and the result of any of the foregoing shall be to increase the cost to such Lender or other Recipient of making, converting to, continuing or maintaining any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highlight w:val="lightGray"/>
        </w:rPr>
        <w:t>Term Benchmark</w:t>
      </w:r>
      <w:r>
        <w:rPr>
          <w:rFonts w:ascii="Arial" w:cs="Arial" w:eastAsia="Arial" w:hAnsi="Arial"/>
          <w:sz w:val="19"/>
          <w:szCs w:val="19"/>
          <w:color w:val="auto"/>
        </w:rPr>
        <w:t xml:space="preserve"> Loan (or of maintaining its obligation to make any such Loan) or to increase the cost to such Lender or other Recipient of participating in, issuing, amending, extending, increasing or</w:t>
      </w:r>
    </w:p>
    <w:p>
      <w:pPr>
        <w:sectPr>
          <w:pgSz w:w="11900" w:h="16838" w:orient="portrait"/>
          <w:cols w:equalWidth="0" w:num="1">
            <w:col w:w="11240"/>
          </w:cols>
          <w:pgMar w:left="320" w:top="1401" w:right="339" w:bottom="1440" w:gutter="0" w:footer="0" w:header="0"/>
        </w:sectPr>
      </w:pPr>
    </w:p>
    <w:bookmarkStart w:id="116" w:name="page117"/>
    <w:bookmarkEnd w:id="116"/>
    <w:p>
      <w:pPr>
        <w:jc w:val="both"/>
        <w:spacing w:after="0" w:line="216" w:lineRule="auto"/>
        <w:rPr>
          <w:sz w:val="20"/>
          <w:szCs w:val="20"/>
          <w:color w:val="auto"/>
        </w:rPr>
      </w:pPr>
      <w:r>
        <w:rPr>
          <w:rFonts w:ascii="Arial" w:cs="Arial" w:eastAsia="Arial" w:hAnsi="Arial"/>
          <w:sz w:val="22"/>
          <w:szCs w:val="22"/>
          <w:color w:val="auto"/>
        </w:rPr>
        <w:t>maintaining any Letter of Credit (or of maintaining its obligation to participate in or issue any Letter of Credit) or to reduce the amount of any sum received or receivable by such Lender or other Recipient hereunder (whether of principal, interest or otherwise), then the Borrowers will pay to such Lender or other Recipient, as the case may be, such additional amount or amounts as will compensate such Lender or other Recipient, as the case may be, for such additional costs incurred or reduction suffered.</w:t>
      </w:r>
    </w:p>
    <w:p>
      <w:pPr>
        <w:spacing w:after="0" w:line="158" w:lineRule="exact"/>
        <w:rPr>
          <w:sz w:val="20"/>
          <w:szCs w:val="20"/>
          <w:color w:val="auto"/>
        </w:rPr>
      </w:pPr>
    </w:p>
    <w:p>
      <w:pPr>
        <w:jc w:val="both"/>
        <w:ind w:left="80" w:firstLine="1305"/>
        <w:spacing w:after="0" w:line="244" w:lineRule="auto"/>
        <w:tabs>
          <w:tab w:leader="none" w:pos="2084" w:val="left"/>
        </w:tabs>
        <w:numPr>
          <w:ilvl w:val="0"/>
          <w:numId w:val="100"/>
        </w:numPr>
        <w:rPr>
          <w:rFonts w:ascii="Arial" w:cs="Arial" w:eastAsia="Arial" w:hAnsi="Arial"/>
          <w:sz w:val="19"/>
          <w:szCs w:val="19"/>
          <w:color w:val="auto"/>
        </w:rPr>
      </w:pPr>
      <w:r>
        <w:rPr>
          <w:rFonts w:ascii="Arial" w:cs="Arial" w:eastAsia="Arial" w:hAnsi="Arial"/>
          <w:sz w:val="19"/>
          <w:szCs w:val="19"/>
          <w:color w:val="auto"/>
        </w:rPr>
        <w:t>If any Lender or Issuing Bank determines that any Change in Law regarding capital or liquidity requirements has or would have the effect of reducing the rate of return on such Lender’s or Issuing Bank’s capital or on the capital or liquidity of such Lender’s or Issuing Bank’s holding company, if any, as a consequence of this Agreement, the Commitments hereunder, the Loans made by such Lender or participations in Letters of Credit held by such Lender, or the Letters of Credit issued by the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then from time to time upon request of such Lender or Issuing Bank the Borrowers will pay to such Lender or Issuing Bank, as the case may be, such additional amount or amounts as will compensate such Lender or Issuing Bank or such Lender’s or Issuing Bank’s holding company for any such reduction suffered.</w:t>
      </w:r>
    </w:p>
    <w:p>
      <w:pPr>
        <w:spacing w:after="0" w:line="154" w:lineRule="exact"/>
        <w:rPr>
          <w:rFonts w:ascii="Arial" w:cs="Arial" w:eastAsia="Arial" w:hAnsi="Arial"/>
          <w:sz w:val="19"/>
          <w:szCs w:val="19"/>
          <w:color w:val="auto"/>
        </w:rPr>
      </w:pPr>
    </w:p>
    <w:p>
      <w:pPr>
        <w:jc w:val="both"/>
        <w:ind w:left="80" w:firstLine="1305"/>
        <w:spacing w:after="0" w:line="257" w:lineRule="auto"/>
        <w:tabs>
          <w:tab w:leader="none" w:pos="185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A certificate of a Lender or Issuing Bank setting forth in reasonable detail the amount or amounts necessary to compensate such Lender or Issuing Bank or its respective holding company, as the case may be, as specified in paragraph (a) or (b) of this Section shall be delivered to the Borrowers and shall be conclusive absent manifest error. The Borrowers shall pay such Lender or Issuing Bank the amount shown as due on any such certificate within 10 days after receipt thereof.</w:t>
      </w:r>
    </w:p>
    <w:p>
      <w:pPr>
        <w:spacing w:after="0" w:line="144" w:lineRule="exact"/>
        <w:rPr>
          <w:rFonts w:ascii="Arial" w:cs="Arial" w:eastAsia="Arial" w:hAnsi="Arial"/>
          <w:sz w:val="19"/>
          <w:szCs w:val="19"/>
          <w:color w:val="auto"/>
        </w:rPr>
      </w:pPr>
    </w:p>
    <w:p>
      <w:pPr>
        <w:jc w:val="both"/>
        <w:ind w:left="80" w:firstLine="1305"/>
        <w:spacing w:after="0" w:line="211" w:lineRule="auto"/>
        <w:tabs>
          <w:tab w:leader="none" w:pos="185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 xml:space="preserve">Failure or delay on the part of any Lender or Issuing Bank to demand compensation pursuant to this Section shall not constitute a waiver of such Lender’s or Issuing Bank’s right to demand such compensation;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Borrowers shall not be required to compensate a Lender or Issuing Bank pursuant to this Section for any increased costs or reductions incurred more than 180 days prior to the date that such Lender or Issuing Bank, as applicable, notifies the Borrowers of the Change in Law giving rise to such increased costs or reductions and of such Lender’s or Issuing Bank’s intention to claim compensation therefor;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if the Change in Law giving rise to such increased costs or reductions is retroactive (or has retroactive effect), then the 180-day period referred to above shall be extended to include the period of retroactive effect thereof.</w:t>
      </w:r>
    </w:p>
    <w:p>
      <w:pPr>
        <w:spacing w:after="0" w:line="165"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 xml:space="preserve">Section 2.15 </w:t>
      </w:r>
      <w:r>
        <w:rPr>
          <w:rFonts w:ascii="Arial" w:cs="Arial" w:eastAsia="Arial" w:hAnsi="Arial"/>
          <w:sz w:val="19"/>
          <w:szCs w:val="19"/>
          <w:u w:val="single" w:color="auto"/>
          <w:color w:val="auto"/>
        </w:rPr>
        <w:t>Break Funding Payments</w:t>
      </w:r>
      <w:r>
        <w:rPr>
          <w:rFonts w:ascii="Arial" w:cs="Arial" w:eastAsia="Arial" w:hAnsi="Arial"/>
          <w:sz w:val="19"/>
          <w:szCs w:val="19"/>
          <w:color w:val="auto"/>
        </w:rPr>
        <w:t xml:space="preserve">. In the event of (a) the payment or prepayment of any principal of any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highlight w:val="lightGray"/>
        </w:rPr>
        <w:t>Term Benchmark</w:t>
      </w:r>
      <w:r>
        <w:rPr>
          <w:rFonts w:ascii="Arial" w:cs="Arial" w:eastAsia="Arial" w:hAnsi="Arial"/>
          <w:sz w:val="19"/>
          <w:szCs w:val="19"/>
          <w:color w:val="FF0000"/>
        </w:rPr>
        <w:t xml:space="preserve"> </w:t>
      </w:r>
      <w:r>
        <w:rPr>
          <w:rFonts w:ascii="Arial" w:cs="Arial" w:eastAsia="Arial" w:hAnsi="Arial"/>
          <w:sz w:val="19"/>
          <w:szCs w:val="19"/>
          <w:color w:val="000000"/>
        </w:rPr>
        <w:t>Loan other than on the last day of an Interest Period applicable thereto (whether voluntary,</w:t>
      </w:r>
      <w:r>
        <w:rPr>
          <w:rFonts w:ascii="Arial" w:cs="Arial" w:eastAsia="Arial" w:hAnsi="Arial"/>
          <w:sz w:val="19"/>
          <w:szCs w:val="19"/>
          <w:color w:val="FF0000"/>
        </w:rPr>
        <w:t xml:space="preserve"> </w:t>
      </w:r>
      <w:r>
        <w:rPr>
          <w:rFonts w:ascii="Arial" w:cs="Arial" w:eastAsia="Arial" w:hAnsi="Arial"/>
          <w:sz w:val="19"/>
          <w:szCs w:val="19"/>
          <w:color w:val="000000"/>
        </w:rPr>
        <w:t xml:space="preserve">mandatory, automatic, by reason of acceleration, or otherwise), (b) the conversion of any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highlight w:val="lightGray"/>
        </w:rPr>
        <w:t>Term Benchmark</w:t>
      </w:r>
      <w:r>
        <w:rPr>
          <w:rFonts w:ascii="Arial" w:cs="Arial" w:eastAsia="Arial" w:hAnsi="Arial"/>
          <w:sz w:val="19"/>
          <w:szCs w:val="19"/>
          <w:color w:val="000000"/>
        </w:rPr>
        <w:t xml:space="preserve"> Loan other than on the last day of the Interest Period applicable thereto, (c) the failure to borrow, convert, continue or prepay any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highlight w:val="lightGray"/>
        </w:rPr>
        <w:t>Term Benchmark</w:t>
      </w:r>
      <w:r>
        <w:rPr>
          <w:rFonts w:ascii="Arial" w:cs="Arial" w:eastAsia="Arial" w:hAnsi="Arial"/>
          <w:sz w:val="19"/>
          <w:szCs w:val="19"/>
          <w:color w:val="FF0000"/>
        </w:rPr>
        <w:t xml:space="preserve"> </w:t>
      </w:r>
      <w:r>
        <w:rPr>
          <w:rFonts w:ascii="Arial" w:cs="Arial" w:eastAsia="Arial" w:hAnsi="Arial"/>
          <w:sz w:val="19"/>
          <w:szCs w:val="19"/>
          <w:color w:val="000000"/>
        </w:rPr>
        <w:t>Loan on the date specified in any notice delivered pursuant hereto (regardless of whether such notice</w:t>
      </w:r>
      <w:r>
        <w:rPr>
          <w:rFonts w:ascii="Arial" w:cs="Arial" w:eastAsia="Arial" w:hAnsi="Arial"/>
          <w:sz w:val="19"/>
          <w:szCs w:val="19"/>
          <w:color w:val="FF0000"/>
        </w:rPr>
        <w:t xml:space="preserve"> </w:t>
      </w:r>
      <w:r>
        <w:rPr>
          <w:rFonts w:ascii="Arial" w:cs="Arial" w:eastAsia="Arial" w:hAnsi="Arial"/>
          <w:sz w:val="19"/>
          <w:szCs w:val="19"/>
          <w:color w:val="000000"/>
        </w:rPr>
        <w:t xml:space="preserve">may be revoked under </w:t>
      </w:r>
      <w:r>
        <w:rPr>
          <w:rFonts w:ascii="Arial" w:cs="Arial" w:eastAsia="Arial" w:hAnsi="Arial"/>
          <w:sz w:val="19"/>
          <w:szCs w:val="19"/>
          <w:u w:val="single" w:color="auto"/>
          <w:color w:val="000000"/>
        </w:rPr>
        <w:t>Section 2.10(b)</w:t>
      </w:r>
      <w:r>
        <w:rPr>
          <w:rFonts w:ascii="Arial" w:cs="Arial" w:eastAsia="Arial" w:hAnsi="Arial"/>
          <w:sz w:val="19"/>
          <w:szCs w:val="19"/>
          <w:color w:val="000000"/>
        </w:rPr>
        <w:t xml:space="preserve"> and is revoked in accordance therewith), or (d) the assignment of any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highlight w:val="lightGray"/>
        </w:rPr>
        <w:t>Term</w:t>
      </w:r>
      <w:r>
        <w:rPr>
          <w:rFonts w:ascii="Arial" w:cs="Arial" w:eastAsia="Arial" w:hAnsi="Arial"/>
          <w:sz w:val="19"/>
          <w:szCs w:val="19"/>
          <w:color w:val="000000"/>
        </w:rPr>
        <w:t xml:space="preserve"> </w:t>
      </w:r>
      <w:r>
        <w:rPr>
          <w:rFonts w:ascii="Arial" w:cs="Arial" w:eastAsia="Arial" w:hAnsi="Arial"/>
          <w:sz w:val="19"/>
          <w:szCs w:val="19"/>
          <w:u w:val="single" w:color="auto"/>
          <w:color w:val="0000FF"/>
          <w:highlight w:val="lightGray"/>
        </w:rPr>
        <w:t>Benchmark</w:t>
      </w:r>
      <w:r>
        <w:rPr>
          <w:rFonts w:ascii="Arial" w:cs="Arial" w:eastAsia="Arial" w:hAnsi="Arial"/>
          <w:sz w:val="19"/>
          <w:szCs w:val="19"/>
          <w:color w:val="0000FF"/>
          <w:highlight w:val="lightGray"/>
        </w:rPr>
        <w:t xml:space="preserve"> </w:t>
      </w:r>
      <w:r>
        <w:rPr>
          <w:rFonts w:ascii="Arial" w:cs="Arial" w:eastAsia="Arial" w:hAnsi="Arial"/>
          <w:sz w:val="19"/>
          <w:szCs w:val="19"/>
          <w:color w:val="000000"/>
        </w:rPr>
        <w:t>Loan other than on the last day of the Interest Period applicable thereto as a result of a request by the Borrowers</w:t>
      </w:r>
      <w:r>
        <w:rPr>
          <w:rFonts w:ascii="Arial" w:cs="Arial" w:eastAsia="Arial" w:hAnsi="Arial"/>
          <w:sz w:val="19"/>
          <w:szCs w:val="19"/>
          <w:color w:val="0000FF"/>
          <w:highlight w:val="lightGray"/>
        </w:rPr>
        <w:t xml:space="preserve"> </w:t>
      </w:r>
      <w:r>
        <w:rPr>
          <w:rFonts w:ascii="Arial" w:cs="Arial" w:eastAsia="Arial" w:hAnsi="Arial"/>
          <w:sz w:val="19"/>
          <w:szCs w:val="19"/>
          <w:color w:val="000000"/>
        </w:rPr>
        <w:t xml:space="preserve">pursuant to </w:t>
      </w:r>
      <w:r>
        <w:rPr>
          <w:rFonts w:ascii="Arial" w:cs="Arial" w:eastAsia="Arial" w:hAnsi="Arial"/>
          <w:sz w:val="19"/>
          <w:szCs w:val="19"/>
          <w:u w:val="single" w:color="auto"/>
          <w:color w:val="000000"/>
        </w:rPr>
        <w:t>Section 2.18</w:t>
      </w:r>
      <w:r>
        <w:rPr>
          <w:rFonts w:ascii="Arial" w:cs="Arial" w:eastAsia="Arial" w:hAnsi="Arial"/>
          <w:sz w:val="19"/>
          <w:szCs w:val="19"/>
          <w:color w:val="000000"/>
        </w:rPr>
        <w:t>, then, in any such event, the Borrowers shall compensate each Lender for the loss, cost and expense attributable to such event</w:t>
      </w:r>
      <w:r>
        <w:rPr>
          <w:rFonts w:ascii="Arial" w:cs="Arial" w:eastAsia="Arial" w:hAnsi="Arial"/>
          <w:sz w:val="19"/>
          <w:szCs w:val="19"/>
          <w:color w:val="FF0000"/>
          <w:strike w:val="1"/>
        </w:rPr>
        <w:t>. In the case of a Eurodollar Loan, such loss, cost or expense to any Lender shall be deemed to include</w:t>
      </w:r>
      <w:r>
        <w:rPr>
          <w:rFonts w:ascii="Arial" w:cs="Arial" w:eastAsia="Arial" w:hAnsi="Arial"/>
          <w:sz w:val="19"/>
          <w:szCs w:val="19"/>
          <w:color w:val="000000"/>
        </w:rPr>
        <w:t xml:space="preserve"> </w:t>
      </w:r>
      <w:r>
        <w:rPr>
          <w:rFonts w:ascii="Arial" w:cs="Arial" w:eastAsia="Arial" w:hAnsi="Arial"/>
          <w:sz w:val="19"/>
          <w:szCs w:val="19"/>
          <w:color w:val="FF0000"/>
          <w:strike w:val="1"/>
        </w:rPr>
        <w:t>an amount determined by such Lender to be the excess, if any, of (i) the amount of interest which would have accrued on the principal amount of such Loan had such event not occurred, at the Adjusted LIBO Rate that would have been applicable to such Loan, for the period from the date of such</w:t>
      </w:r>
    </w:p>
    <w:p>
      <w:pPr>
        <w:sectPr>
          <w:pgSz w:w="11900" w:h="16838" w:orient="portrait"/>
          <w:cols w:equalWidth="0" w:num="1">
            <w:col w:w="11240"/>
          </w:cols>
          <w:pgMar w:left="320" w:top="1401" w:right="339" w:bottom="1440" w:gutter="0" w:footer="0" w:header="0"/>
        </w:sectPr>
      </w:pPr>
    </w:p>
    <w:bookmarkStart w:id="117" w:name="page118"/>
    <w:bookmarkEnd w:id="117"/>
    <w:p>
      <w:pPr>
        <w:jc w:val="both"/>
        <w:spacing w:after="0" w:line="222" w:lineRule="auto"/>
        <w:rPr>
          <w:sz w:val="20"/>
          <w:szCs w:val="20"/>
          <w:color w:val="auto"/>
        </w:rPr>
      </w:pPr>
      <w:r>
        <w:rPr>
          <w:rFonts w:ascii="Arial" w:cs="Arial" w:eastAsia="Arial" w:hAnsi="Arial"/>
          <w:sz w:val="21"/>
          <w:szCs w:val="21"/>
          <w:color w:val="FF0000"/>
          <w:strike w:val="1"/>
        </w:rPr>
        <w:t xml:space="preserve">event to </w:t>
      </w:r>
      <w:r>
        <w:rPr>
          <w:rFonts w:ascii="Arial" w:cs="Arial" w:eastAsia="Arial" w:hAnsi="Arial"/>
          <w:sz w:val="21"/>
          <w:szCs w:val="21"/>
          <w:color w:val="008000"/>
          <w:strike w:val="1"/>
        </w:rPr>
        <w:t>the last day of the</w:t>
      </w:r>
      <w:r>
        <w:rPr>
          <w:rFonts w:ascii="Arial" w:cs="Arial" w:eastAsia="Arial" w:hAnsi="Arial"/>
          <w:sz w:val="21"/>
          <w:szCs w:val="21"/>
          <w:color w:val="FF0000"/>
          <w:strike w:val="1"/>
        </w:rPr>
        <w:t xml:space="preserv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dollar deposits of a comparable amount and period from other banks in the eurodollar market</w:t>
      </w:r>
      <w:r>
        <w:rPr>
          <w:rFonts w:ascii="Arial" w:cs="Arial" w:eastAsia="Arial" w:hAnsi="Arial"/>
          <w:sz w:val="21"/>
          <w:szCs w:val="21"/>
          <w:color w:val="000000"/>
          <w:strike w:val="1"/>
        </w:rPr>
        <w:t>. A certificate of any</w:t>
      </w:r>
      <w:r>
        <w:rPr>
          <w:rFonts w:ascii="Arial" w:cs="Arial" w:eastAsia="Arial" w:hAnsi="Arial"/>
          <w:sz w:val="21"/>
          <w:szCs w:val="21"/>
          <w:color w:val="FF0000"/>
          <w:strike w:val="1"/>
        </w:rPr>
        <w:t xml:space="preserve"> </w:t>
      </w:r>
      <w:r>
        <w:rPr>
          <w:rFonts w:ascii="Arial" w:cs="Arial" w:eastAsia="Arial" w:hAnsi="Arial"/>
          <w:sz w:val="21"/>
          <w:szCs w:val="21"/>
          <w:color w:val="000000"/>
          <w:strike w:val="1"/>
        </w:rPr>
        <w:t>Lender setting forth in reasonable detail any amount or amounts that such Lender is entitled to receive pursuant to this Section shall be delivered to the Borrowers and shall be conclusive absent manifest error. The Borrowers shall pay such Lender the amount shown as due on any such certificate within 10 days after receipt thereof.</w:t>
      </w:r>
    </w:p>
    <w:p>
      <w:pPr>
        <w:spacing w:after="0" w:line="164"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Section 2.16 </w:t>
      </w:r>
      <w:r>
        <w:rPr>
          <w:rFonts w:ascii="Arial" w:cs="Arial" w:eastAsia="Arial" w:hAnsi="Arial"/>
          <w:sz w:val="19"/>
          <w:szCs w:val="19"/>
          <w:u w:val="single" w:color="auto"/>
          <w:color w:val="auto"/>
        </w:rPr>
        <w:t>Taxes</w:t>
      </w:r>
      <w:r>
        <w:rPr>
          <w:rFonts w:ascii="Arial" w:cs="Arial" w:eastAsia="Arial" w:hAnsi="Arial"/>
          <w:sz w:val="19"/>
          <w:szCs w:val="19"/>
          <w:color w:val="auto"/>
        </w:rPr>
        <w:t xml:space="preserve">. (a) Any and all payments by or on account of any obligation of the Borrowers under any Loan Document shall be made free and clear of and without deduction or withholding for any Taxes, except as required by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Borrowers shall be increased as necessary so that after making such deduction or withholding (including such deductions and withholdings applicable to additional sums payable under this </w:t>
      </w:r>
      <w:r>
        <w:rPr>
          <w:rFonts w:ascii="Arial" w:cs="Arial" w:eastAsia="Arial" w:hAnsi="Arial"/>
          <w:sz w:val="19"/>
          <w:szCs w:val="19"/>
          <w:u w:val="single" w:color="auto"/>
          <w:color w:val="auto"/>
        </w:rPr>
        <w:t>Section 2.16</w:t>
      </w:r>
      <w:r>
        <w:rPr>
          <w:rFonts w:ascii="Arial" w:cs="Arial" w:eastAsia="Arial" w:hAnsi="Arial"/>
          <w:sz w:val="19"/>
          <w:szCs w:val="19"/>
          <w:color w:val="auto"/>
        </w:rPr>
        <w:t>) the Administrative Agent or Lender (as the case may be) receives an amount equal to the sum it would have received had no such deduction or withholding been made.</w:t>
      </w:r>
    </w:p>
    <w:p>
      <w:pPr>
        <w:spacing w:after="0" w:line="161" w:lineRule="exact"/>
        <w:rPr>
          <w:sz w:val="20"/>
          <w:szCs w:val="20"/>
          <w:color w:val="auto"/>
        </w:rPr>
      </w:pPr>
    </w:p>
    <w:p>
      <w:pPr>
        <w:jc w:val="both"/>
        <w:ind w:left="80" w:firstLine="1305"/>
        <w:spacing w:after="0" w:line="223" w:lineRule="auto"/>
        <w:tabs>
          <w:tab w:leader="none" w:pos="1926"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Borrowers shall (i) pay any Other Taxes to the relevant Governmental Authority in accordance with applicable law or (ii) at the option of the Administrative Agent, shall timely reimburse the Administrative Agent for any payment of such Other Taxes.</w:t>
      </w:r>
    </w:p>
    <w:p>
      <w:pPr>
        <w:spacing w:after="0" w:line="158" w:lineRule="exact"/>
        <w:rPr>
          <w:rFonts w:ascii="Arial" w:cs="Arial" w:eastAsia="Arial" w:hAnsi="Arial"/>
          <w:sz w:val="22"/>
          <w:szCs w:val="22"/>
          <w:color w:val="auto"/>
        </w:rPr>
      </w:pPr>
    </w:p>
    <w:p>
      <w:pPr>
        <w:jc w:val="both"/>
        <w:ind w:left="80" w:firstLine="1305"/>
        <w:spacing w:after="0"/>
        <w:tabs>
          <w:tab w:leader="none" w:pos="1927"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Borrowers shall indemnify the Administrative Agent and each Lender, within 10 days after demand therefor, for the full amount of any Indemnified Taxes paid by the Administrative Agent or such Lender, as the case may be, on or with respect to any payment by or on account of any obligation of the Borrowers hereunder (including Indemnified Taxes imposed or asserted on or attributable to amounts payable under this Section) and any penalties, interest and reasonable expenses arising therefrom or with respect thereto, other than any penalties resulting from the gross negligence, bad faith or willful misconduct of the Administrative Agent or Lender (as applicable) (as determined by a final, non-appealable judgment of a court of competent jurisdiction), whether or not such Indemnified Taxes were correctly or legally imposed or asserted by the relevant Governmental Authority; provided that if the Borrowers reasonably believe that such Taxes were not correctly or legally asserted, such Administrative Agent or Lender will use reasonable efforts to cooperate with the Borrowers to obtain a refund of such Taxes (which shall be repaid to the Borrowers in accordance with Section 2.16(g)) so long as such efforts would not result in any additional out-of-pocket costs or expenses not reimbursed by the Borrowers or be otherwise materially disadvantageous to such Administrative Agent or Lender; provided further that the Borrowers shall not be required to compensate any Administrative Agent or Lender pursuant to this Section 2.16 for any amounts to the extent that such Administrative Agent or Lender does not furnish notice of such possible indemnification claim within 180 days after such Administrative Agent or Lender receives notice from the applicable taxing authority of the specific tax assessment giving rise to such indemnification claim. A certificate setting forth in reasonable detail the basis and calculation of the amount of such payment or liability delivered to the Borrowers by a Lender (with a copy to the Administrative Agent), or by the Administrative Agent on its own behalf or on behalf of a Lender, shall be conclusive absent manifest error.</w:t>
      </w:r>
    </w:p>
    <w:p>
      <w:pPr>
        <w:sectPr>
          <w:pgSz w:w="11900" w:h="16838" w:orient="portrait"/>
          <w:cols w:equalWidth="0" w:num="1">
            <w:col w:w="11240"/>
          </w:cols>
          <w:pgMar w:left="320" w:top="1401" w:right="339" w:bottom="1440" w:gutter="0" w:footer="0" w:header="0"/>
        </w:sectPr>
      </w:pPr>
    </w:p>
    <w:bookmarkStart w:id="118" w:name="page119"/>
    <w:bookmarkEnd w:id="118"/>
    <w:p>
      <w:pPr>
        <w:jc w:val="both"/>
        <w:ind w:left="-1040" w:firstLine="1305"/>
        <w:spacing w:after="0" w:line="218" w:lineRule="auto"/>
        <w:tabs>
          <w:tab w:leader="none" w:pos="855" w:val="left"/>
        </w:tabs>
        <w:numPr>
          <w:ilvl w:val="1"/>
          <w:numId w:val="102"/>
        </w:numPr>
        <w:rPr>
          <w:rFonts w:ascii="Arial" w:cs="Arial" w:eastAsia="Arial" w:hAnsi="Arial"/>
          <w:sz w:val="22"/>
          <w:szCs w:val="22"/>
          <w:color w:val="auto"/>
        </w:rPr>
      </w:pPr>
      <w:r>
        <w:rPr>
          <w:rFonts w:ascii="Arial" w:cs="Arial" w:eastAsia="Arial" w:hAnsi="Arial"/>
          <w:sz w:val="22"/>
          <w:szCs w:val="22"/>
          <w:color w:val="auto"/>
        </w:rPr>
        <w:t>As soon as practicable after any payment of Indemnified Taxes or Other Taxes by the Borrowers to a Governmental Authority, the Borrowers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60" w:lineRule="exact"/>
        <w:rPr>
          <w:rFonts w:ascii="Arial" w:cs="Arial" w:eastAsia="Arial" w:hAnsi="Arial"/>
          <w:sz w:val="22"/>
          <w:szCs w:val="22"/>
          <w:color w:val="auto"/>
        </w:rPr>
      </w:pPr>
    </w:p>
    <w:p>
      <w:pPr>
        <w:jc w:val="both"/>
        <w:ind w:left="-1040" w:firstLine="1305"/>
        <w:spacing w:after="0" w:line="242" w:lineRule="auto"/>
        <w:tabs>
          <w:tab w:leader="none" w:pos="841" w:val="left"/>
        </w:tabs>
        <w:numPr>
          <w:ilvl w:val="1"/>
          <w:numId w:val="102"/>
        </w:numPr>
        <w:rPr>
          <w:rFonts w:ascii="Arial" w:cs="Arial" w:eastAsia="Arial" w:hAnsi="Arial"/>
          <w:sz w:val="19"/>
          <w:szCs w:val="19"/>
          <w:color w:val="auto"/>
        </w:rPr>
      </w:pPr>
      <w:r>
        <w:rPr>
          <w:rFonts w:ascii="Arial" w:cs="Arial" w:eastAsia="Arial" w:hAnsi="Arial"/>
          <w:sz w:val="19"/>
          <w:szCs w:val="19"/>
          <w:color w:val="auto"/>
        </w:rPr>
        <w:t xml:space="preserve">(i) Any Lender that is entitled to an exemption from, or reduction of, withholding Tax with respect to payments made under this Agreement or any other Loan Document shall 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Lender,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9"/>
          <w:szCs w:val="19"/>
          <w:u w:val="single" w:color="auto"/>
          <w:color w:val="auto"/>
        </w:rPr>
        <w:t>Section 2.16(e)(ii)</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2.16(e)(iii)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2.16(e)(v)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2.16(e)(vi)</w:t>
      </w:r>
      <w:r>
        <w:rPr>
          <w:rFonts w:ascii="Arial" w:cs="Arial" w:eastAsia="Arial" w:hAnsi="Arial"/>
          <w:sz w:val="19"/>
          <w:szCs w:val="19"/>
          <w:color w:val="auto"/>
        </w:rPr>
        <w:t>)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4" w:lineRule="exact"/>
        <w:rPr>
          <w:rFonts w:ascii="Arial" w:cs="Arial" w:eastAsia="Arial" w:hAnsi="Arial"/>
          <w:sz w:val="19"/>
          <w:szCs w:val="19"/>
          <w:color w:val="auto"/>
        </w:rPr>
      </w:pPr>
    </w:p>
    <w:p>
      <w:pPr>
        <w:jc w:val="both"/>
        <w:ind w:left="-460" w:firstLine="644"/>
        <w:spacing w:after="0" w:line="218" w:lineRule="auto"/>
        <w:tabs>
          <w:tab w:leader="none" w:pos="703"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Any Lender that is a U.S. Person shall deliver to the Borrowers and the Administrative Agent on or prior to the date on which such Lender becomes a Lender under this Agreement (and from time to time thereafter upon the reasonable request of the Borrowers or the Administrative Agent), executed copies of IRS Form W-9 certifying that such Lender is exempt from U.S. federal backup withholding Tax.</w:t>
      </w:r>
    </w:p>
    <w:p>
      <w:pPr>
        <w:spacing w:after="0" w:line="160" w:lineRule="exact"/>
        <w:rPr>
          <w:rFonts w:ascii="Arial" w:cs="Arial" w:eastAsia="Arial" w:hAnsi="Arial"/>
          <w:sz w:val="22"/>
          <w:szCs w:val="22"/>
          <w:color w:val="auto"/>
        </w:rPr>
      </w:pPr>
    </w:p>
    <w:p>
      <w:pPr>
        <w:jc w:val="both"/>
        <w:ind w:left="-460" w:firstLine="644"/>
        <w:spacing w:after="0" w:line="229" w:lineRule="auto"/>
        <w:tabs>
          <w:tab w:leader="none" w:pos="84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Any Foreign Lender shall, to the extent it is legally entitled to do so, deliver to the Borrowers and the Administrative Agent (in such number of copies as shall be requested by the recipient) on or prior to the date on which such Foreign Lender becomes a Lender under this Agreement (and from time to time thereafter upon the reasonable request of the Borrowers or the Administrative Agent), whichever of the following is applicable:</w:t>
      </w:r>
    </w:p>
    <w:p>
      <w:pPr>
        <w:spacing w:after="0" w:line="158" w:lineRule="exact"/>
        <w:rPr>
          <w:rFonts w:ascii="Arial" w:cs="Arial" w:eastAsia="Arial" w:hAnsi="Arial"/>
          <w:sz w:val="21"/>
          <w:szCs w:val="21"/>
          <w:color w:val="auto"/>
        </w:rPr>
      </w:pPr>
    </w:p>
    <w:p>
      <w:pPr>
        <w:jc w:val="both"/>
        <w:ind w:left="-460" w:firstLine="1292"/>
        <w:spacing w:after="0" w:line="222" w:lineRule="auto"/>
        <w:tabs>
          <w:tab w:leader="none" w:pos="1427" w:val="left"/>
        </w:tabs>
        <w:numPr>
          <w:ilvl w:val="2"/>
          <w:numId w:val="103"/>
        </w:numPr>
        <w:rPr>
          <w:rFonts w:ascii="Arial" w:cs="Arial" w:eastAsia="Arial" w:hAnsi="Arial"/>
          <w:sz w:val="21"/>
          <w:szCs w:val="21"/>
          <w:color w:val="auto"/>
        </w:rPr>
      </w:pPr>
      <w:r>
        <w:rPr>
          <w:rFonts w:ascii="Arial" w:cs="Arial" w:eastAsia="Arial" w:hAnsi="Arial"/>
          <w:sz w:val="21"/>
          <w:szCs w:val="21"/>
          <w:color w:val="auto"/>
        </w:rPr>
        <w:t>in the case of a Foreign Lender claiming the benefits of an income tax treaty to which the United States is a party, (x) with respect to payments of interest under this Agreement or any other Loan Document, executed copies of IRS Form W-8BEN or IRS Form W-8BEN-E, as applicable, establishing an exemption from, or reduction of, U.S. Federal withholding Tax pursuant to the “interest” article of such tax treaty and (y) with respect to any other applicable payments under this Agreement or any other Loan Document, IRS Form W-8BEN or IRS Form W-8BEN-E, as applicable, establishing an exemption from, or reduction of, U.S. Federal withholding Tax pursuant to the “business profits” or “other income” article of such tax treaty;</w:t>
      </w:r>
    </w:p>
    <w:p>
      <w:pPr>
        <w:spacing w:after="0" w:line="164" w:lineRule="exact"/>
        <w:rPr>
          <w:rFonts w:ascii="Arial" w:cs="Arial" w:eastAsia="Arial" w:hAnsi="Arial"/>
          <w:sz w:val="21"/>
          <w:szCs w:val="21"/>
          <w:color w:val="auto"/>
        </w:rPr>
      </w:pPr>
    </w:p>
    <w:p>
      <w:pPr>
        <w:ind w:left="1340" w:hanging="508"/>
        <w:spacing w:after="0"/>
        <w:tabs>
          <w:tab w:leader="none" w:pos="1340" w:val="left"/>
        </w:tabs>
        <w:numPr>
          <w:ilvl w:val="2"/>
          <w:numId w:val="103"/>
        </w:numPr>
        <w:rPr>
          <w:rFonts w:ascii="Arial" w:cs="Arial" w:eastAsia="Arial" w:hAnsi="Arial"/>
          <w:sz w:val="22"/>
          <w:szCs w:val="22"/>
          <w:color w:val="auto"/>
        </w:rPr>
      </w:pPr>
      <w:r>
        <w:rPr>
          <w:rFonts w:ascii="Arial" w:cs="Arial" w:eastAsia="Arial" w:hAnsi="Arial"/>
          <w:sz w:val="22"/>
          <w:szCs w:val="22"/>
          <w:color w:val="auto"/>
        </w:rPr>
        <w:t>executed copies of IRS Form W-8ECI;</w:t>
      </w:r>
    </w:p>
    <w:p>
      <w:pPr>
        <w:spacing w:after="0" w:line="179" w:lineRule="exact"/>
        <w:rPr>
          <w:rFonts w:ascii="Arial" w:cs="Arial" w:eastAsia="Arial" w:hAnsi="Arial"/>
          <w:sz w:val="22"/>
          <w:szCs w:val="22"/>
          <w:color w:val="auto"/>
        </w:rPr>
      </w:pPr>
    </w:p>
    <w:p>
      <w:pPr>
        <w:jc w:val="both"/>
        <w:ind w:left="-460" w:firstLine="1292"/>
        <w:spacing w:after="0" w:line="218" w:lineRule="auto"/>
        <w:tabs>
          <w:tab w:leader="none" w:pos="1412" w:val="left"/>
        </w:tabs>
        <w:numPr>
          <w:ilvl w:val="2"/>
          <w:numId w:val="103"/>
        </w:numPr>
        <w:rPr>
          <w:rFonts w:ascii="Arial" w:cs="Arial" w:eastAsia="Arial" w:hAnsi="Arial"/>
          <w:sz w:val="22"/>
          <w:szCs w:val="22"/>
          <w:color w:val="auto"/>
        </w:rPr>
      </w:pPr>
      <w:r>
        <w:rPr>
          <w:rFonts w:ascii="Arial" w:cs="Arial" w:eastAsia="Arial" w:hAnsi="Arial"/>
          <w:sz w:val="22"/>
          <w:szCs w:val="22"/>
          <w:color w:val="auto"/>
        </w:rPr>
        <w:t>in the case of a Foreign Lender claiming the benefits of the exemption for portfolio interest under Section 881(c) of the Code, (x) a certificate to the effect that such Foreign Lender is not (A) a “bank” within the meaning of Section 881(c)(3)(A) of the Code, (B) a “10 percent shareholder” of the Borrowers within the meaning of Section 881(c)(3)(B) of the Code, or (C) a “controlled foreign corporation”</w:t>
      </w:r>
    </w:p>
    <w:p>
      <w:pPr>
        <w:sectPr>
          <w:pgSz w:w="11900" w:h="16838" w:orient="portrait"/>
          <w:cols w:equalWidth="0" w:num="1">
            <w:col w:w="10120"/>
          </w:cols>
          <w:pgMar w:left="1440" w:top="1401" w:right="339" w:bottom="1440" w:gutter="0" w:footer="0" w:header="0"/>
        </w:sectPr>
      </w:pPr>
    </w:p>
    <w:bookmarkStart w:id="119" w:name="page120"/>
    <w:bookmarkEnd w:id="119"/>
    <w:p>
      <w:pPr>
        <w:spacing w:after="0" w:line="232" w:lineRule="auto"/>
        <w:rPr>
          <w:sz w:val="20"/>
          <w:szCs w:val="20"/>
          <w:color w:val="auto"/>
        </w:rPr>
      </w:pPr>
      <w:r>
        <w:rPr>
          <w:rFonts w:ascii="Arial" w:cs="Arial" w:eastAsia="Arial" w:hAnsi="Arial"/>
          <w:sz w:val="22"/>
          <w:szCs w:val="22"/>
          <w:color w:val="auto"/>
        </w:rPr>
        <w:t>described in Section 881(c)(3)(C) of the Code (a “</w:t>
      </w:r>
      <w:r>
        <w:rPr>
          <w:rFonts w:ascii="Arial" w:cs="Arial" w:eastAsia="Arial" w:hAnsi="Arial"/>
          <w:sz w:val="22"/>
          <w:szCs w:val="22"/>
          <w:u w:val="single" w:color="auto"/>
          <w:color w:val="auto"/>
        </w:rPr>
        <w:t>Portfolio Interest Certificate</w:t>
      </w:r>
      <w:r>
        <w:rPr>
          <w:rFonts w:ascii="Arial" w:cs="Arial" w:eastAsia="Arial" w:hAnsi="Arial"/>
          <w:sz w:val="22"/>
          <w:szCs w:val="22"/>
          <w:color w:val="auto"/>
        </w:rPr>
        <w:t>”) and (y) executed originals of IRS Form W-8BEN or IRS Form W-8BEN-E, as applicable; or</w:t>
      </w:r>
    </w:p>
    <w:p>
      <w:pPr>
        <w:spacing w:after="0" w:line="159" w:lineRule="exact"/>
        <w:rPr>
          <w:sz w:val="20"/>
          <w:szCs w:val="20"/>
          <w:color w:val="auto"/>
        </w:rPr>
      </w:pPr>
    </w:p>
    <w:p>
      <w:pPr>
        <w:jc w:val="both"/>
        <w:ind w:firstLine="1292"/>
        <w:spacing w:after="0" w:line="249" w:lineRule="auto"/>
        <w:tabs>
          <w:tab w:leader="none" w:pos="1837" w:val="left"/>
        </w:tabs>
        <w:numPr>
          <w:ilvl w:val="2"/>
          <w:numId w:val="104"/>
        </w:numPr>
        <w:rPr>
          <w:rFonts w:ascii="Arial" w:cs="Arial" w:eastAsia="Arial" w:hAnsi="Arial"/>
          <w:sz w:val="19"/>
          <w:szCs w:val="19"/>
          <w:color w:val="auto"/>
        </w:rPr>
      </w:pPr>
      <w:r>
        <w:rPr>
          <w:rFonts w:ascii="Arial" w:cs="Arial" w:eastAsia="Arial" w:hAnsi="Arial"/>
          <w:sz w:val="19"/>
          <w:szCs w:val="19"/>
          <w:color w:val="auto"/>
        </w:rPr>
        <w:t xml:space="preserve">to the extent a Foreign Lender is not the beneficial owner, executed originals of IRS Form W-8IMY, accompanied by IRS Form W-8ECI, IRS Form W-8BEN or IRS Form W-8BEN-E, as applicable, a Portfolio Interest Certificate in compliance with </w:t>
      </w:r>
      <w:r>
        <w:rPr>
          <w:rFonts w:ascii="Arial" w:cs="Arial" w:eastAsia="Arial" w:hAnsi="Arial"/>
          <w:sz w:val="19"/>
          <w:szCs w:val="19"/>
          <w:u w:val="single" w:color="auto"/>
          <w:color w:val="auto"/>
        </w:rPr>
        <w:t>Section 2.16(e)(iii)(C)</w:t>
      </w:r>
      <w:r>
        <w:rPr>
          <w:rFonts w:ascii="Arial" w:cs="Arial" w:eastAsia="Arial" w:hAnsi="Arial"/>
          <w:sz w:val="19"/>
          <w:szCs w:val="19"/>
          <w:color w:val="auto"/>
        </w:rPr>
        <w:t xml:space="preserve">, IRS Form W-9, and/or other certification documents from each beneficial owner,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Foreign Lender is a partnership and one or more direct or indirect partners of such Foreign Lender are claiming the portfolio interest exemption, such Foreign Lender may provide a Portfolio Interest Certificate in compliance with </w:t>
      </w:r>
      <w:r>
        <w:rPr>
          <w:rFonts w:ascii="Arial" w:cs="Arial" w:eastAsia="Arial" w:hAnsi="Arial"/>
          <w:sz w:val="19"/>
          <w:szCs w:val="19"/>
          <w:u w:val="single" w:color="auto"/>
          <w:color w:val="auto"/>
        </w:rPr>
        <w:t>Section 2.16(e)(iii)(C)</w:t>
      </w:r>
      <w:r>
        <w:rPr>
          <w:rFonts w:ascii="Arial" w:cs="Arial" w:eastAsia="Arial" w:hAnsi="Arial"/>
          <w:sz w:val="19"/>
          <w:szCs w:val="19"/>
          <w:color w:val="auto"/>
        </w:rPr>
        <w:t xml:space="preserve"> on behalf of each such direct or indirect partner.</w:t>
      </w:r>
    </w:p>
    <w:p>
      <w:pPr>
        <w:spacing w:after="0" w:line="151" w:lineRule="exact"/>
        <w:rPr>
          <w:rFonts w:ascii="Arial" w:cs="Arial" w:eastAsia="Arial" w:hAnsi="Arial"/>
          <w:sz w:val="19"/>
          <w:szCs w:val="19"/>
          <w:color w:val="auto"/>
        </w:rPr>
      </w:pPr>
    </w:p>
    <w:p>
      <w:pPr>
        <w:jc w:val="both"/>
        <w:ind w:firstLine="644"/>
        <w:spacing w:after="0" w:line="222" w:lineRule="auto"/>
        <w:tabs>
          <w:tab w:leader="none" w:pos="130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any Foreign Lender shall, to the extent it is legally entitled to do so, deliver to the Borrowers and the Administrative Agent (in such number of copies as shall be requested by the recipient) on or prior to the date on which such Foreign Lender becomes a Lender under this Agreement (and from time to time thereafter upon the reasonable request of the Borrowers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withholding or deduction required to be made.</w:t>
      </w:r>
    </w:p>
    <w:p>
      <w:pPr>
        <w:spacing w:after="0" w:line="164" w:lineRule="exact"/>
        <w:rPr>
          <w:rFonts w:ascii="Arial" w:cs="Arial" w:eastAsia="Arial" w:hAnsi="Arial"/>
          <w:sz w:val="21"/>
          <w:szCs w:val="21"/>
          <w:color w:val="auto"/>
        </w:rPr>
      </w:pPr>
    </w:p>
    <w:p>
      <w:pPr>
        <w:jc w:val="both"/>
        <w:ind w:firstLine="644"/>
        <w:spacing w:after="0" w:line="244" w:lineRule="auto"/>
        <w:tabs>
          <w:tab w:leader="none" w:pos="1147" w:val="left"/>
        </w:tabs>
        <w:numPr>
          <w:ilvl w:val="0"/>
          <w:numId w:val="105"/>
        </w:numPr>
        <w:rPr>
          <w:rFonts w:ascii="Arial" w:cs="Arial" w:eastAsia="Arial" w:hAnsi="Arial"/>
          <w:sz w:val="19"/>
          <w:szCs w:val="19"/>
          <w:color w:val="auto"/>
        </w:rPr>
      </w:pPr>
      <w:r>
        <w:rPr>
          <w:rFonts w:ascii="Arial" w:cs="Arial" w:eastAsia="Arial" w:hAnsi="Arial"/>
          <w:sz w:val="19"/>
          <w:szCs w:val="19"/>
          <w:color w:val="auto"/>
        </w:rPr>
        <w:t>If a payment made to a Lender under this Agreement or any other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the Borrowers or the Administrative Agent such documentation prescribed by applicable law (including as prescribed by Section 1471(b)(3)(C)(i) of the Code) and such other documentation reasonably requested by the Borrowers or the Administrative Agent as may be necessary for the Administrative Agent and the Borrowers to comply with their obligations under FATCA and to determine that such Lender has complied with such Lender’s obligations under FATCA or to determine the amount to deduct and withhold from such payment. Solely for purposes of this Section 2.16(e)(v), “FATCA” shall include any amendments made to FATCA after the date of this Agreement.</w:t>
      </w:r>
    </w:p>
    <w:p>
      <w:pPr>
        <w:spacing w:after="0" w:line="154" w:lineRule="exact"/>
        <w:rPr>
          <w:rFonts w:ascii="Arial" w:cs="Arial" w:eastAsia="Arial" w:hAnsi="Arial"/>
          <w:sz w:val="19"/>
          <w:szCs w:val="19"/>
          <w:color w:val="auto"/>
        </w:rPr>
      </w:pPr>
    </w:p>
    <w:p>
      <w:pPr>
        <w:jc w:val="both"/>
        <w:ind w:firstLine="644"/>
        <w:spacing w:after="0" w:line="223" w:lineRule="auto"/>
        <w:tabs>
          <w:tab w:leader="none" w:pos="1212" w:val="left"/>
        </w:tabs>
        <w:numPr>
          <w:ilvl w:val="0"/>
          <w:numId w:val="105"/>
        </w:numPr>
        <w:rPr>
          <w:rFonts w:ascii="Arial" w:cs="Arial" w:eastAsia="Arial" w:hAnsi="Arial"/>
          <w:sz w:val="22"/>
          <w:szCs w:val="22"/>
          <w:color w:val="auto"/>
        </w:rPr>
      </w:pPr>
      <w:r>
        <w:rPr>
          <w:rFonts w:ascii="Arial" w:cs="Arial" w:eastAsia="Arial" w:hAnsi="Arial"/>
          <w:sz w:val="22"/>
          <w:szCs w:val="22"/>
          <w:color w:val="auto"/>
        </w:rPr>
        <w:t>Each Lender agrees that if any form, certification or other documentation it previously delivered expires or becomes obsolete or inaccurate in any respect, it shall update such form or certification or promptly notify the Borrowers and the Administrative Agent in writing of its legal inability to do so.</w:t>
      </w:r>
    </w:p>
    <w:p>
      <w:pPr>
        <w:spacing w:after="0" w:line="158" w:lineRule="exact"/>
        <w:rPr>
          <w:rFonts w:ascii="Arial" w:cs="Arial" w:eastAsia="Arial" w:hAnsi="Arial"/>
          <w:sz w:val="22"/>
          <w:szCs w:val="22"/>
          <w:color w:val="auto"/>
        </w:rPr>
      </w:pPr>
    </w:p>
    <w:p>
      <w:pPr>
        <w:jc w:val="both"/>
        <w:ind w:left="-580" w:firstLine="1305"/>
        <w:spacing w:after="0" w:line="221" w:lineRule="auto"/>
        <w:tabs>
          <w:tab w:leader="none" w:pos="1150" w:val="left"/>
        </w:tabs>
        <w:numPr>
          <w:ilvl w:val="1"/>
          <w:numId w:val="105"/>
        </w:numPr>
        <w:rPr>
          <w:rFonts w:ascii="Arial" w:cs="Arial" w:eastAsia="Arial" w:hAnsi="Arial"/>
          <w:sz w:val="21"/>
          <w:szCs w:val="21"/>
          <w:color w:val="auto"/>
        </w:rPr>
      </w:pPr>
      <w:r>
        <w:rPr>
          <w:rFonts w:ascii="Arial" w:cs="Arial" w:eastAsia="Arial" w:hAnsi="Arial"/>
          <w:sz w:val="21"/>
          <w:szCs w:val="21"/>
          <w:color w:val="auto"/>
        </w:rPr>
        <w:t xml:space="preserve">Each Lender shall severally indemnify the Administrative Agent, within 10 days after demand thereof,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Arial" w:cs="Arial" w:eastAsia="Arial" w:hAnsi="Arial"/>
          <w:sz w:val="21"/>
          <w:szCs w:val="21"/>
          <w:u w:val="single" w:color="auto"/>
          <w:color w:val="auto"/>
        </w:rPr>
        <w:t>Section 10.4(c)</w:t>
      </w:r>
      <w:r>
        <w:rPr>
          <w:rFonts w:ascii="Arial" w:cs="Arial" w:eastAsia="Arial" w:hAnsi="Arial"/>
          <w:sz w:val="21"/>
          <w:szCs w:val="21"/>
          <w:color w:val="auto"/>
        </w:rPr>
        <w:t xml:space="preserve"> relating to the maintenance of a Participant Register and (iii) any Excluded Taxes attributable to such Lender, in each case that are payable or paid by the Administrative Agent in connection with this Agreement or any other Loan Document and any reasonable expenses arising therefrom or with respect thereto, whether or not such Taxes were correctly or legally imposed or asserted by the relevant Governmental Authority. A certificate as to the amount of such</w:t>
      </w:r>
    </w:p>
    <w:p>
      <w:pPr>
        <w:sectPr>
          <w:pgSz w:w="11900" w:h="16838" w:orient="portrait"/>
          <w:cols w:equalWidth="0" w:num="1">
            <w:col w:w="10580"/>
          </w:cols>
          <w:pgMar w:left="980" w:top="1401" w:right="339" w:bottom="1440" w:gutter="0" w:footer="0" w:header="0"/>
        </w:sectPr>
      </w:pPr>
    </w:p>
    <w:bookmarkStart w:id="120" w:name="page121"/>
    <w:bookmarkEnd w:id="120"/>
    <w:p>
      <w:pPr>
        <w:jc w:val="both"/>
        <w:ind w:left="80"/>
        <w:spacing w:after="0" w:line="224" w:lineRule="auto"/>
        <w:rPr>
          <w:sz w:val="20"/>
          <w:szCs w:val="20"/>
          <w:color w:val="auto"/>
        </w:rPr>
      </w:pPr>
      <w:r>
        <w:rPr>
          <w:rFonts w:ascii="Arial" w:cs="Arial" w:eastAsia="Arial" w:hAnsi="Arial"/>
          <w:sz w:val="21"/>
          <w:szCs w:val="21"/>
          <w:color w:val="auto"/>
        </w:rPr>
        <w:t xml:space="preserve">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or otherwise payable by the Administrative Agent to such Lender from any other source against any amount due to the Administrative Agent under this paragraph. Each Lender hereby authorizes the Administrative Agent to deliver to the Borrowers and to any successor Administrative Agent any documentation provided by the Lender to the Administrative Agent pursuant to this </w:t>
      </w:r>
      <w:r>
        <w:rPr>
          <w:rFonts w:ascii="Arial" w:cs="Arial" w:eastAsia="Arial" w:hAnsi="Arial"/>
          <w:sz w:val="21"/>
          <w:szCs w:val="21"/>
          <w:u w:val="single" w:color="auto"/>
          <w:color w:val="auto"/>
        </w:rPr>
        <w:t>Section 2.16</w:t>
      </w:r>
      <w:r>
        <w:rPr>
          <w:rFonts w:ascii="Arial" w:cs="Arial" w:eastAsia="Arial" w:hAnsi="Arial"/>
          <w:sz w:val="21"/>
          <w:szCs w:val="21"/>
          <w:color w:val="auto"/>
        </w:rPr>
        <w:t>.</w:t>
      </w:r>
    </w:p>
    <w:p>
      <w:pPr>
        <w:spacing w:after="0" w:line="160" w:lineRule="exact"/>
        <w:rPr>
          <w:sz w:val="20"/>
          <w:szCs w:val="20"/>
          <w:color w:val="auto"/>
        </w:rPr>
      </w:pPr>
    </w:p>
    <w:p>
      <w:pPr>
        <w:jc w:val="both"/>
        <w:ind w:left="80" w:firstLine="1305"/>
        <w:spacing w:after="0" w:line="241" w:lineRule="auto"/>
        <w:tabs>
          <w:tab w:leader="none" w:pos="1896" w:val="left"/>
        </w:tabs>
        <w:numPr>
          <w:ilvl w:val="0"/>
          <w:numId w:val="106"/>
        </w:numPr>
        <w:rPr>
          <w:rFonts w:ascii="Arial" w:cs="Arial" w:eastAsia="Arial" w:hAnsi="Arial"/>
          <w:sz w:val="19"/>
          <w:szCs w:val="19"/>
          <w:color w:val="auto"/>
        </w:rPr>
      </w:pPr>
      <w:r>
        <w:rPr>
          <w:rFonts w:ascii="Arial" w:cs="Arial" w:eastAsia="Arial" w:hAnsi="Arial"/>
          <w:sz w:val="19"/>
          <w:szCs w:val="19"/>
          <w:color w:val="auto"/>
        </w:rPr>
        <w:t>If any Lender or the Administrative Agent determines, in its sole discretion exercised in good faith, that it has received a refund of any Taxes as to which it has been indemnified pursuant to this Section 2.16 (including by the payment of additional amounts pursuant to this Section 2.16), it shall pay to the indemnifying party an amount equal to such refund (but only to the extent of indemnity payments made under this Section 2.16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the Lender or the Administrative Agent, shall repay to such the Lender or the Administrative Agent the amount paid over pursuant to this paragraph (g) (plus any penalties, interest or other charges imposed by the relevant Governmental Authority) in the event that such Lender or the Administrative Agent is required to repay such refund to such Governmental Authority. Notwithstanding anything to the contrary in this paragraph (g), in no event will the Lender or the Administrative Agent be required to pay any amount to an indemnifying party pursuant to this paragraph (g) the payment of which would place the Lender or the Administrative Agent in a less favorable net after-Tax position than the Lender or the Administrative Agent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Lender or the Administrative Agent to make available its Tax returns (or any other information relating to its Taxes that it deems confidential) to the indemnifying party or any other Person.</w:t>
      </w:r>
    </w:p>
    <w:p>
      <w:pPr>
        <w:spacing w:after="0" w:line="161" w:lineRule="exact"/>
        <w:rPr>
          <w:rFonts w:ascii="Arial" w:cs="Arial" w:eastAsia="Arial" w:hAnsi="Arial"/>
          <w:sz w:val="19"/>
          <w:szCs w:val="19"/>
          <w:color w:val="auto"/>
        </w:rPr>
      </w:pPr>
    </w:p>
    <w:p>
      <w:pPr>
        <w:ind w:left="80" w:firstLine="1305"/>
        <w:spacing w:after="0" w:line="232" w:lineRule="auto"/>
        <w:tabs>
          <w:tab w:leader="none" w:pos="1915"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For purposes of this </w:t>
      </w:r>
      <w:r>
        <w:rPr>
          <w:rFonts w:ascii="Arial" w:cs="Arial" w:eastAsia="Arial" w:hAnsi="Arial"/>
          <w:sz w:val="22"/>
          <w:szCs w:val="22"/>
          <w:u w:val="single" w:color="auto"/>
          <w:color w:val="auto"/>
        </w:rPr>
        <w:t>Section 2.16</w:t>
      </w:r>
      <w:r>
        <w:rPr>
          <w:rFonts w:ascii="Arial" w:cs="Arial" w:eastAsia="Arial" w:hAnsi="Arial"/>
          <w:sz w:val="22"/>
          <w:szCs w:val="22"/>
          <w:color w:val="auto"/>
        </w:rPr>
        <w:t>, the term “Lender” includes any Issuing Bank and the term “applicable law” includes FATCA.</w:t>
      </w:r>
    </w:p>
    <w:p>
      <w:pPr>
        <w:spacing w:after="0" w:line="158" w:lineRule="exact"/>
        <w:rPr>
          <w:rFonts w:ascii="Arial" w:cs="Arial" w:eastAsia="Arial" w:hAnsi="Arial"/>
          <w:sz w:val="22"/>
          <w:szCs w:val="22"/>
          <w:color w:val="auto"/>
        </w:rPr>
      </w:pPr>
    </w:p>
    <w:p>
      <w:pPr>
        <w:jc w:val="both"/>
        <w:ind w:left="80" w:firstLine="1305"/>
        <w:spacing w:after="0" w:line="268" w:lineRule="auto"/>
        <w:tabs>
          <w:tab w:leader="none" w:pos="2001"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Each party’s obligations under this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this Agreement and the other Loan Documents.</w:t>
      </w:r>
    </w:p>
    <w:p>
      <w:pPr>
        <w:spacing w:after="0" w:line="132"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 xml:space="preserve">Section 2.17 </w:t>
      </w:r>
      <w:r>
        <w:rPr>
          <w:rFonts w:ascii="Arial" w:cs="Arial" w:eastAsia="Arial" w:hAnsi="Arial"/>
          <w:sz w:val="19"/>
          <w:szCs w:val="19"/>
          <w:u w:val="single" w:color="auto"/>
          <w:color w:val="auto"/>
        </w:rPr>
        <w:t>Payments Generally; Pro Rata Treatment; Sharing of Set-offs</w:t>
      </w:r>
      <w:r>
        <w:rPr>
          <w:rFonts w:ascii="Arial" w:cs="Arial" w:eastAsia="Arial" w:hAnsi="Arial"/>
          <w:sz w:val="19"/>
          <w:szCs w:val="19"/>
          <w:color w:val="auto"/>
        </w:rPr>
        <w:t xml:space="preserve">. (a) The Borrowers shall make each payment required to be made by them hereunder (whether of principal, interest, fees, reimbursements under Letters of Credit, or of amounts payable under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or otherwise) prior to 2:00 p.m., New York City time, on the date when due, in immediately available funds, without set off or counterclaim.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Agent, except that payments pursuant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or performance hereunder shall be due on a day that is not a Business Day, the date for payment or performance shall be extended to the next succeeding Business Day, and, in the case of any</w:t>
      </w:r>
    </w:p>
    <w:p>
      <w:pPr>
        <w:sectPr>
          <w:pgSz w:w="11900" w:h="16838" w:orient="portrait"/>
          <w:cols w:equalWidth="0" w:num="1">
            <w:col w:w="11240"/>
          </w:cols>
          <w:pgMar w:left="320" w:top="1401" w:right="339" w:bottom="1440" w:gutter="0" w:footer="0" w:header="0"/>
        </w:sectPr>
      </w:pPr>
    </w:p>
    <w:bookmarkStart w:id="121" w:name="page122"/>
    <w:bookmarkEnd w:id="121"/>
    <w:p>
      <w:pPr>
        <w:spacing w:after="0" w:line="232" w:lineRule="auto"/>
        <w:rPr>
          <w:sz w:val="20"/>
          <w:szCs w:val="20"/>
          <w:color w:val="auto"/>
        </w:rPr>
      </w:pPr>
      <w:r>
        <w:rPr>
          <w:rFonts w:ascii="Arial" w:cs="Arial" w:eastAsia="Arial" w:hAnsi="Arial"/>
          <w:sz w:val="22"/>
          <w:szCs w:val="22"/>
          <w:color w:val="auto"/>
        </w:rPr>
        <w:t>payment accruing interest, interest thereon shall be payable for the period of such extension. All payments hereunder shall be made in dollars.</w:t>
      </w:r>
    </w:p>
    <w:p>
      <w:pPr>
        <w:spacing w:after="0" w:line="159" w:lineRule="exact"/>
        <w:rPr>
          <w:sz w:val="20"/>
          <w:szCs w:val="20"/>
          <w:color w:val="auto"/>
        </w:rPr>
      </w:pPr>
    </w:p>
    <w:p>
      <w:pPr>
        <w:jc w:val="both"/>
        <w:ind w:left="80" w:firstLine="1305"/>
        <w:spacing w:after="0" w:line="249" w:lineRule="auto"/>
        <w:tabs>
          <w:tab w:leader="none" w:pos="1902" w:val="left"/>
        </w:tabs>
        <w:numPr>
          <w:ilvl w:val="0"/>
          <w:numId w:val="107"/>
        </w:numPr>
        <w:rPr>
          <w:rFonts w:ascii="Arial" w:cs="Arial" w:eastAsia="Arial" w:hAnsi="Arial"/>
          <w:sz w:val="19"/>
          <w:szCs w:val="19"/>
          <w:color w:val="auto"/>
        </w:rPr>
      </w:pPr>
      <w:r>
        <w:rPr>
          <w:rFonts w:ascii="Arial" w:cs="Arial" w:eastAsia="Arial" w:hAnsi="Arial"/>
          <w:sz w:val="19"/>
          <w:szCs w:val="19"/>
          <w:color w:val="auto"/>
        </w:rPr>
        <w:t>If at any time insufficient funds are received by and available to the Administrative Agent to pay fully all amounts of principal, unreimbursed drawings under Letters of Credit,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drawings under Letters of Credit then due hereunder, ratably among the parties entitled thereto in accordance with the amounts of principal and unreimbursed drawings under Letters of Credit then due to such parties.</w:t>
      </w:r>
    </w:p>
    <w:p>
      <w:pPr>
        <w:spacing w:after="0" w:line="151" w:lineRule="exact"/>
        <w:rPr>
          <w:rFonts w:ascii="Arial" w:cs="Arial" w:eastAsia="Arial" w:hAnsi="Arial"/>
          <w:sz w:val="19"/>
          <w:szCs w:val="19"/>
          <w:color w:val="auto"/>
        </w:rPr>
      </w:pPr>
    </w:p>
    <w:p>
      <w:pPr>
        <w:jc w:val="both"/>
        <w:ind w:left="80" w:firstLine="1305"/>
        <w:spacing w:after="0"/>
        <w:tabs>
          <w:tab w:leader="none" w:pos="1951"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If any Lender shall, by exercising any right of set off or counterclaim or otherwise, obtain payment in respect of any principal of or interest on any of its Loans or participations in drawings under Letters of Credit resulting in such Lender receiving payment of a greater proportion of the aggregate amount of its Loans and participations in drawings under Letters of Credit and accrued interest thereon than the proportion received by any other Lender, then the Lender receiving such greater proportion shall purchase (for cash at face value) participations in the Loans and participations in drawings under Letters of Credit of other Lenders to the extent necessary so that the benefit of all such payments shall be shared by the Lenders ratably in accordance with the aggregate amount of principal of and accrued interest on their respective Loans and participations in drawings under Letters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(for the avoidance of doubt, as in effect from time to time) (including the application of funds arising from the existence of a Defaulting Lender) or any payment obtained by a Lender as consideration for the assignment of or sale of a participation in any of its Loans or participations in drawings under Letters of Credit to any assignee or participant, other than to the Borrowers or any Subsidiary or Affiliate thereof (as to which the provisions of this paragraph shall apply). The Borrowers consent to the foregoing and agree, to the extent they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Borrowers in the amount of such participation.</w:t>
      </w:r>
    </w:p>
    <w:p>
      <w:pPr>
        <w:spacing w:after="0" w:line="171" w:lineRule="exact"/>
        <w:rPr>
          <w:rFonts w:ascii="Arial" w:cs="Arial" w:eastAsia="Arial" w:hAnsi="Arial"/>
          <w:sz w:val="19"/>
          <w:szCs w:val="19"/>
          <w:color w:val="auto"/>
        </w:rPr>
      </w:pPr>
    </w:p>
    <w:p>
      <w:pPr>
        <w:jc w:val="both"/>
        <w:ind w:left="80" w:firstLine="1305"/>
        <w:spacing w:after="0" w:line="244" w:lineRule="auto"/>
        <w:tabs>
          <w:tab w:leader="none" w:pos="1893" w:val="left"/>
        </w:tabs>
        <w:numPr>
          <w:ilvl w:val="0"/>
          <w:numId w:val="107"/>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the Borrowers prior to the date on which any payment is due to the Administrative Agent for the account of the Lenders or Issuing Banks hereunder that the Borrowers will not make such payment, the Administrative Agent may assume that the Borrowers has made such payment on such date in accordance herewith and may, in reliance upon such assumption, distribute to the Lenders or Issuing Banks the amount due. In such event, if the Borrowers have not in fact made such payment, then each of the Lenders or Issuing Banks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spacing w:after="0" w:line="160" w:lineRule="exact"/>
        <w:rPr>
          <w:rFonts w:ascii="Arial" w:cs="Arial" w:eastAsia="Arial" w:hAnsi="Arial"/>
          <w:sz w:val="19"/>
          <w:szCs w:val="19"/>
          <w:color w:val="auto"/>
        </w:rPr>
      </w:pPr>
    </w:p>
    <w:p>
      <w:pPr>
        <w:jc w:val="both"/>
        <w:ind w:left="80" w:firstLine="1305"/>
        <w:spacing w:after="0" w:line="234" w:lineRule="auto"/>
        <w:tabs>
          <w:tab w:leader="none" w:pos="1873" w:val="left"/>
        </w:tabs>
        <w:numPr>
          <w:ilvl w:val="0"/>
          <w:numId w:val="107"/>
        </w:numPr>
        <w:rPr>
          <w:rFonts w:ascii="Arial" w:cs="Arial" w:eastAsia="Arial" w:hAnsi="Arial"/>
          <w:sz w:val="21"/>
          <w:szCs w:val="21"/>
          <w:color w:val="auto"/>
        </w:rPr>
      </w:pPr>
      <w:r>
        <w:rPr>
          <w:rFonts w:ascii="Arial" w:cs="Arial" w:eastAsia="Arial" w:hAnsi="Arial"/>
          <w:sz w:val="21"/>
          <w:szCs w:val="21"/>
          <w:color w:val="auto"/>
        </w:rPr>
        <w:t xml:space="preserve">If any Lender shall fail to make any payment required to be made by it pursuant to </w:t>
      </w:r>
      <w:r>
        <w:rPr>
          <w:rFonts w:ascii="Arial" w:cs="Arial" w:eastAsia="Arial" w:hAnsi="Arial"/>
          <w:sz w:val="21"/>
          <w:szCs w:val="21"/>
          <w:u w:val="single" w:color="auto"/>
          <w:color w:val="auto"/>
        </w:rPr>
        <w:t>Section 2.4(d)</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2.6(b)</w:t>
      </w:r>
      <w:r>
        <w:rPr>
          <w:rFonts w:ascii="Arial" w:cs="Arial" w:eastAsia="Arial" w:hAnsi="Arial"/>
          <w:sz w:val="21"/>
          <w:szCs w:val="21"/>
          <w:color w:val="auto"/>
        </w:rPr>
        <w:t xml:space="preserve"> or paragraph (d) of this Section, then the Administrative Agent may, in its discretion (notwithstanding any contrary provision hereof), apply any amounts thereafter received by the Administrative Agent for the account of such</w:t>
      </w:r>
    </w:p>
    <w:p>
      <w:pPr>
        <w:sectPr>
          <w:pgSz w:w="11900" w:h="16838" w:orient="portrait"/>
          <w:cols w:equalWidth="0" w:num="1">
            <w:col w:w="11240"/>
          </w:cols>
          <w:pgMar w:left="320" w:top="1401" w:right="339" w:bottom="1440" w:gutter="0" w:footer="0" w:header="0"/>
        </w:sectPr>
      </w:pPr>
    </w:p>
    <w:bookmarkStart w:id="122" w:name="page123"/>
    <w:bookmarkEnd w:id="122"/>
    <w:p>
      <w:pPr>
        <w:ind w:left="80"/>
        <w:spacing w:after="0"/>
        <w:rPr>
          <w:sz w:val="20"/>
          <w:szCs w:val="20"/>
          <w:color w:val="auto"/>
        </w:rPr>
      </w:pPr>
      <w:r>
        <w:rPr>
          <w:rFonts w:ascii="Arial" w:cs="Arial" w:eastAsia="Arial" w:hAnsi="Arial"/>
          <w:sz w:val="22"/>
          <w:szCs w:val="22"/>
          <w:color w:val="auto"/>
        </w:rPr>
        <w:t>Lender to satisfy such Lender’s obligations under such Sections until all such unsatisfied obligations are fully paid.</w:t>
      </w:r>
    </w:p>
    <w:p>
      <w:pPr>
        <w:spacing w:after="0" w:line="17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Section 2.18 </w:t>
      </w:r>
      <w:r>
        <w:rPr>
          <w:rFonts w:ascii="Arial" w:cs="Arial" w:eastAsia="Arial" w:hAnsi="Arial"/>
          <w:sz w:val="19"/>
          <w:szCs w:val="19"/>
          <w:u w:val="single" w:color="auto"/>
          <w:color w:val="auto"/>
        </w:rPr>
        <w:t>Mitigation Obligations; Replacement of Lenders</w:t>
      </w:r>
      <w:r>
        <w:rPr>
          <w:rFonts w:ascii="Arial" w:cs="Arial" w:eastAsia="Arial" w:hAnsi="Arial"/>
          <w:sz w:val="19"/>
          <w:szCs w:val="19"/>
          <w:color w:val="auto"/>
        </w:rPr>
        <w:t xml:space="preserve">. (a) If any Lender (which term shall include any Issuing Bank for purposes of this </w:t>
      </w:r>
      <w:r>
        <w:rPr>
          <w:rFonts w:ascii="Arial" w:cs="Arial" w:eastAsia="Arial" w:hAnsi="Arial"/>
          <w:sz w:val="19"/>
          <w:szCs w:val="19"/>
          <w:u w:val="single" w:color="auto"/>
          <w:color w:val="auto"/>
        </w:rPr>
        <w:t>Section 2.18(a)</w:t>
      </w:r>
      <w:r>
        <w:rPr>
          <w:rFonts w:ascii="Arial" w:cs="Arial" w:eastAsia="Arial" w:hAnsi="Arial"/>
          <w:sz w:val="19"/>
          <w:szCs w:val="19"/>
          <w:color w:val="auto"/>
        </w:rPr>
        <w:t xml:space="preserve">) requests compensation under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if the Borrowers are required to pay any Indemnified Taxes or additional amounts to any Lender or any Governmental Authority for the account of any Lender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2.16</w:t>
      </w:r>
      <w:r>
        <w:rPr>
          <w:rFonts w:ascii="Arial" w:cs="Arial" w:eastAsia="Arial" w:hAnsi="Arial"/>
          <w:sz w:val="19"/>
          <w:szCs w:val="19"/>
          <w:color w:val="auto"/>
        </w:rPr>
        <w:t>,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161" w:lineRule="exact"/>
        <w:rPr>
          <w:sz w:val="20"/>
          <w:szCs w:val="20"/>
          <w:color w:val="auto"/>
        </w:rPr>
      </w:pPr>
    </w:p>
    <w:p>
      <w:pPr>
        <w:jc w:val="both"/>
        <w:ind w:left="80" w:firstLine="1305"/>
        <w:spacing w:after="0" w:line="238" w:lineRule="auto"/>
        <w:tabs>
          <w:tab w:leader="none" w:pos="1881" w:val="left"/>
        </w:tabs>
        <w:numPr>
          <w:ilvl w:val="1"/>
          <w:numId w:val="108"/>
        </w:numPr>
        <w:rPr>
          <w:rFonts w:ascii="Arial" w:cs="Arial" w:eastAsia="Arial" w:hAnsi="Arial"/>
          <w:sz w:val="19"/>
          <w:szCs w:val="19"/>
          <w:color w:val="auto"/>
        </w:rPr>
      </w:pPr>
      <w:r>
        <w:rPr>
          <w:rFonts w:ascii="Arial" w:cs="Arial" w:eastAsia="Arial" w:hAnsi="Arial"/>
          <w:sz w:val="19"/>
          <w:szCs w:val="19"/>
          <w:color w:val="auto"/>
        </w:rPr>
        <w:t xml:space="preserve">If (i) any Lender (which term shall include any Issuing Bank for purposes of this </w:t>
      </w:r>
      <w:r>
        <w:rPr>
          <w:rFonts w:ascii="Arial" w:cs="Arial" w:eastAsia="Arial" w:hAnsi="Arial"/>
          <w:sz w:val="19"/>
          <w:szCs w:val="19"/>
          <w:u w:val="single" w:color="auto"/>
          <w:color w:val="auto"/>
        </w:rPr>
        <w:t>Section 2.18(b)</w:t>
      </w:r>
      <w:r>
        <w:rPr>
          <w:rFonts w:ascii="Arial" w:cs="Arial" w:eastAsia="Arial" w:hAnsi="Arial"/>
          <w:sz w:val="19"/>
          <w:szCs w:val="19"/>
          <w:color w:val="auto"/>
        </w:rPr>
        <w:t xml:space="preserve">) requests compensation under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(ii) the Borrowers are required to pay any Indemnified Taxes or additional amounts to any Lender or any Governmental Authority for the account of any Lender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(iii) any Lender is a Defaulting Lender or a Non-Consenting Lender or (iv) any Lender is a Declining Lender under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then the Borrowers may, at their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all its interests, rights and obligations under this Agreement and the other Loan Documents to an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Borrowers shall have received the prior written consent of the Administrative Agent to the extent the Administrative Agent’s consent would be required under Section 10.4(b) for an assignment of Loans or Commitments, which consent shall not unreasonably be withheld, (ii) such Lender shall have received payment of an amount equal to the outstanding principal of its Loans, accrued interest thereon, accrued fees and all other amounts payable to it hereunder and under the other Loan Documents, from the assignee (to the extent of such outstanding principal and accrued interest and fees) or the Borrowers (in the case of all other amounts), (iii) in the case of any such assignment resulting from a claim for compensation under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such assignment will result in a reduction in such compensation or payments, (iv) such assignment does not conflict with applicable law and (v) in the case of any assignment resulting from a Lender becoming a Non-Consenting Lender,</w:t>
      </w:r>
    </w:p>
    <w:p>
      <w:pPr>
        <w:spacing w:after="0" w:line="7" w:lineRule="exact"/>
        <w:rPr>
          <w:rFonts w:ascii="Arial" w:cs="Arial" w:eastAsia="Arial" w:hAnsi="Arial"/>
          <w:sz w:val="19"/>
          <w:szCs w:val="19"/>
          <w:color w:val="auto"/>
        </w:rPr>
      </w:pPr>
    </w:p>
    <w:p>
      <w:pPr>
        <w:jc w:val="both"/>
        <w:ind w:left="80" w:firstLine="9"/>
        <w:spacing w:after="0" w:line="212" w:lineRule="auto"/>
        <w:tabs>
          <w:tab w:leader="none" w:pos="391"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applicable assignee shall have consented to, or shall consent to, the applicable amendment, waiver or consent and (y) the Borrowers exercise their rights pursuant to this clause (b) with respect to all Non-Consenting Lenders relating to the applicable amendment, waiver or consent. A Lender shall not be required to make any such assignment or delegation if, prior thereto, as a result of a waiver or consent by such Lender or otherwise, the circumstances entitling the Borrowers to require such assignment and delegation have ceased to apply.</w:t>
      </w:r>
    </w:p>
    <w:p>
      <w:pPr>
        <w:spacing w:after="0" w:line="160" w:lineRule="exact"/>
        <w:rPr>
          <w:rFonts w:ascii="Arial" w:cs="Arial" w:eastAsia="Arial" w:hAnsi="Arial"/>
          <w:sz w:val="22"/>
          <w:szCs w:val="22"/>
          <w:color w:val="auto"/>
        </w:rPr>
      </w:pPr>
    </w:p>
    <w:p>
      <w:pPr>
        <w:jc w:val="both"/>
        <w:ind w:left="80" w:firstLine="1305"/>
        <w:spacing w:after="0" w:line="234" w:lineRule="auto"/>
        <w:tabs>
          <w:tab w:leader="none" w:pos="1943" w:val="left"/>
        </w:tabs>
        <w:numPr>
          <w:ilvl w:val="1"/>
          <w:numId w:val="109"/>
        </w:numPr>
        <w:rPr>
          <w:rFonts w:ascii="Arial" w:cs="Arial" w:eastAsia="Arial" w:hAnsi="Arial"/>
          <w:sz w:val="21"/>
          <w:szCs w:val="21"/>
          <w:color w:val="auto"/>
        </w:rPr>
      </w:pPr>
      <w:r>
        <w:rPr>
          <w:rFonts w:ascii="Arial" w:cs="Arial" w:eastAsia="Arial" w:hAnsi="Arial"/>
          <w:sz w:val="21"/>
          <w:szCs w:val="21"/>
          <w:color w:val="auto"/>
        </w:rPr>
        <w:t>Each party hereto agrees that an assignment and delegation required pursuant to this paragraph may be effected pursuant to an Assignment and Assumption executed by the Borrowers, the Administrative Agent and the assignee and that the Lender required to make such assignment and delegation need not be a party thereto.</w:t>
      </w:r>
    </w:p>
    <w:p>
      <w:pPr>
        <w:spacing w:after="0" w:line="158"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 xml:space="preserve">Section 2.19 </w:t>
      </w:r>
      <w:r>
        <w:rPr>
          <w:rFonts w:ascii="Arial" w:cs="Arial" w:eastAsia="Arial" w:hAnsi="Arial"/>
          <w:sz w:val="19"/>
          <w:szCs w:val="19"/>
          <w:u w:val="single" w:color="auto"/>
          <w:color w:val="auto"/>
        </w:rPr>
        <w:t>Increase in the Aggregate Commitments</w:t>
      </w:r>
      <w:r>
        <w:rPr>
          <w:rFonts w:ascii="Arial" w:cs="Arial" w:eastAsia="Arial" w:hAnsi="Arial"/>
          <w:sz w:val="19"/>
          <w:szCs w:val="19"/>
          <w:color w:val="auto"/>
        </w:rPr>
        <w:t>. (a) The Borrowers may, from time to time, by notice to the Administrative Agent, request that the aggregate amount of the Commitments be increased by a minimum amount equal to $10,000,000 or an integral multiple of $5,000,000 in excess thereof (each a “</w:t>
      </w:r>
      <w:r>
        <w:rPr>
          <w:rFonts w:ascii="Arial" w:cs="Arial" w:eastAsia="Arial" w:hAnsi="Arial"/>
          <w:sz w:val="19"/>
          <w:szCs w:val="19"/>
          <w:u w:val="single" w:color="auto"/>
          <w:color w:val="auto"/>
        </w:rPr>
        <w:t>Commitment Increase</w:t>
      </w:r>
      <w:r>
        <w:rPr>
          <w:rFonts w:ascii="Arial" w:cs="Arial" w:eastAsia="Arial" w:hAnsi="Arial"/>
          <w:sz w:val="19"/>
          <w:szCs w:val="19"/>
          <w:color w:val="auto"/>
        </w:rPr>
        <w:t>”), to be effective as of a</w:t>
      </w:r>
    </w:p>
    <w:p>
      <w:pPr>
        <w:sectPr>
          <w:pgSz w:w="11900" w:h="16838" w:orient="portrait"/>
          <w:cols w:equalWidth="0" w:num="1">
            <w:col w:w="11240"/>
          </w:cols>
          <w:pgMar w:left="320" w:top="1401" w:right="339" w:bottom="1440" w:gutter="0" w:footer="0" w:header="0"/>
        </w:sectPr>
      </w:pPr>
    </w:p>
    <w:bookmarkStart w:id="123" w:name="page124"/>
    <w:bookmarkEnd w:id="123"/>
    <w:p>
      <w:pPr>
        <w:jc w:val="both"/>
        <w:spacing w:after="0" w:line="218" w:lineRule="auto"/>
        <w:rPr>
          <w:sz w:val="20"/>
          <w:szCs w:val="20"/>
          <w:color w:val="auto"/>
        </w:rPr>
      </w:pPr>
      <w:r>
        <w:rPr>
          <w:rFonts w:ascii="Arial" w:cs="Arial" w:eastAsia="Arial" w:hAnsi="Arial"/>
          <w:sz w:val="22"/>
          <w:szCs w:val="22"/>
          <w:color w:val="auto"/>
        </w:rPr>
        <w:t>date (the “</w:t>
      </w:r>
      <w:r>
        <w:rPr>
          <w:rFonts w:ascii="Arial" w:cs="Arial" w:eastAsia="Arial" w:hAnsi="Arial"/>
          <w:sz w:val="22"/>
          <w:szCs w:val="22"/>
          <w:u w:val="single" w:color="auto"/>
          <w:color w:val="auto"/>
        </w:rPr>
        <w:t>Increase Date</w:t>
      </w:r>
      <w:r>
        <w:rPr>
          <w:rFonts w:ascii="Arial" w:cs="Arial" w:eastAsia="Arial" w:hAnsi="Arial"/>
          <w:sz w:val="22"/>
          <w:szCs w:val="22"/>
          <w:color w:val="auto"/>
        </w:rPr>
        <w:t xml:space="preserve">”) as specified in the related notice to 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no Default or Event of Default shall have occurred and be continuing as of the date of such request or as of the applicable Increase Date, or shall occur as a result thereof and,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at no time shall any Commitment Increase hereunder exceed the Incremental Amount at such time.</w:t>
      </w:r>
    </w:p>
    <w:p>
      <w:pPr>
        <w:spacing w:after="0" w:line="161" w:lineRule="exact"/>
        <w:rPr>
          <w:sz w:val="20"/>
          <w:szCs w:val="20"/>
          <w:color w:val="auto"/>
        </w:rPr>
      </w:pPr>
    </w:p>
    <w:p>
      <w:pPr>
        <w:jc w:val="both"/>
        <w:ind w:left="80" w:firstLine="1305"/>
        <w:spacing w:after="0" w:line="246" w:lineRule="auto"/>
        <w:tabs>
          <w:tab w:leader="none" w:pos="1891" w:val="left"/>
        </w:tabs>
        <w:numPr>
          <w:ilvl w:val="2"/>
          <w:numId w:val="110"/>
        </w:numPr>
        <w:rPr>
          <w:rFonts w:ascii="Arial" w:cs="Arial" w:eastAsia="Arial" w:hAnsi="Arial"/>
          <w:sz w:val="19"/>
          <w:szCs w:val="19"/>
          <w:color w:val="auto"/>
        </w:rPr>
      </w:pPr>
      <w:r>
        <w:rPr>
          <w:rFonts w:ascii="Arial" w:cs="Arial" w:eastAsia="Arial" w:hAnsi="Arial"/>
          <w:sz w:val="19"/>
          <w:szCs w:val="19"/>
          <w:color w:val="auto"/>
        </w:rPr>
        <w:t xml:space="preserve">The Borrowers may extend offers to one or more financial institutions (which, for the avoidance of doubt, may include any Lender but shall not include any Borrower or an Affiliate thereof or any natural person) to provide such Commitment Increase;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financial institution shall be reasonably acceptable to the Administrative Agent and each Issuing Bank to the extent the consent of the Administrative Agent and such Issuing Bank would be required for an assignment of Commitments or Loans to such financial institution pursuant to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(each, an “</w:t>
      </w:r>
      <w:r>
        <w:rPr>
          <w:rFonts w:ascii="Arial" w:cs="Arial" w:eastAsia="Arial" w:hAnsi="Arial"/>
          <w:sz w:val="19"/>
          <w:szCs w:val="19"/>
          <w:u w:val="single" w:color="auto"/>
          <w:color w:val="auto"/>
        </w:rPr>
        <w:t>Eligible Institution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unless otherwise agreed by the Borrowers and the Administrative Agent, the Commitment of each such Eligible Institution shall be in an amount of $5,000,000 or an integral multiple of $1,000,000 in excess thereof. For the avoidance of doubt, no Lender shall be required to participate in any Commitment Increase.</w:t>
      </w:r>
    </w:p>
    <w:p>
      <w:pPr>
        <w:spacing w:after="0" w:line="152" w:lineRule="exact"/>
        <w:rPr>
          <w:rFonts w:ascii="Arial" w:cs="Arial" w:eastAsia="Arial" w:hAnsi="Arial"/>
          <w:sz w:val="19"/>
          <w:szCs w:val="19"/>
          <w:color w:val="auto"/>
        </w:rPr>
      </w:pPr>
    </w:p>
    <w:p>
      <w:pPr>
        <w:jc w:val="both"/>
        <w:ind w:left="80" w:firstLine="1305"/>
        <w:spacing w:after="0" w:line="222" w:lineRule="auto"/>
        <w:tabs>
          <w:tab w:leader="none" w:pos="2049" w:val="left"/>
        </w:tabs>
        <w:numPr>
          <w:ilvl w:val="2"/>
          <w:numId w:val="110"/>
        </w:numPr>
        <w:rPr>
          <w:rFonts w:ascii="Arial" w:cs="Arial" w:eastAsia="Arial" w:hAnsi="Arial"/>
          <w:sz w:val="21"/>
          <w:szCs w:val="21"/>
          <w:color w:val="auto"/>
        </w:rPr>
      </w:pPr>
      <w:r>
        <w:rPr>
          <w:rFonts w:ascii="Arial" w:cs="Arial" w:eastAsia="Arial" w:hAnsi="Arial"/>
          <w:sz w:val="21"/>
          <w:szCs w:val="21"/>
          <w:color w:val="auto"/>
        </w:rPr>
        <w:t xml:space="preserve">On each Increase Date, each Eligible Institution that accepts an offer to participate in a requested Commitment Increase in accordance with </w:t>
      </w:r>
      <w:r>
        <w:rPr>
          <w:rFonts w:ascii="Arial" w:cs="Arial" w:eastAsia="Arial" w:hAnsi="Arial"/>
          <w:sz w:val="21"/>
          <w:szCs w:val="21"/>
          <w:u w:val="single" w:color="auto"/>
          <w:color w:val="auto"/>
        </w:rPr>
        <w:t>Section 2.19(b)</w:t>
      </w:r>
      <w:r>
        <w:rPr>
          <w:rFonts w:ascii="Arial" w:cs="Arial" w:eastAsia="Arial" w:hAnsi="Arial"/>
          <w:sz w:val="21"/>
          <w:szCs w:val="21"/>
          <w:color w:val="auto"/>
        </w:rPr>
        <w:t xml:space="preserve"> shall, if not already a Lender (each such Eligible Institution, an “</w:t>
      </w:r>
      <w:r>
        <w:rPr>
          <w:rFonts w:ascii="Arial" w:cs="Arial" w:eastAsia="Arial" w:hAnsi="Arial"/>
          <w:sz w:val="21"/>
          <w:szCs w:val="21"/>
          <w:u w:val="single" w:color="auto"/>
          <w:color w:val="auto"/>
        </w:rPr>
        <w:t>Assuming Lender</w:t>
      </w:r>
      <w:r>
        <w:rPr>
          <w:rFonts w:ascii="Arial" w:cs="Arial" w:eastAsia="Arial" w:hAnsi="Arial"/>
          <w:sz w:val="21"/>
          <w:szCs w:val="21"/>
          <w:color w:val="auto"/>
        </w:rPr>
        <w:t>”), become a Lender party to this Agreement as of such Increase Date with a Commitment equal to the amount of such Commitment Increase allocated to such Lender as of such Increase Date and, if already a Lender (each such Eligible Institution, an “</w:t>
      </w:r>
      <w:r>
        <w:rPr>
          <w:rFonts w:ascii="Arial" w:cs="Arial" w:eastAsia="Arial" w:hAnsi="Arial"/>
          <w:sz w:val="21"/>
          <w:szCs w:val="21"/>
          <w:u w:val="single" w:color="auto"/>
          <w:color w:val="auto"/>
        </w:rPr>
        <w:t>Increasing Lender</w:t>
      </w:r>
      <w:r>
        <w:rPr>
          <w:rFonts w:ascii="Arial" w:cs="Arial" w:eastAsia="Arial" w:hAnsi="Arial"/>
          <w:sz w:val="21"/>
          <w:szCs w:val="21"/>
          <w:color w:val="auto"/>
        </w:rPr>
        <w:t xml:space="preserve">”), the Commitment of such Lender shall be so increased by the amount of such Commitment Increase allocated to such Lender as of such Increase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Administrative Agent shall have received on or before such Increase Date the following, each dated such date:</w:t>
      </w:r>
    </w:p>
    <w:p>
      <w:pPr>
        <w:spacing w:after="0" w:line="164" w:lineRule="exact"/>
        <w:rPr>
          <w:rFonts w:ascii="Arial" w:cs="Arial" w:eastAsia="Arial" w:hAnsi="Arial"/>
          <w:sz w:val="21"/>
          <w:szCs w:val="21"/>
          <w:color w:val="auto"/>
        </w:rPr>
      </w:pPr>
    </w:p>
    <w:p>
      <w:pPr>
        <w:jc w:val="both"/>
        <w:ind w:left="660" w:firstLine="644"/>
        <w:spacing w:after="0" w:line="238" w:lineRule="auto"/>
        <w:tabs>
          <w:tab w:leader="none" w:pos="1874" w:val="left"/>
        </w:tabs>
        <w:numPr>
          <w:ilvl w:val="1"/>
          <w:numId w:val="111"/>
        </w:numPr>
        <w:rPr>
          <w:rFonts w:ascii="Arial" w:cs="Arial" w:eastAsia="Arial" w:hAnsi="Arial"/>
          <w:sz w:val="19"/>
          <w:szCs w:val="19"/>
          <w:color w:val="auto"/>
        </w:rPr>
      </w:pPr>
      <w:r>
        <w:rPr>
          <w:rFonts w:ascii="Arial" w:cs="Arial" w:eastAsia="Arial" w:hAnsi="Arial"/>
          <w:sz w:val="19"/>
          <w:szCs w:val="19"/>
          <w:color w:val="auto"/>
        </w:rPr>
        <w:t xml:space="preserve">(A) a certificate of each Loan Party signed by an authorized officer of such Loan Party certifying and attaching the resolutions adopted by the board of directors or other applicable governing body of such Borrower approving the Commitment Increase and the corresponding modifications to this Agreement, (B) all other documents reasonably requested by the Administrative Agent relating to the organization, existence and good standing (or the equivalent in the jurisdiction of organization of such Loan Party) of each Loan Party, (C) a certificate of each Borrower signed by an authorized officer of such Borrower certifying that, before and after giving effect to such increase, (x) the representations and warranties contained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and the other Loan Documents are true and correct in all material respects (other than to the extent qualified by materiality or “Material Adverse Effect”, in which case, such representations and warranties shall be true and correct in all respects) on and as of the Increase Date, except to the extent that such representations and warranties specifically refer to an earlier date, in which case they are true and correct in such manner as of such earlier date, and except that for purposes of this Section, the representations and warranties contained in </w:t>
      </w:r>
      <w:r>
        <w:rPr>
          <w:rFonts w:ascii="Arial" w:cs="Arial" w:eastAsia="Arial" w:hAnsi="Arial"/>
          <w:sz w:val="19"/>
          <w:szCs w:val="19"/>
          <w:u w:val="single" w:color="auto"/>
          <w:color w:val="auto"/>
        </w:rPr>
        <w:t>Section 3.4(a)</w:t>
      </w:r>
      <w:r>
        <w:rPr>
          <w:rFonts w:ascii="Arial" w:cs="Arial" w:eastAsia="Arial" w:hAnsi="Arial"/>
          <w:sz w:val="19"/>
          <w:szCs w:val="19"/>
          <w:color w:val="auto"/>
        </w:rPr>
        <w:t xml:space="preserve"> shall be deemed to refer, following the first delivery thereof, to the most recent statements furnished pursuant to </w:t>
      </w:r>
      <w:r>
        <w:rPr>
          <w:rFonts w:ascii="Arial" w:cs="Arial" w:eastAsia="Arial" w:hAnsi="Arial"/>
          <w:sz w:val="19"/>
          <w:szCs w:val="19"/>
          <w:u w:val="single" w:color="auto"/>
          <w:color w:val="auto"/>
        </w:rPr>
        <w:t>Section 5.1</w:t>
      </w:r>
      <w:r>
        <w:rPr>
          <w:rFonts w:ascii="Arial" w:cs="Arial" w:eastAsia="Arial" w:hAnsi="Arial"/>
          <w:sz w:val="19"/>
          <w:szCs w:val="19"/>
          <w:color w:val="auto"/>
        </w:rPr>
        <w:t>, and (y) no Default or Event of Default exists and, if requested by the Administrative Agent and</w:t>
      </w:r>
    </w:p>
    <w:p>
      <w:pPr>
        <w:spacing w:after="0" w:line="9" w:lineRule="exact"/>
        <w:rPr>
          <w:rFonts w:ascii="Arial" w:cs="Arial" w:eastAsia="Arial" w:hAnsi="Arial"/>
          <w:sz w:val="19"/>
          <w:szCs w:val="19"/>
          <w:color w:val="auto"/>
        </w:rPr>
      </w:pPr>
    </w:p>
    <w:p>
      <w:pPr>
        <w:ind w:left="660" w:hanging="4"/>
        <w:spacing w:after="0" w:line="224" w:lineRule="auto"/>
        <w:tabs>
          <w:tab w:leader="none" w:pos="1023"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an opinion of counsel for the Loan Parties in form and substance reasonably satisfactory to the Administrative Agent in respect of matters relating to the Commitment Increase;</w:t>
      </w:r>
    </w:p>
    <w:p>
      <w:pPr>
        <w:spacing w:after="0" w:line="157" w:lineRule="exact"/>
        <w:rPr>
          <w:rFonts w:ascii="Arial" w:cs="Arial" w:eastAsia="Arial" w:hAnsi="Arial"/>
          <w:sz w:val="22"/>
          <w:szCs w:val="22"/>
          <w:color w:val="auto"/>
        </w:rPr>
      </w:pPr>
    </w:p>
    <w:p>
      <w:pPr>
        <w:jc w:val="both"/>
        <w:ind w:left="660" w:firstLine="644"/>
        <w:spacing w:after="0" w:line="223" w:lineRule="auto"/>
        <w:tabs>
          <w:tab w:leader="none" w:pos="1868" w:val="left"/>
        </w:tabs>
        <w:numPr>
          <w:ilvl w:val="1"/>
          <w:numId w:val="112"/>
        </w:numPr>
        <w:rPr>
          <w:rFonts w:ascii="Arial" w:cs="Arial" w:eastAsia="Arial" w:hAnsi="Arial"/>
          <w:sz w:val="22"/>
          <w:szCs w:val="22"/>
          <w:color w:val="auto"/>
        </w:rPr>
      </w:pPr>
      <w:r>
        <w:rPr>
          <w:rFonts w:ascii="Arial" w:cs="Arial" w:eastAsia="Arial" w:hAnsi="Arial"/>
          <w:sz w:val="22"/>
          <w:szCs w:val="22"/>
          <w:color w:val="auto"/>
        </w:rPr>
        <w:t>a joinder agreement from each Assuming Lender, if any, in form and substance reasonably satisfactory to such Assuming Lender, the Borrowers and the Administrative Agent, duly executed by such Assuming Lender, the Administrative Agent and the Borrowers; and</w:t>
      </w:r>
    </w:p>
    <w:p>
      <w:pPr>
        <w:sectPr>
          <w:pgSz w:w="11900" w:h="16838" w:orient="portrait"/>
          <w:cols w:equalWidth="0" w:num="1">
            <w:col w:w="11240"/>
          </w:cols>
          <w:pgMar w:left="320" w:top="1401" w:right="339" w:bottom="1440" w:gutter="0" w:footer="0" w:header="0"/>
        </w:sectPr>
      </w:pPr>
    </w:p>
    <w:bookmarkStart w:id="124" w:name="page125"/>
    <w:bookmarkEnd w:id="124"/>
    <w:p>
      <w:pPr>
        <w:ind w:left="660" w:firstLine="644"/>
        <w:spacing w:after="0" w:line="232" w:lineRule="auto"/>
        <w:tabs>
          <w:tab w:leader="none" w:pos="1937" w:val="left"/>
        </w:tabs>
        <w:numPr>
          <w:ilvl w:val="0"/>
          <w:numId w:val="113"/>
        </w:numPr>
        <w:rPr>
          <w:rFonts w:ascii="Arial" w:cs="Arial" w:eastAsia="Arial" w:hAnsi="Arial"/>
          <w:sz w:val="22"/>
          <w:szCs w:val="22"/>
          <w:color w:val="auto"/>
        </w:rPr>
      </w:pPr>
      <w:r>
        <w:rPr>
          <w:rFonts w:ascii="Arial" w:cs="Arial" w:eastAsia="Arial" w:hAnsi="Arial"/>
          <w:sz w:val="22"/>
          <w:szCs w:val="22"/>
          <w:color w:val="auto"/>
        </w:rPr>
        <w:t>confirmation from each Increasing Lender of the increase in the amount of its Commitment in a writing reasonably satisfactory to the Borrowers and the Administrative Agent.</w:t>
      </w:r>
    </w:p>
    <w:p>
      <w:pPr>
        <w:spacing w:after="0" w:line="158" w:lineRule="exact"/>
        <w:rPr>
          <w:rFonts w:ascii="Arial" w:cs="Arial" w:eastAsia="Arial" w:hAnsi="Arial"/>
          <w:sz w:val="22"/>
          <w:szCs w:val="22"/>
          <w:color w:val="auto"/>
        </w:rPr>
      </w:pPr>
    </w:p>
    <w:p>
      <w:pPr>
        <w:jc w:val="both"/>
        <w:ind w:left="80" w:firstLine="1305"/>
        <w:spacing w:after="0" w:line="247" w:lineRule="auto"/>
        <w:tabs>
          <w:tab w:leader="none" w:pos="1952"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On each Increase Date, upon fulfillment of the conditions set forth in </w:t>
      </w:r>
      <w:r>
        <w:rPr>
          <w:rFonts w:ascii="Arial" w:cs="Arial" w:eastAsia="Arial" w:hAnsi="Arial"/>
          <w:sz w:val="19"/>
          <w:szCs w:val="19"/>
          <w:u w:val="single" w:color="auto"/>
          <w:color w:val="auto"/>
        </w:rPr>
        <w:t>Section 2.19(c)</w:t>
      </w:r>
      <w:r>
        <w:rPr>
          <w:rFonts w:ascii="Arial" w:cs="Arial" w:eastAsia="Arial" w:hAnsi="Arial"/>
          <w:sz w:val="19"/>
          <w:szCs w:val="19"/>
          <w:color w:val="auto"/>
        </w:rPr>
        <w:t>, in the event any Loans are then outstanding, (i) each relevant Increasing Lender and Assuming Lender shall make available to the Administrative Agent such amounts in immediately available funds as the Administrative Agent shall determine, for the benefit of the other Lenders, as being required in order to cause, after giving effect to the applicable Commitment Increase and the application of such amounts to make payments to such other Lenders, the Loans to be held ratably by all Lenders as of such date in accordance with their respective Applicable Percentages (after giving effect to the Commitment Increase) and (ii) the Borrowers shall pay to the Lenders the amounts, if any, payable under Section 2.15 as a result of such prepayment.</w:t>
      </w:r>
    </w:p>
    <w:p>
      <w:pPr>
        <w:spacing w:after="0" w:line="153" w:lineRule="exact"/>
        <w:rPr>
          <w:rFonts w:ascii="Arial" w:cs="Arial" w:eastAsia="Arial" w:hAnsi="Arial"/>
          <w:sz w:val="19"/>
          <w:szCs w:val="19"/>
          <w:color w:val="auto"/>
        </w:rPr>
      </w:pPr>
    </w:p>
    <w:p>
      <w:pPr>
        <w:ind w:left="1840" w:hanging="455"/>
        <w:spacing w:after="0"/>
        <w:tabs>
          <w:tab w:leader="none" w:pos="18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 xml:space="preserve">This Section shall supersede any provisions in </w:t>
      </w:r>
      <w:r>
        <w:rPr>
          <w:rFonts w:ascii="Arial" w:cs="Arial" w:eastAsia="Arial" w:hAnsi="Arial"/>
          <w:sz w:val="22"/>
          <w:szCs w:val="22"/>
          <w:u w:val="single" w:color="auto"/>
          <w:color w:val="auto"/>
        </w:rPr>
        <w:t>Section 2.17</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to the contrary.</w:t>
      </w:r>
    </w:p>
    <w:p>
      <w:pPr>
        <w:spacing w:after="0" w:line="179"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 xml:space="preserve">Section 2.20 </w:t>
      </w:r>
      <w:r>
        <w:rPr>
          <w:rFonts w:ascii="Arial" w:cs="Arial" w:eastAsia="Arial" w:hAnsi="Arial"/>
          <w:sz w:val="19"/>
          <w:szCs w:val="19"/>
          <w:u w:val="single" w:color="auto"/>
          <w:color w:val="auto"/>
        </w:rPr>
        <w:t>Extension of Maturity Date</w:t>
      </w:r>
      <w:r>
        <w:rPr>
          <w:rFonts w:ascii="Arial" w:cs="Arial" w:eastAsia="Arial" w:hAnsi="Arial"/>
          <w:sz w:val="19"/>
          <w:szCs w:val="19"/>
          <w:color w:val="auto"/>
        </w:rPr>
        <w:t>. (a) The Borrowers may, by delivery of a Maturity Date Extension Request to the Administrative Agent (which shall promptly deliver a copy thereof to each of the Lenders and the Issuing Banks) not less than 30 days prior to the then existing maturity date for Commitments hereunder (the “</w:t>
      </w:r>
      <w:r>
        <w:rPr>
          <w:rFonts w:ascii="Arial" w:cs="Arial" w:eastAsia="Arial" w:hAnsi="Arial"/>
          <w:sz w:val="19"/>
          <w:szCs w:val="19"/>
          <w:u w:val="single" w:color="auto"/>
          <w:color w:val="auto"/>
        </w:rPr>
        <w:t>Existing Maturity Date</w:t>
      </w:r>
      <w:r>
        <w:rPr>
          <w:rFonts w:ascii="Arial" w:cs="Arial" w:eastAsia="Arial" w:hAnsi="Arial"/>
          <w:sz w:val="19"/>
          <w:szCs w:val="19"/>
          <w:color w:val="auto"/>
        </w:rPr>
        <w:t xml:space="preserve">”), request that the Lenders and the Issuing Banks extend the Existing Maturity Date in accordance with this Section. Each Maturity Date Extension Request shall (i) specify the date to which the Maturity Date is sought to be extended, (ii) specify the changes, if any, to the Applicable Rate to be applied in determining the interest payable on Loans of, and fees payable hereunder to, Extending Lenders (as defined below) in respect of that portion of their Commitments (and related Loans) extended to such new Maturity Date and the time as of which such changes will become effective (which may be prior to the Existing Maturity Date), and (iii) specify any other amendments or modifications to this Agreement to be effected in connection with such Maturity Date Extension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changes or modifications requiring approvals pursuant to </w:t>
      </w:r>
      <w:r>
        <w:rPr>
          <w:rFonts w:ascii="Arial" w:cs="Arial" w:eastAsia="Arial" w:hAnsi="Arial"/>
          <w:sz w:val="19"/>
          <w:szCs w:val="19"/>
          <w:u w:val="single" w:color="auto"/>
          <w:color w:val="auto"/>
        </w:rPr>
        <w:t>Section 10.2(b)</w:t>
      </w:r>
      <w:r>
        <w:rPr>
          <w:rFonts w:ascii="Arial" w:cs="Arial" w:eastAsia="Arial" w:hAnsi="Arial"/>
          <w:sz w:val="19"/>
          <w:szCs w:val="19"/>
          <w:color w:val="auto"/>
        </w:rPr>
        <w:t xml:space="preserve"> shall become effective prior to the then existing Maturity Date unless such other approvals have been obtained. In the event a Maturity Date Extension Request shall have been delivered by the Borrowers, each Lender shall have the right to agree or not agree to the extension of the Existing Maturity Date and other matters contemplated thereby on the terms and subject to the conditions set forth therein (each Lender agreeing to the Maturity Date Extension Request being referred to herein as an “</w:t>
      </w:r>
      <w:r>
        <w:rPr>
          <w:rFonts w:ascii="Arial" w:cs="Arial" w:eastAsia="Arial" w:hAnsi="Arial"/>
          <w:sz w:val="19"/>
          <w:szCs w:val="19"/>
          <w:u w:val="single" w:color="auto"/>
          <w:color w:val="auto"/>
        </w:rPr>
        <w:t>Extending Lender</w:t>
      </w:r>
      <w:r>
        <w:rPr>
          <w:rFonts w:ascii="Arial" w:cs="Arial" w:eastAsia="Arial" w:hAnsi="Arial"/>
          <w:sz w:val="19"/>
          <w:szCs w:val="19"/>
          <w:color w:val="auto"/>
        </w:rPr>
        <w:t>” and each Lender not agreeing thereto being referred to herein as a “</w:t>
      </w:r>
      <w:r>
        <w:rPr>
          <w:rFonts w:ascii="Arial" w:cs="Arial" w:eastAsia="Arial" w:hAnsi="Arial"/>
          <w:sz w:val="19"/>
          <w:szCs w:val="19"/>
          <w:u w:val="single" w:color="auto"/>
          <w:color w:val="auto"/>
        </w:rPr>
        <w:t>Declining Lender</w:t>
      </w:r>
      <w:r>
        <w:rPr>
          <w:rFonts w:ascii="Arial" w:cs="Arial" w:eastAsia="Arial" w:hAnsi="Arial"/>
          <w:sz w:val="19"/>
          <w:szCs w:val="19"/>
          <w:color w:val="auto"/>
        </w:rPr>
        <w:t xml:space="preserve">”), which right may be exercised by written notice thereof, specifying the maximum amount of its Commitment and, if such Lender (or a designated Affiliate of such Lender) is then serving as an Issuing Bank, its (or its designated Affiliate’s) Issuing Bank Sublimit, with respect to which such Lender agrees to the extension of the Maturity Date, delivered to the Borrowers (with a copy to the Administrative Agent) not later than a day to be agreed upon by the Borrowers and the Administrative Agent following the date on which the Maturity Date Extension Request shall have been delivered by the Borrowers (it being understood (x) that any Lender that shall have failed to exercise such right as set forth above shall be deemed to be a Declining Lender and (y) that, in the case of any Lender then serving (or whose designated Affiliate is then serving) as an Issuing Bank, (I) the Issuing Bank Sublimit of such Lender (or such designated Affiliate) shall not be extended in connection with an extension of such Lender’s Commitments unless so specified by such Lender (or such designated Affiliate), in its capacity as Issuing Bank, in such written notice to the Borrowers and (II) for purposes of </w:t>
      </w:r>
      <w:r>
        <w:rPr>
          <w:rFonts w:ascii="Arial" w:cs="Arial" w:eastAsia="Arial" w:hAnsi="Arial"/>
          <w:sz w:val="19"/>
          <w:szCs w:val="19"/>
          <w:u w:val="single" w:color="auto"/>
          <w:color w:val="auto"/>
        </w:rPr>
        <w:t>Section 2.4(a)</w:t>
      </w:r>
      <w:r>
        <w:rPr>
          <w:rFonts w:ascii="Arial" w:cs="Arial" w:eastAsia="Arial" w:hAnsi="Arial"/>
          <w:sz w:val="19"/>
          <w:szCs w:val="19"/>
          <w:color w:val="auto"/>
        </w:rPr>
        <w:t>, the “Maturity Date” applicable to Letters of Credit of an Issuing Bank that has not extended its Issuing Bank Sublimit will be the Maturity Date in respect of such Letter of Credit Sublimit that has not been extended). If a Lender elects to extend only a portion of its then existing Commitment, it will be deemed for purposes hereof</w:t>
      </w:r>
    </w:p>
    <w:p>
      <w:pPr>
        <w:sectPr>
          <w:pgSz w:w="11900" w:h="16838" w:orient="portrait"/>
          <w:cols w:equalWidth="0" w:num="1">
            <w:col w:w="11240"/>
          </w:cols>
          <w:pgMar w:left="320" w:top="1401" w:right="339" w:bottom="1440" w:gutter="0" w:footer="0" w:header="0"/>
        </w:sectPr>
      </w:pPr>
    </w:p>
    <w:bookmarkStart w:id="125" w:name="page126"/>
    <w:bookmarkEnd w:id="125"/>
    <w:p>
      <w:pPr>
        <w:jc w:val="both"/>
        <w:spacing w:after="0" w:line="241" w:lineRule="auto"/>
        <w:rPr>
          <w:sz w:val="20"/>
          <w:szCs w:val="20"/>
          <w:color w:val="auto"/>
        </w:rPr>
      </w:pPr>
      <w:r>
        <w:rPr>
          <w:rFonts w:ascii="Arial" w:cs="Arial" w:eastAsia="Arial" w:hAnsi="Arial"/>
          <w:sz w:val="19"/>
          <w:szCs w:val="19"/>
          <w:color w:val="auto"/>
        </w:rPr>
        <w:t>to be an Extending Lender in respect of such extended portion and a Declining Lender in respect of the remaining portion of its Commitment. If Extending Lenders shall have agreed to such Maturity Date Extension Request in respect of Commitments held by them, then, subject to paragraph (d) of this Section, on the date specified in the Maturity Date Extension Request as the effective date thereof (the “</w:t>
      </w:r>
      <w:r>
        <w:rPr>
          <w:rFonts w:ascii="Arial" w:cs="Arial" w:eastAsia="Arial" w:hAnsi="Arial"/>
          <w:sz w:val="19"/>
          <w:szCs w:val="19"/>
          <w:u w:val="single" w:color="auto"/>
          <w:color w:val="auto"/>
        </w:rPr>
        <w:t>Extension Effective Date</w:t>
      </w:r>
      <w:r>
        <w:rPr>
          <w:rFonts w:ascii="Arial" w:cs="Arial" w:eastAsia="Arial" w:hAnsi="Arial"/>
          <w:sz w:val="19"/>
          <w:szCs w:val="19"/>
          <w:color w:val="auto"/>
        </w:rPr>
        <w:t>”), (i) the Existing Maturity Date of the applicable Commitments shall, as to the Extending Lenders, be extended to such date as shall be specified therein, (ii) the terms and conditions of the Commitments of the Extending Lenders (including interest and fees payable in respect thereof), shall be modified as set forth in the Maturity Date Extension Request, (iii) such other modifications and amendments hereto specified in the Maturity Date Extension Request shall (subject to any required approvals (including those of the Required Lenders) having been obtained, except that any such other modifications and amendments that do not take effect until the Existing Maturity Date shall not require the consent of any Lender other than the Extending Lenders) become effective and (iv) in the case of any Extending Lender then serving (or whose designated Affiliate is then serving) as an Issuing Bank that shall not have agreed to extend the Existing Maturity Date with respect to its Issuing Bank Sublimit, or shall have agreed to extend the Existing Maturity Date with respect to less than the entire amount of its Issuing Bank Sublimit, such Issuing Bank shall not have the obligation to issue, amend, extend or increase Letters of Credit following the Extension Effective Date, if after giving effect to any such issuance, amendment, extension or increase, the Letter of Credit Usage attributable to Letters of Credit issued by such Issuing Bank that have a stated expiration date after the date that is five days prior to the Existing Maturity Date with respect to the non-extended portion of its Issuing Bank Sublimit would exceed the extended portion (if any) of such Issuing Bank Sublimit.</w:t>
      </w:r>
    </w:p>
    <w:p>
      <w:pPr>
        <w:spacing w:after="0" w:line="158" w:lineRule="exact"/>
        <w:rPr>
          <w:sz w:val="20"/>
          <w:szCs w:val="20"/>
          <w:color w:val="auto"/>
        </w:rPr>
      </w:pPr>
    </w:p>
    <w:p>
      <w:pPr>
        <w:jc w:val="both"/>
        <w:ind w:left="80" w:firstLine="1305"/>
        <w:spacing w:after="0" w:line="224" w:lineRule="auto"/>
        <w:tabs>
          <w:tab w:leader="none" w:pos="1944" w:val="left"/>
        </w:tabs>
        <w:numPr>
          <w:ilvl w:val="0"/>
          <w:numId w:val="115"/>
        </w:numPr>
        <w:rPr>
          <w:rFonts w:ascii="Arial" w:cs="Arial" w:eastAsia="Arial" w:hAnsi="Arial"/>
          <w:sz w:val="21"/>
          <w:szCs w:val="21"/>
          <w:color w:val="auto"/>
        </w:rPr>
      </w:pPr>
      <w:r>
        <w:rPr>
          <w:rFonts w:ascii="Arial" w:cs="Arial" w:eastAsia="Arial" w:hAnsi="Arial"/>
          <w:sz w:val="21"/>
          <w:szCs w:val="21"/>
          <w:color w:val="auto"/>
        </w:rPr>
        <w:t xml:space="preserve">Notwithstanding the foregoing, the Borrowers shall have the right, in accordance with the provisions of </w:t>
      </w:r>
      <w:r>
        <w:rPr>
          <w:rFonts w:ascii="Arial" w:cs="Arial" w:eastAsia="Arial" w:hAnsi="Arial"/>
          <w:sz w:val="21"/>
          <w:szCs w:val="21"/>
          <w:u w:val="single" w:color="auto"/>
          <w:color w:val="auto"/>
        </w:rPr>
        <w:t>Sections 2.18</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9.4</w:t>
      </w:r>
      <w:r>
        <w:rPr>
          <w:rFonts w:ascii="Arial" w:cs="Arial" w:eastAsia="Arial" w:hAnsi="Arial"/>
          <w:sz w:val="21"/>
          <w:szCs w:val="21"/>
          <w:color w:val="auto"/>
        </w:rPr>
        <w:t>, at any time prior to the Existing Maturity Date, to replace a Declining Lender (for the avoidance of doubt, only in respect of that portion of such Lender’s Commitments subject to a Maturity Date Extension Request that it has not agreed to extend) with a Lender or other financial institution that will agree to such Maturity Date Extension Request, and any such replacement Lender shall for all purposes constitute a Extending Lender in respect of the Commitment assigned to and assumed by it on and after the effective time of such replacement.</w:t>
      </w:r>
    </w:p>
    <w:p>
      <w:pPr>
        <w:spacing w:after="0" w:line="159" w:lineRule="exact"/>
        <w:rPr>
          <w:rFonts w:ascii="Arial" w:cs="Arial" w:eastAsia="Arial" w:hAnsi="Arial"/>
          <w:sz w:val="21"/>
          <w:szCs w:val="21"/>
          <w:color w:val="auto"/>
        </w:rPr>
      </w:pPr>
    </w:p>
    <w:p>
      <w:pPr>
        <w:jc w:val="both"/>
        <w:ind w:left="80" w:firstLine="1305"/>
        <w:spacing w:after="0" w:line="218" w:lineRule="auto"/>
        <w:tabs>
          <w:tab w:leader="none" w:pos="190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If a Maturity Date Extension Request has become effective hereunder, on the Existing Maturity Date, the Commitment of each Declining Lender shall, to the extent not assumed, assigned or transferred as provided in paragraph (b) of this Section, terminate, and the Borrowers shall repay all the Loans of each Declining Lender, to the extent such Loans shall not have been so purchased, assigned and transferred, in each case together with accrued and unpaid interest and all fees and other amounts owing to such Declining Lender hereunder (accordingly, the Commitment of any Extending Lender shall, to the extent the amount of such Commitment exceeds the amount set forth in the notice delivered by such Lender pursuant to paragraph (a) of this Section and to the extent not assumed, assigned or transferred as provided in paragraph (b) of this Section, be permanently reduced by the amount of such excess, and, to the extent not assumed, assigned or transferred as provided in paragraph (b) of this Section, the Borrowers shall prepay the proportionate part of the outstanding Loans of such Extending Lender, in each case together with accrued and unpaid interest thereon to but excluding the Existing Maturity Date and all fees and other amounts payable in respect thereof on or prior to the Existing Maturity Date), it being understood that such repayments may be funded with the proceeds of new Borrowings made simultaneously with such repayments by the Extending Lenders, which such Borrowings shall be made ratably by the Extending Lenders in accordance with their extended Commitments.</w:t>
      </w:r>
    </w:p>
    <w:p>
      <w:pPr>
        <w:spacing w:after="0" w:line="169" w:lineRule="exact"/>
        <w:rPr>
          <w:rFonts w:ascii="Arial" w:cs="Arial" w:eastAsia="Arial" w:hAnsi="Arial"/>
          <w:sz w:val="21"/>
          <w:szCs w:val="21"/>
          <w:color w:val="auto"/>
        </w:rPr>
      </w:pPr>
    </w:p>
    <w:p>
      <w:pPr>
        <w:ind w:left="80" w:firstLine="1305"/>
        <w:spacing w:after="0" w:line="232" w:lineRule="auto"/>
        <w:tabs>
          <w:tab w:leader="none" w:pos="199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Notwithstanding the foregoing, no Maturity Date Extension Request shall become effective hereunder unless, on the Extension Effective Date, the conditions set forth in</w:t>
      </w:r>
    </w:p>
    <w:p>
      <w:pPr>
        <w:sectPr>
          <w:pgSz w:w="11900" w:h="16838" w:orient="portrait"/>
          <w:cols w:equalWidth="0" w:num="1">
            <w:col w:w="11240"/>
          </w:cols>
          <w:pgMar w:left="320" w:top="1401" w:right="339" w:bottom="1440" w:gutter="0" w:footer="0" w:header="0"/>
        </w:sectPr>
      </w:pPr>
    </w:p>
    <w:bookmarkStart w:id="126" w:name="page127"/>
    <w:bookmarkEnd w:id="126"/>
    <w:p>
      <w:pPr>
        <w:jc w:val="both"/>
        <w:ind w:left="80"/>
        <w:spacing w:after="0" w:line="223" w:lineRule="auto"/>
        <w:rPr>
          <w:sz w:val="20"/>
          <w:szCs w:val="20"/>
          <w:color w:val="auto"/>
        </w:rPr>
      </w:pP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shall be satisfied (with all references in such Section to a Borrowing being deemed to be references to such Maturity Date Extension Request) and the Administrative Agent shall have received a certificate to that effect dated such date and executed by a Financial Officer.</w:t>
      </w:r>
    </w:p>
    <w:p>
      <w:pPr>
        <w:spacing w:after="0" w:line="159" w:lineRule="exact"/>
        <w:rPr>
          <w:sz w:val="20"/>
          <w:szCs w:val="20"/>
          <w:color w:val="auto"/>
        </w:rPr>
      </w:pPr>
    </w:p>
    <w:p>
      <w:pPr>
        <w:jc w:val="both"/>
        <w:ind w:left="80" w:firstLine="1305"/>
        <w:spacing w:after="0" w:line="214" w:lineRule="auto"/>
        <w:tabs>
          <w:tab w:leader="none" w:pos="1851"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xml:space="preserve">Notwithstanding any provision of this Agreement to the contrary, it is hereby agreed that no extension of an Existing Maturity Date in accordance with the express terms of this Section, or any amendment or modification of the terms and conditions of the Commitments and Loans of the Extending Lenders effected pursuant thereto, shall be deemed to (i) violate the last sentence of </w:t>
      </w:r>
      <w:r>
        <w:rPr>
          <w:rFonts w:ascii="Arial" w:cs="Arial" w:eastAsia="Arial" w:hAnsi="Arial"/>
          <w:sz w:val="22"/>
          <w:szCs w:val="22"/>
          <w:u w:val="single" w:color="auto"/>
          <w:color w:val="auto"/>
        </w:rPr>
        <w:t>Section 2.8(c)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2.17(c)</w:t>
      </w:r>
      <w:r>
        <w:rPr>
          <w:rFonts w:ascii="Arial" w:cs="Arial" w:eastAsia="Arial" w:hAnsi="Arial"/>
          <w:sz w:val="22"/>
          <w:szCs w:val="22"/>
          <w:color w:val="auto"/>
        </w:rPr>
        <w:t xml:space="preserve"> or any other provision of this Agreement requiring the ratable reduction of Commitments or the ratable sharing of payments or (ii) require the consent of all Lenders or all affected Lenders under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10.2(b)</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left="80" w:firstLine="1305"/>
        <w:spacing w:after="0" w:line="223" w:lineRule="auto"/>
        <w:tabs>
          <w:tab w:leader="none" w:pos="1862"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Borrowers, the Administrative Agent and the Extending Lenders may enter into an amendment to this Agreement to effect such modifications as may be necessary to reflect the terms of any Maturity Date Extension Request that has become effective in accordance with the provisions of this Section.</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Section 2.21 </w:t>
      </w:r>
      <w:r>
        <w:rPr>
          <w:rFonts w:ascii="Arial" w:cs="Arial" w:eastAsia="Arial" w:hAnsi="Arial"/>
          <w:sz w:val="22"/>
          <w:szCs w:val="22"/>
          <w:u w:val="single" w:color="auto"/>
          <w:color w:val="auto"/>
        </w:rPr>
        <w:t>Defaulting Lenders</w:t>
      </w:r>
      <w:r>
        <w:rPr>
          <w:rFonts w:ascii="Arial" w:cs="Arial" w:eastAsia="Arial" w:hAnsi="Arial"/>
          <w:sz w:val="22"/>
          <w:szCs w:val="22"/>
          <w:color w:val="auto"/>
        </w:rPr>
        <w:t>. (a) Notwithstanding anything to the contrary contained in this Agreement, if any Lender becomes a Defaulting Lender, then, until such time as such Lender is no longer a Defaulting Lender, to the extent permitted by applicable law:</w:t>
      </w:r>
    </w:p>
    <w:p>
      <w:pPr>
        <w:spacing w:after="0" w:line="159" w:lineRule="exact"/>
        <w:rPr>
          <w:sz w:val="20"/>
          <w:szCs w:val="20"/>
          <w:color w:val="auto"/>
        </w:rPr>
      </w:pPr>
    </w:p>
    <w:p>
      <w:pPr>
        <w:ind w:left="660" w:firstLine="644"/>
        <w:spacing w:after="0" w:line="247" w:lineRule="auto"/>
        <w:tabs>
          <w:tab w:leader="none" w:pos="1782" w:val="left"/>
        </w:tabs>
        <w:numPr>
          <w:ilvl w:val="0"/>
          <w:numId w:val="117"/>
        </w:numPr>
        <w:rPr>
          <w:rFonts w:ascii="Arial" w:cs="Arial" w:eastAsia="Arial" w:hAnsi="Arial"/>
          <w:sz w:val="21"/>
          <w:szCs w:val="21"/>
          <w:color w:val="auto"/>
        </w:rPr>
      </w:pPr>
      <w:r>
        <w:rPr>
          <w:rFonts w:ascii="Arial" w:cs="Arial" w:eastAsia="Arial" w:hAnsi="Arial"/>
          <w:sz w:val="21"/>
          <w:szCs w:val="21"/>
          <w:color w:val="auto"/>
        </w:rPr>
        <w:t xml:space="preserve">such Defaulting Lender’s right to approve or disapprove any amendment, waiver or consent with respect to this Agreement shall be restricted as set forth in the definition of Required Lenders and in </w:t>
      </w:r>
      <w:r>
        <w:rPr>
          <w:rFonts w:ascii="Arial" w:cs="Arial" w:eastAsia="Arial" w:hAnsi="Arial"/>
          <w:sz w:val="21"/>
          <w:szCs w:val="21"/>
          <w:u w:val="single" w:color="auto"/>
          <w:color w:val="auto"/>
        </w:rPr>
        <w:t>Section 10.2</w:t>
      </w:r>
      <w:r>
        <w:rPr>
          <w:rFonts w:ascii="Arial" w:cs="Arial" w:eastAsia="Arial" w:hAnsi="Arial"/>
          <w:sz w:val="21"/>
          <w:szCs w:val="21"/>
          <w:color w:val="auto"/>
        </w:rPr>
        <w:t>;</w:t>
      </w:r>
    </w:p>
    <w:p>
      <w:pPr>
        <w:spacing w:after="0" w:line="150" w:lineRule="exact"/>
        <w:rPr>
          <w:rFonts w:ascii="Arial" w:cs="Arial" w:eastAsia="Arial" w:hAnsi="Arial"/>
          <w:sz w:val="21"/>
          <w:szCs w:val="21"/>
          <w:color w:val="auto"/>
        </w:rPr>
      </w:pPr>
    </w:p>
    <w:p>
      <w:pPr>
        <w:ind w:left="1780" w:hanging="476"/>
        <w:spacing w:after="0"/>
        <w:tabs>
          <w:tab w:leader="none" w:pos="178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if any Letter of Credit Usage exists at the time such Lender becomes a Defaulting Lender then:</w:t>
      </w:r>
    </w:p>
    <w:p>
      <w:pPr>
        <w:spacing w:after="0" w:line="179" w:lineRule="exact"/>
        <w:rPr>
          <w:rFonts w:ascii="Arial" w:cs="Arial" w:eastAsia="Arial" w:hAnsi="Arial"/>
          <w:sz w:val="22"/>
          <w:szCs w:val="22"/>
          <w:color w:val="auto"/>
        </w:rPr>
      </w:pPr>
    </w:p>
    <w:p>
      <w:pPr>
        <w:jc w:val="both"/>
        <w:ind w:left="660" w:firstLine="1292"/>
        <w:spacing w:after="0" w:line="249" w:lineRule="auto"/>
        <w:tabs>
          <w:tab w:leader="none" w:pos="2475" w:val="left"/>
        </w:tabs>
        <w:numPr>
          <w:ilvl w:val="1"/>
          <w:numId w:val="117"/>
        </w:numPr>
        <w:rPr>
          <w:rFonts w:ascii="Arial" w:cs="Arial" w:eastAsia="Arial" w:hAnsi="Arial"/>
          <w:sz w:val="19"/>
          <w:szCs w:val="19"/>
          <w:color w:val="auto"/>
        </w:rPr>
      </w:pPr>
      <w:r>
        <w:rPr>
          <w:rFonts w:ascii="Arial" w:cs="Arial" w:eastAsia="Arial" w:hAnsi="Arial"/>
          <w:sz w:val="19"/>
          <w:szCs w:val="19"/>
          <w:color w:val="auto"/>
        </w:rPr>
        <w:t xml:space="preserve">all or any part of the Letter of Credit Usage of such Defaulting Lender shall be reallocated among the Non-Defaulting Lenders in accordance with their respective Applicable Percentages but only to the extent that (x) the sum of all Non-Defaulting Lenders’ Revolving Exposures plus such Defaulting Lender’s Letter of Credit Usage does not exceed the total of all Non-Defaulting Lenders’ Commitments, (y) the sum of any Non-Defaulting Lender’s Revolving Exposure plus its Applicable Percentage of such Defaulting Lender’s Letter of Credit Usage does not exceed such Non-Defaulting Lender’s Commitment and (z) the conditions set forth in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are satisfied at such time;</w:t>
      </w:r>
    </w:p>
    <w:p>
      <w:pPr>
        <w:spacing w:after="0" w:line="151" w:lineRule="exact"/>
        <w:rPr>
          <w:rFonts w:ascii="Arial" w:cs="Arial" w:eastAsia="Arial" w:hAnsi="Arial"/>
          <w:sz w:val="19"/>
          <w:szCs w:val="19"/>
          <w:color w:val="auto"/>
        </w:rPr>
      </w:pPr>
    </w:p>
    <w:p>
      <w:pPr>
        <w:jc w:val="both"/>
        <w:ind w:left="660" w:firstLine="1292"/>
        <w:spacing w:after="0" w:line="226" w:lineRule="auto"/>
        <w:tabs>
          <w:tab w:leader="none" w:pos="2616" w:val="left"/>
        </w:tabs>
        <w:numPr>
          <w:ilvl w:val="1"/>
          <w:numId w:val="117"/>
        </w:numPr>
        <w:rPr>
          <w:rFonts w:ascii="Arial" w:cs="Arial" w:eastAsia="Arial" w:hAnsi="Arial"/>
          <w:sz w:val="21"/>
          <w:szCs w:val="21"/>
          <w:color w:val="auto"/>
        </w:rPr>
      </w:pPr>
      <w:r>
        <w:rPr>
          <w:rFonts w:ascii="Arial" w:cs="Arial" w:eastAsia="Arial" w:hAnsi="Arial"/>
          <w:sz w:val="21"/>
          <w:szCs w:val="21"/>
          <w:color w:val="auto"/>
        </w:rPr>
        <w:t xml:space="preserve">if the reallocation described in clause (A) above cannot, or can only partially, be effected, the Borrowers shall within one Business Day following notice by the Administrative Agent cash collateralize for the benefit of the applicable Issuing Banks only the Borrowers’ obligations corresponding to such Defaulting Lender’s Letter of Credit Usage (after giving effect to any partial reallocation pursuant to clause (A) above) in accordance with the procedures set forth in </w:t>
      </w:r>
      <w:r>
        <w:rPr>
          <w:rFonts w:ascii="Arial" w:cs="Arial" w:eastAsia="Arial" w:hAnsi="Arial"/>
          <w:sz w:val="21"/>
          <w:szCs w:val="21"/>
          <w:u w:val="single" w:color="auto"/>
          <w:color w:val="auto"/>
        </w:rPr>
        <w:t>Section 2.4(j)</w:t>
      </w:r>
      <w:r>
        <w:rPr>
          <w:rFonts w:ascii="Arial" w:cs="Arial" w:eastAsia="Arial" w:hAnsi="Arial"/>
          <w:sz w:val="21"/>
          <w:szCs w:val="21"/>
          <w:color w:val="auto"/>
        </w:rPr>
        <w:t xml:space="preserve"> for so long as such Letter of Credit Usage is outstanding;</w:t>
      </w:r>
    </w:p>
    <w:p>
      <w:pPr>
        <w:spacing w:after="0" w:line="159" w:lineRule="exact"/>
        <w:rPr>
          <w:rFonts w:ascii="Arial" w:cs="Arial" w:eastAsia="Arial" w:hAnsi="Arial"/>
          <w:sz w:val="21"/>
          <w:szCs w:val="21"/>
          <w:color w:val="auto"/>
        </w:rPr>
      </w:pPr>
    </w:p>
    <w:p>
      <w:pPr>
        <w:jc w:val="both"/>
        <w:ind w:left="660" w:firstLine="1292"/>
        <w:spacing w:after="0" w:line="218" w:lineRule="auto"/>
        <w:tabs>
          <w:tab w:leader="none" w:pos="2528" w:val="left"/>
        </w:tabs>
        <w:numPr>
          <w:ilvl w:val="1"/>
          <w:numId w:val="117"/>
        </w:numPr>
        <w:rPr>
          <w:rFonts w:ascii="Arial" w:cs="Arial" w:eastAsia="Arial" w:hAnsi="Arial"/>
          <w:sz w:val="22"/>
          <w:szCs w:val="22"/>
          <w:color w:val="auto"/>
        </w:rPr>
      </w:pPr>
      <w:r>
        <w:rPr>
          <w:rFonts w:ascii="Arial" w:cs="Arial" w:eastAsia="Arial" w:hAnsi="Arial"/>
          <w:sz w:val="22"/>
          <w:szCs w:val="22"/>
          <w:color w:val="auto"/>
        </w:rPr>
        <w:t xml:space="preserve">if the Borrowers cash collateralize any portion of such Defaulting Lender’s Letter of Credit Usage pursuant to clause (B) above, the Borrowers shall not be required to pay any fees to such Defaulting Lender pursuant to </w:t>
      </w:r>
      <w:r>
        <w:rPr>
          <w:rFonts w:ascii="Arial" w:cs="Arial" w:eastAsia="Arial" w:hAnsi="Arial"/>
          <w:sz w:val="22"/>
          <w:szCs w:val="22"/>
          <w:u w:val="single" w:color="auto"/>
          <w:color w:val="auto"/>
        </w:rPr>
        <w:t>Section 2.11(c)</w:t>
      </w:r>
      <w:r>
        <w:rPr>
          <w:rFonts w:ascii="Arial" w:cs="Arial" w:eastAsia="Arial" w:hAnsi="Arial"/>
          <w:sz w:val="22"/>
          <w:szCs w:val="22"/>
          <w:color w:val="auto"/>
        </w:rPr>
        <w:t xml:space="preserve"> with respect to such Defaulting Lender’s Letter of Credit Usage during the period such Defaulting Lender’s Letter of Credit Usage is cash collateralized;</w:t>
      </w:r>
    </w:p>
    <w:p>
      <w:pPr>
        <w:spacing w:after="0" w:line="160" w:lineRule="exact"/>
        <w:rPr>
          <w:rFonts w:ascii="Arial" w:cs="Arial" w:eastAsia="Arial" w:hAnsi="Arial"/>
          <w:sz w:val="22"/>
          <w:szCs w:val="22"/>
          <w:color w:val="auto"/>
        </w:rPr>
      </w:pPr>
    </w:p>
    <w:p>
      <w:pPr>
        <w:ind w:left="660" w:firstLine="1292"/>
        <w:spacing w:after="0" w:line="232" w:lineRule="auto"/>
        <w:tabs>
          <w:tab w:leader="none" w:pos="2565" w:val="left"/>
        </w:tabs>
        <w:numPr>
          <w:ilvl w:val="1"/>
          <w:numId w:val="117"/>
        </w:numPr>
        <w:rPr>
          <w:rFonts w:ascii="Arial" w:cs="Arial" w:eastAsia="Arial" w:hAnsi="Arial"/>
          <w:sz w:val="22"/>
          <w:szCs w:val="22"/>
          <w:color w:val="auto"/>
        </w:rPr>
      </w:pPr>
      <w:r>
        <w:rPr>
          <w:rFonts w:ascii="Arial" w:cs="Arial" w:eastAsia="Arial" w:hAnsi="Arial"/>
          <w:sz w:val="22"/>
          <w:szCs w:val="22"/>
          <w:color w:val="auto"/>
        </w:rPr>
        <w:t>if the Letter of Credit Usage of the Non-Defaulting Lenders is reallocated pursuant to clause (A) above, then the fees payable to the Lenders pursuant to</w:t>
      </w:r>
    </w:p>
    <w:p>
      <w:pPr>
        <w:sectPr>
          <w:pgSz w:w="11900" w:h="16838" w:orient="portrait"/>
          <w:cols w:equalWidth="0" w:num="1">
            <w:col w:w="11240"/>
          </w:cols>
          <w:pgMar w:left="320" w:top="1401" w:right="339" w:bottom="1440" w:gutter="0" w:footer="0" w:header="0"/>
        </w:sectPr>
      </w:pPr>
    </w:p>
    <w:bookmarkStart w:id="127" w:name="page128"/>
    <w:bookmarkEnd w:id="127"/>
    <w:p>
      <w:pPr>
        <w:spacing w:after="0" w:line="232" w:lineRule="auto"/>
        <w:rPr>
          <w:sz w:val="20"/>
          <w:szCs w:val="20"/>
          <w:color w:val="auto"/>
        </w:rPr>
      </w:pPr>
      <w:r>
        <w:rPr>
          <w:rFonts w:ascii="Arial" w:cs="Arial" w:eastAsia="Arial" w:hAnsi="Arial"/>
          <w:sz w:val="22"/>
          <w:szCs w:val="22"/>
          <w:u w:val="single" w:color="auto"/>
          <w:color w:val="auto"/>
        </w:rPr>
        <w:t>Section 2.11(a)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2.11(c)</w:t>
      </w:r>
      <w:r>
        <w:rPr>
          <w:rFonts w:ascii="Arial" w:cs="Arial" w:eastAsia="Arial" w:hAnsi="Arial"/>
          <w:sz w:val="22"/>
          <w:szCs w:val="22"/>
          <w:color w:val="auto"/>
        </w:rPr>
        <w:t xml:space="preserve"> shall be adjusted in accordance with such Non-Defaulting Lenders’ Applicable Percentages; and</w:t>
      </w:r>
    </w:p>
    <w:p>
      <w:pPr>
        <w:spacing w:after="0" w:line="159" w:lineRule="exact"/>
        <w:rPr>
          <w:sz w:val="20"/>
          <w:szCs w:val="20"/>
          <w:color w:val="auto"/>
        </w:rPr>
      </w:pPr>
    </w:p>
    <w:p>
      <w:pPr>
        <w:jc w:val="both"/>
        <w:ind w:firstLine="1292"/>
        <w:spacing w:after="0" w:line="222" w:lineRule="auto"/>
        <w:tabs>
          <w:tab w:leader="none" w:pos="1790" w:val="left"/>
        </w:tabs>
        <w:numPr>
          <w:ilvl w:val="1"/>
          <w:numId w:val="118"/>
        </w:numPr>
        <w:rPr>
          <w:rFonts w:ascii="Arial" w:cs="Arial" w:eastAsia="Arial" w:hAnsi="Arial"/>
          <w:sz w:val="21"/>
          <w:szCs w:val="21"/>
          <w:color w:val="auto"/>
        </w:rPr>
      </w:pPr>
      <w:r>
        <w:rPr>
          <w:rFonts w:ascii="Arial" w:cs="Arial" w:eastAsia="Arial" w:hAnsi="Arial"/>
          <w:sz w:val="21"/>
          <w:szCs w:val="21"/>
          <w:color w:val="auto"/>
        </w:rPr>
        <w:t xml:space="preserve">if all or any portion of such Defaulting Lender’s Letter of Credit Usage is neither reallocated nor cash collateralized pursuant to clause (A) or (B) above, then, without prejudice to any rights or remedies of any Issuing Bank or any other Lender hereunder, all letter of credit fees payable under </w:t>
      </w:r>
      <w:r>
        <w:rPr>
          <w:rFonts w:ascii="Arial" w:cs="Arial" w:eastAsia="Arial" w:hAnsi="Arial"/>
          <w:sz w:val="21"/>
          <w:szCs w:val="21"/>
          <w:u w:val="single" w:color="auto"/>
          <w:color w:val="auto"/>
        </w:rPr>
        <w:t>Section 2.11(c)</w:t>
      </w:r>
      <w:r>
        <w:rPr>
          <w:rFonts w:ascii="Arial" w:cs="Arial" w:eastAsia="Arial" w:hAnsi="Arial"/>
          <w:sz w:val="21"/>
          <w:szCs w:val="21"/>
          <w:color w:val="auto"/>
        </w:rPr>
        <w:t xml:space="preserve"> with respect to such Defaulting Lender’s Letter of Credit Usage shall be payable to the Issuing Banks (and allocated among them ratably based on the amount of such Defaulting Lender’s Letter of Credit Usage attributable to Letter of Credits issued by each Issuing Bank) until and to the extent that such Letter of Credit Usage is reallocated and/or cash collateralized in accordance with the procedures set forth in </w:t>
      </w:r>
      <w:r>
        <w:rPr>
          <w:rFonts w:ascii="Arial" w:cs="Arial" w:eastAsia="Arial" w:hAnsi="Arial"/>
          <w:sz w:val="21"/>
          <w:szCs w:val="21"/>
          <w:u w:val="single" w:color="auto"/>
          <w:color w:val="auto"/>
        </w:rPr>
        <w:t>Section 2.4(j)</w:t>
      </w:r>
      <w:r>
        <w:rPr>
          <w:rFonts w:ascii="Arial" w:cs="Arial" w:eastAsia="Arial" w:hAnsi="Arial"/>
          <w:sz w:val="21"/>
          <w:szCs w:val="21"/>
          <w:color w:val="auto"/>
        </w:rPr>
        <w:t>;</w:t>
      </w:r>
    </w:p>
    <w:p>
      <w:pPr>
        <w:spacing w:after="0" w:line="164" w:lineRule="exact"/>
        <w:rPr>
          <w:rFonts w:ascii="Arial" w:cs="Arial" w:eastAsia="Arial" w:hAnsi="Arial"/>
          <w:sz w:val="21"/>
          <w:szCs w:val="21"/>
          <w:color w:val="auto"/>
        </w:rPr>
      </w:pPr>
    </w:p>
    <w:p>
      <w:pPr>
        <w:jc w:val="both"/>
        <w:ind w:firstLine="644"/>
        <w:spacing w:after="0" w:line="249" w:lineRule="auto"/>
        <w:tabs>
          <w:tab w:leader="none" w:pos="1209"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so long as such Lender is a Defaulting Lender, no Issuing Bank shall be required to issue, amend, extend or increase any Letter of Credit, unless it is satisfied that the related exposure and the Defaulting Lender’s then outstanding Letter of Credit Usage will be 100% covered by the Commitments of the Non-Defaulting Lenders and/or cash collateral will be provided by Borrowers in accordance with </w:t>
      </w:r>
      <w:r>
        <w:rPr>
          <w:rFonts w:ascii="Arial" w:cs="Arial" w:eastAsia="Arial" w:hAnsi="Arial"/>
          <w:sz w:val="19"/>
          <w:szCs w:val="19"/>
          <w:u w:val="single" w:color="auto"/>
          <w:color w:val="auto"/>
        </w:rPr>
        <w:t>Section 2.21(a)(ii)</w:t>
      </w:r>
      <w:r>
        <w:rPr>
          <w:rFonts w:ascii="Arial" w:cs="Arial" w:eastAsia="Arial" w:hAnsi="Arial"/>
          <w:sz w:val="19"/>
          <w:szCs w:val="19"/>
          <w:color w:val="auto"/>
        </w:rPr>
        <w:t xml:space="preserve">, and participating interests in any newly issued, amended, extended or increased Letter of Credit shall be allocated among Non-Defaulting Lenders in a manner consistent with </w:t>
      </w:r>
      <w:r>
        <w:rPr>
          <w:rFonts w:ascii="Arial" w:cs="Arial" w:eastAsia="Arial" w:hAnsi="Arial"/>
          <w:sz w:val="19"/>
          <w:szCs w:val="19"/>
          <w:u w:val="single" w:color="auto"/>
          <w:color w:val="auto"/>
        </w:rPr>
        <w:t>Section 2.21(a)(ii)(A)</w:t>
      </w:r>
      <w:r>
        <w:rPr>
          <w:rFonts w:ascii="Arial" w:cs="Arial" w:eastAsia="Arial" w:hAnsi="Arial"/>
          <w:sz w:val="19"/>
          <w:szCs w:val="19"/>
          <w:color w:val="auto"/>
        </w:rPr>
        <w:t xml:space="preserve"> (and such Defaulting Lender shall not participate therein);</w:t>
      </w:r>
    </w:p>
    <w:p>
      <w:pPr>
        <w:spacing w:after="0" w:line="151" w:lineRule="exact"/>
        <w:rPr>
          <w:rFonts w:ascii="Arial" w:cs="Arial" w:eastAsia="Arial" w:hAnsi="Arial"/>
          <w:sz w:val="19"/>
          <w:szCs w:val="19"/>
          <w:color w:val="auto"/>
        </w:rPr>
      </w:pPr>
    </w:p>
    <w:p>
      <w:pPr>
        <w:jc w:val="both"/>
        <w:ind w:firstLine="644"/>
        <w:spacing w:after="0"/>
        <w:tabs>
          <w:tab w:leader="none" w:pos="1307"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any payment of principal, interest, fees or other amounts received by the Administrative Agent for the account of such Defaulting Lender (whether voluntary or mandatory, at maturity, pursuant to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or otherwise) or received by the Administrative Agent from a Defaulting Lender pursuant to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shall be applied at such time or times as may be determined by the Administrative Agent as follows: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the payment of any amounts owing by such Defaulting Lender to the Administrative Agent hereunder; </w:t>
      </w:r>
      <w:r>
        <w:rPr>
          <w:rFonts w:ascii="Arial" w:cs="Arial" w:eastAsia="Arial" w:hAnsi="Arial"/>
          <w:sz w:val="19"/>
          <w:szCs w:val="19"/>
          <w:i w:val="1"/>
          <w:iCs w:val="1"/>
          <w:color w:val="auto"/>
        </w:rPr>
        <w:t>second</w:t>
      </w:r>
      <w:r>
        <w:rPr>
          <w:rFonts w:ascii="Arial" w:cs="Arial" w:eastAsia="Arial" w:hAnsi="Arial"/>
          <w:sz w:val="19"/>
          <w:szCs w:val="19"/>
          <w:color w:val="auto"/>
        </w:rPr>
        <w:t xml:space="preserve">, to the payment on a pro rata basis of any amounts owing by such Defaulting Lender to each Issuing Bank hereunder; </w:t>
      </w:r>
      <w:r>
        <w:rPr>
          <w:rFonts w:ascii="Arial" w:cs="Arial" w:eastAsia="Arial" w:hAnsi="Arial"/>
          <w:sz w:val="19"/>
          <w:szCs w:val="19"/>
          <w:i w:val="1"/>
          <w:iCs w:val="1"/>
          <w:color w:val="auto"/>
        </w:rPr>
        <w:t>third</w:t>
      </w:r>
      <w:r>
        <w:rPr>
          <w:rFonts w:ascii="Arial" w:cs="Arial" w:eastAsia="Arial" w:hAnsi="Arial"/>
          <w:sz w:val="19"/>
          <w:szCs w:val="19"/>
          <w:color w:val="auto"/>
        </w:rPr>
        <w:t xml:space="preserve">, to cash collateralize each Issuing Bank’s Letter of Credit Usage with respect to such Defaulting Lender in accordance with </w:t>
      </w:r>
      <w:r>
        <w:rPr>
          <w:rFonts w:ascii="Arial" w:cs="Arial" w:eastAsia="Arial" w:hAnsi="Arial"/>
          <w:sz w:val="19"/>
          <w:szCs w:val="19"/>
          <w:u w:val="single" w:color="auto"/>
          <w:color w:val="auto"/>
        </w:rPr>
        <w:t>Section 2.4(j)</w:t>
      </w:r>
      <w:r>
        <w:rPr>
          <w:rFonts w:ascii="Arial" w:cs="Arial" w:eastAsia="Arial" w:hAnsi="Arial"/>
          <w:sz w:val="19"/>
          <w:szCs w:val="19"/>
          <w:color w:val="auto"/>
        </w:rPr>
        <w:t xml:space="preserve">; </w:t>
      </w:r>
      <w:r>
        <w:rPr>
          <w:rFonts w:ascii="Arial" w:cs="Arial" w:eastAsia="Arial" w:hAnsi="Arial"/>
          <w:sz w:val="19"/>
          <w:szCs w:val="19"/>
          <w:i w:val="1"/>
          <w:iCs w:val="1"/>
          <w:color w:val="auto"/>
        </w:rPr>
        <w:t>fourth</w:t>
      </w:r>
      <w:r>
        <w:rPr>
          <w:rFonts w:ascii="Arial" w:cs="Arial" w:eastAsia="Arial" w:hAnsi="Arial"/>
          <w:sz w:val="19"/>
          <w:szCs w:val="19"/>
          <w:color w:val="auto"/>
        </w:rPr>
        <w:t xml:space="preserve">, as the Borrowers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9"/>
          <w:szCs w:val="19"/>
          <w:i w:val="1"/>
          <w:iCs w:val="1"/>
          <w:color w:val="auto"/>
        </w:rPr>
        <w:t>fifth</w:t>
      </w:r>
      <w:r>
        <w:rPr>
          <w:rFonts w:ascii="Arial" w:cs="Arial" w:eastAsia="Arial" w:hAnsi="Arial"/>
          <w:sz w:val="19"/>
          <w:szCs w:val="19"/>
          <w:color w:val="auto"/>
        </w:rPr>
        <w:t>, if so determined by the Administrative Agent and the Borrowers, to be held in a non-interest bearing deposit account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and released pro rata in order to (x) satisfy such Defaulting Lender’s potential future funding obligations with respect to Loans under this Agreement and (y) cash collateralize each Issuing Bank’s future Letter of Credit Usage with respect to such Defaulting Lender with respect to future Letters of Credit issued under this Agreement,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2.4(j)</w:t>
      </w:r>
      <w:r>
        <w:rPr>
          <w:rFonts w:ascii="Arial" w:cs="Arial" w:eastAsia="Arial" w:hAnsi="Arial"/>
          <w:sz w:val="19"/>
          <w:szCs w:val="19"/>
          <w:color w:val="auto"/>
        </w:rPr>
        <w:t xml:space="preserve">; </w:t>
      </w:r>
      <w:r>
        <w:rPr>
          <w:rFonts w:ascii="Arial" w:cs="Arial" w:eastAsia="Arial" w:hAnsi="Arial"/>
          <w:sz w:val="19"/>
          <w:szCs w:val="19"/>
          <w:i w:val="1"/>
          <w:iCs w:val="1"/>
          <w:color w:val="auto"/>
        </w:rPr>
        <w:t>sixth</w:t>
      </w:r>
      <w:r>
        <w:rPr>
          <w:rFonts w:ascii="Arial" w:cs="Arial" w:eastAsia="Arial" w:hAnsi="Arial"/>
          <w:sz w:val="19"/>
          <w:szCs w:val="19"/>
          <w:color w:val="auto"/>
        </w:rPr>
        <w:t xml:space="preserve">, to the payment of any amounts owing to the Lenders or the Issuing Banks as a result of any judgment of a court of competent jurisdiction obtained by any Lender or any Issuing Bank against such Defaulting Lender as a result of such Defaulting Lender’s breach of its obligations under this Agreement; </w:t>
      </w:r>
      <w:r>
        <w:rPr>
          <w:rFonts w:ascii="Arial" w:cs="Arial" w:eastAsia="Arial" w:hAnsi="Arial"/>
          <w:sz w:val="19"/>
          <w:szCs w:val="19"/>
          <w:i w:val="1"/>
          <w:iCs w:val="1"/>
          <w:color w:val="auto"/>
        </w:rPr>
        <w:t>seventh</w:t>
      </w:r>
      <w:r>
        <w:rPr>
          <w:rFonts w:ascii="Arial" w:cs="Arial" w:eastAsia="Arial" w:hAnsi="Arial"/>
          <w:sz w:val="19"/>
          <w:szCs w:val="19"/>
          <w:color w:val="auto"/>
        </w:rPr>
        <w:t xml:space="preserve">, so long as no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and </w:t>
      </w:r>
      <w:r>
        <w:rPr>
          <w:rFonts w:ascii="Arial" w:cs="Arial" w:eastAsia="Arial" w:hAnsi="Arial"/>
          <w:sz w:val="19"/>
          <w:szCs w:val="19"/>
          <w:i w:val="1"/>
          <w:iCs w:val="1"/>
          <w:color w:val="auto"/>
        </w:rPr>
        <w:t>eighth</w:t>
      </w:r>
      <w:r>
        <w:rPr>
          <w:rFonts w:ascii="Arial" w:cs="Arial" w:eastAsia="Arial" w:hAnsi="Arial"/>
          <w:sz w:val="19"/>
          <w:szCs w:val="19"/>
          <w:color w:val="auto"/>
        </w:rPr>
        <w:t xml:space="preserve">, to such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(x) such payment is a payment of the principal amount of any Loans or Letters of Credit disbursements in respect of which such Defaulting Lender has not fully funded its appropriate share, and (y) such Loans or Letters of Credit were made when the conditions set forth in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were satisfied or waived, such payment shall be applied solely to pay the Loans of or Letters of Credit disbursements owed to all Non-Defaulting Lenders on a pro rata basis prior to being</w:t>
      </w:r>
    </w:p>
    <w:p>
      <w:pPr>
        <w:sectPr>
          <w:pgSz w:w="11900" w:h="16838" w:orient="portrait"/>
          <w:cols w:equalWidth="0" w:num="1">
            <w:col w:w="10580"/>
          </w:cols>
          <w:pgMar w:left="980" w:top="1401" w:right="339" w:bottom="1440" w:gutter="0" w:footer="0" w:header="0"/>
        </w:sectPr>
      </w:pPr>
    </w:p>
    <w:bookmarkStart w:id="128" w:name="page129"/>
    <w:bookmarkEnd w:id="128"/>
    <w:p>
      <w:pPr>
        <w:jc w:val="both"/>
        <w:ind w:left="660"/>
        <w:spacing w:after="0" w:line="252" w:lineRule="auto"/>
        <w:rPr>
          <w:sz w:val="20"/>
          <w:szCs w:val="20"/>
          <w:color w:val="auto"/>
        </w:rPr>
      </w:pPr>
      <w:r>
        <w:rPr>
          <w:rFonts w:ascii="Arial" w:cs="Arial" w:eastAsia="Arial" w:hAnsi="Arial"/>
          <w:sz w:val="19"/>
          <w:szCs w:val="19"/>
          <w:color w:val="auto"/>
        </w:rPr>
        <w:t xml:space="preserve">applied to the payment of any Loans of such Defaulting Lender until such time as all Loans and funded and unfunded participations in Letters of Credit are held by the Lenders pro rata in accordance with the Commitments (without giving effect to </w:t>
      </w:r>
      <w:r>
        <w:rPr>
          <w:rFonts w:ascii="Arial" w:cs="Arial" w:eastAsia="Arial" w:hAnsi="Arial"/>
          <w:sz w:val="19"/>
          <w:szCs w:val="19"/>
          <w:u w:val="single" w:color="auto"/>
          <w:color w:val="auto"/>
        </w:rPr>
        <w:t>Section 2.21(a)(ii)(A)</w:t>
      </w:r>
      <w:r>
        <w:rPr>
          <w:rFonts w:ascii="Arial" w:cs="Arial" w:eastAsia="Arial" w:hAnsi="Arial"/>
          <w:sz w:val="19"/>
          <w:szCs w:val="19"/>
          <w:color w:val="auto"/>
        </w:rPr>
        <w:t>).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 and</w:t>
      </w:r>
    </w:p>
    <w:p>
      <w:pPr>
        <w:spacing w:after="0" w:line="149" w:lineRule="exact"/>
        <w:rPr>
          <w:sz w:val="20"/>
          <w:szCs w:val="20"/>
          <w:color w:val="auto"/>
        </w:rPr>
      </w:pPr>
    </w:p>
    <w:p>
      <w:pPr>
        <w:jc w:val="both"/>
        <w:ind w:left="660" w:firstLine="644"/>
        <w:spacing w:after="0" w:line="223" w:lineRule="auto"/>
        <w:tabs>
          <w:tab w:leader="none" w:pos="189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 xml:space="preserve">No Defaulting Lender shall be entitled to receive any commitment fee pursuant to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for any period during which that Lender is a Defaulting Lender (and the Borrowers shall not be required to pay any such fee that otherwise would have been required to have been paid to that Defaulting Lender).</w:t>
      </w:r>
    </w:p>
    <w:p>
      <w:pPr>
        <w:spacing w:after="0" w:line="158" w:lineRule="exact"/>
        <w:rPr>
          <w:rFonts w:ascii="Arial" w:cs="Arial" w:eastAsia="Arial" w:hAnsi="Arial"/>
          <w:sz w:val="22"/>
          <w:szCs w:val="22"/>
          <w:color w:val="auto"/>
        </w:rPr>
      </w:pPr>
    </w:p>
    <w:p>
      <w:pPr>
        <w:jc w:val="both"/>
        <w:ind w:left="80" w:firstLine="1305"/>
        <w:spacing w:after="0" w:line="214" w:lineRule="auto"/>
        <w:tabs>
          <w:tab w:leader="none" w:pos="1936" w:val="left"/>
        </w:tabs>
        <w:numPr>
          <w:ilvl w:val="1"/>
          <w:numId w:val="120"/>
        </w:numPr>
        <w:rPr>
          <w:rFonts w:ascii="Arial" w:cs="Arial" w:eastAsia="Arial" w:hAnsi="Arial"/>
          <w:sz w:val="22"/>
          <w:szCs w:val="22"/>
          <w:color w:val="auto"/>
        </w:rPr>
      </w:pPr>
      <w:r>
        <w:rPr>
          <w:rFonts w:ascii="Arial" w:cs="Arial" w:eastAsia="Arial" w:hAnsi="Arial"/>
          <w:sz w:val="22"/>
          <w:szCs w:val="22"/>
          <w:color w:val="auto"/>
        </w:rPr>
        <w:t>If (i) any Lender becomes a Defaulting Lender or (ii) any Issuing Bank has a good faith belief that any Lender will become a Defaulting Lender, such Issuing Bank shall not be required to issue, amend, extend or increase any Letter of Credit, unless such Issuing Bank shall have entered into arrangements with the Borrowers or such Lender, reasonably satisfactory to such Issuing Bank to defease any risk to it in respect of such Lender hereunder, which may include cash collateralization of the Defaulting Lender’s Applicable Percentage of the Revolving Exposure associated with the applicable Letter of Credit in an amount equal to 103.0% thereof.</w:t>
      </w:r>
    </w:p>
    <w:p>
      <w:pPr>
        <w:spacing w:after="0" w:line="158" w:lineRule="exact"/>
        <w:rPr>
          <w:rFonts w:ascii="Arial" w:cs="Arial" w:eastAsia="Arial" w:hAnsi="Arial"/>
          <w:sz w:val="22"/>
          <w:szCs w:val="22"/>
          <w:color w:val="auto"/>
        </w:rPr>
      </w:pPr>
    </w:p>
    <w:p>
      <w:pPr>
        <w:jc w:val="both"/>
        <w:ind w:left="80" w:firstLine="1305"/>
        <w:spacing w:after="0" w:line="220" w:lineRule="auto"/>
        <w:tabs>
          <w:tab w:leader="none" w:pos="1860" w:val="left"/>
        </w:tabs>
        <w:numPr>
          <w:ilvl w:val="1"/>
          <w:numId w:val="120"/>
        </w:numPr>
        <w:rPr>
          <w:rFonts w:ascii="Arial" w:cs="Arial" w:eastAsia="Arial" w:hAnsi="Arial"/>
          <w:sz w:val="21"/>
          <w:szCs w:val="21"/>
          <w:color w:val="auto"/>
        </w:rPr>
      </w:pPr>
      <w:r>
        <w:rPr>
          <w:rFonts w:ascii="Arial" w:cs="Arial" w:eastAsia="Arial" w:hAnsi="Arial"/>
          <w:sz w:val="21"/>
          <w:szCs w:val="21"/>
          <w:color w:val="auto"/>
        </w:rPr>
        <w:t xml:space="preserve">If the Borrowers, each Issuing Bank and the Administrative Agent each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or take such other actions as the Administrative Agent may determine to be necessary to cause the Loans to be held on a pro rata basis by the Lenders in accordance with their respective Applicable Percentages, whereupon such Lender will cease to be a Defaulting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adjustments will be made retroactively with respect to fees accrued or payments made by or on behalf of the Borrowers while that Lender was a Defaulting Lender;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62"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ARTICLE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3873500</wp:posOffset>
            </wp:positionH>
            <wp:positionV relativeFrom="paragraph">
              <wp:posOffset>-17780</wp:posOffset>
            </wp:positionV>
            <wp:extent cx="1371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9" w:lineRule="exact"/>
        <w:rPr>
          <w:sz w:val="20"/>
          <w:szCs w:val="20"/>
          <w:color w:val="auto"/>
        </w:rPr>
      </w:pPr>
    </w:p>
    <w:p>
      <w:pPr>
        <w:ind w:left="3660"/>
        <w:spacing w:after="0"/>
        <w:rPr>
          <w:sz w:val="20"/>
          <w:szCs w:val="20"/>
          <w:color w:val="auto"/>
        </w:rPr>
      </w:pPr>
      <w:r>
        <w:rPr>
          <w:rFonts w:ascii="Arial" w:cs="Arial" w:eastAsia="Arial" w:hAnsi="Arial"/>
          <w:sz w:val="22"/>
          <w:szCs w:val="22"/>
          <w:u w:val="single" w:color="auto"/>
          <w:color w:val="auto"/>
        </w:rPr>
        <w:t>REPRESENTATIONS AND WARRANTIES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Each Loan Party represents and warrants to the Lenders and the Issuing Banks that:</w:t>
      </w:r>
    </w:p>
    <w:p>
      <w:pPr>
        <w:spacing w:after="0" w:line="17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u w:val="single" w:color="auto"/>
          <w:color w:val="auto"/>
        </w:rPr>
        <w:t>Organization; Powers</w:t>
      </w:r>
      <w:r>
        <w:rPr>
          <w:rFonts w:ascii="Arial" w:cs="Arial" w:eastAsia="Arial" w:hAnsi="Arial"/>
          <w:sz w:val="19"/>
          <w:szCs w:val="19"/>
          <w:color w:val="auto"/>
        </w:rPr>
        <w:t xml:space="preserve"> . Each of Holdings and its Restricted Subsidiaries is duly organized, validly existing and (to the extent the concept is applicable in such jurisdiction) in good standing under the laws of the jurisdiction of its organization, has all requisite power and authority to carry on its business as now conducted and, except where the failure to do so, individually or in the aggregate, has not resulted in and could not reasonably be expected to result in a Material Adverse Effect, is qualified to do business in, and is in good standing in, every jurisdiction where such qualification is required.</w:t>
      </w:r>
    </w:p>
    <w:p>
      <w:pPr>
        <w:spacing w:after="0" w:line="14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Section 3.2 </w:t>
      </w:r>
      <w:r>
        <w:rPr>
          <w:rFonts w:ascii="Arial" w:cs="Arial" w:eastAsia="Arial" w:hAnsi="Arial"/>
          <w:sz w:val="22"/>
          <w:szCs w:val="22"/>
          <w:u w:val="single" w:color="auto"/>
          <w:color w:val="auto"/>
        </w:rPr>
        <w:t>Authorization; Enforceability</w:t>
      </w:r>
      <w:r>
        <w:rPr>
          <w:rFonts w:ascii="Arial" w:cs="Arial" w:eastAsia="Arial" w:hAnsi="Arial"/>
          <w:sz w:val="22"/>
          <w:szCs w:val="22"/>
          <w:color w:val="auto"/>
        </w:rPr>
        <w:t>. The Transactions are within each Loan Party’s corporate or other organizational powers and have been duly authorized by all necessary corporate or other organizational and, if required, equity holder action. Each Loan</w:t>
      </w:r>
    </w:p>
    <w:p>
      <w:pPr>
        <w:sectPr>
          <w:pgSz w:w="11900" w:h="16838" w:orient="portrait"/>
          <w:cols w:equalWidth="0" w:num="1">
            <w:col w:w="11240"/>
          </w:cols>
          <w:pgMar w:left="320" w:top="1401" w:right="339" w:bottom="1440" w:gutter="0" w:footer="0" w:header="0"/>
        </w:sectPr>
      </w:pPr>
    </w:p>
    <w:bookmarkStart w:id="129" w:name="page130"/>
    <w:bookmarkEnd w:id="129"/>
    <w:p>
      <w:pPr>
        <w:jc w:val="both"/>
        <w:spacing w:after="0" w:line="252" w:lineRule="auto"/>
        <w:rPr>
          <w:sz w:val="20"/>
          <w:szCs w:val="20"/>
          <w:color w:val="auto"/>
        </w:rPr>
      </w:pPr>
      <w:r>
        <w:rPr>
          <w:rFonts w:ascii="Arial" w:cs="Arial" w:eastAsia="Arial" w:hAnsi="Arial"/>
          <w:sz w:val="19"/>
          <w:szCs w:val="19"/>
          <w:color w:val="auto"/>
        </w:rPr>
        <w:t>Party has duly executed and delivered each of the Loan Documents to which it is party, and each of such Loan Documents constitutes its legal, valid and binding obligations, enforceable in accordance with its terms, subject to (a) applicable bankruptcy, insolvency, reorganization, moratorium or other laws affecting creditors’ rights generally, (b) general principles of equity, regardless of whether considered in a proceeding in equity or at law and (c) the need for filings and registrations necessary to perfect the Liens on the Collateral granted by the Loan Parties in favor of the Collateral Agent.</w:t>
      </w:r>
    </w:p>
    <w:p>
      <w:pPr>
        <w:spacing w:after="0" w:line="14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 xml:space="preserve">Section 3.3 </w:t>
      </w:r>
      <w:r>
        <w:rPr>
          <w:rFonts w:ascii="Arial" w:cs="Arial" w:eastAsia="Arial" w:hAnsi="Arial"/>
          <w:sz w:val="19"/>
          <w:szCs w:val="19"/>
          <w:u w:val="single" w:color="auto"/>
          <w:color w:val="auto"/>
        </w:rPr>
        <w:t>Governmental Approvals; No Conflicts</w:t>
      </w:r>
      <w:r>
        <w:rPr>
          <w:rFonts w:ascii="Arial" w:cs="Arial" w:eastAsia="Arial" w:hAnsi="Arial"/>
          <w:sz w:val="19"/>
          <w:szCs w:val="19"/>
          <w:color w:val="auto"/>
        </w:rPr>
        <w:t>. The Transactions (a) do not require any consent or approval of, registration or filing with, or any other action by, any Governmental Authority, except (i) such as have been obtained or made and are in full force and effect (ii) those approvals, consents, registrations, filings or other actions, the failure of which to obtain or make has not had and could not reasonably be expected to have a Material Adverse Effect, (iii) the filing of Uniform Commercial Code financing statements, (iv) filings with the United States Patent and Trademark Office and the United States Copyright Office and comparable offices in foreign jurisdictions and equivalent filings in foreign jurisdictions and (v) any other filings or registrations required to perfect Liens created by the Security Documents, (b) except as has not had and could not reasonably be expected to have a Material Adverse Effect, will not violate any applicable law or regulation or any order of any Governmental Authority, (c) will not violate any charter, by-laws or other organizational document of Holdings or any of its Restricted Subsidiaries, (d) except as has not had and could not reasonably be expected to have a Material Adverse Effect, will not violate or result in a default under any indenture, agreement or other instrument (other than the agreements and instruments referred to in clause (c)) binding upon Holdings or any of its Restricted Subsidiaries or its assets, or give rise to a right thereunder to require any payment to be made by Holdings or any of its Restricted Subsidiaries, and (e) will not result in the creation or imposition of any Lien on any asset of Holdings or any of its Restricted Subsidiaries (other than the Liens created pursuant to the Collateral Documents).</w:t>
      </w:r>
    </w:p>
    <w:p>
      <w:pPr>
        <w:spacing w:after="0" w:line="384"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Section 3.4 </w:t>
      </w:r>
      <w:r>
        <w:rPr>
          <w:rFonts w:ascii="Arial" w:cs="Arial" w:eastAsia="Arial" w:hAnsi="Arial"/>
          <w:sz w:val="19"/>
          <w:szCs w:val="19"/>
          <w:u w:val="single" w:color="auto"/>
          <w:color w:val="auto"/>
        </w:rPr>
        <w:t>Financial Condition; No Material Adverse Effects</w:t>
      </w:r>
      <w:r>
        <w:rPr>
          <w:rFonts w:ascii="Arial" w:cs="Arial" w:eastAsia="Arial" w:hAnsi="Arial"/>
          <w:sz w:val="19"/>
          <w:szCs w:val="19"/>
          <w:color w:val="auto"/>
        </w:rPr>
        <w:t xml:space="preserve">. (a) Holdings has heretofore furnished to the Administrative Agent (i) its consolidated balance sheet and related statements of income, stockholders equity and cash flows as of and for the fiscal years ended December 31, 2020, December 31, 2019, and December 31, 2018, reported on by PricewaterhouseCoopers LLP, independent public accountants and (ii) its unaudited consolidated balance sheet and related statements of income, stockholders equity and cash flows as of and for the fiscal quarter ended June 30, 2021 and the then elapsed portion of the fiscal year then ended. Other than as set forth on </w:t>
      </w:r>
      <w:r>
        <w:rPr>
          <w:rFonts w:ascii="Arial" w:cs="Arial" w:eastAsia="Arial" w:hAnsi="Arial"/>
          <w:sz w:val="19"/>
          <w:szCs w:val="19"/>
          <w:u w:val="single" w:color="auto"/>
          <w:color w:val="auto"/>
        </w:rPr>
        <w:t>Schedule 3.4</w:t>
      </w:r>
      <w:r>
        <w:rPr>
          <w:rFonts w:ascii="Arial" w:cs="Arial" w:eastAsia="Arial" w:hAnsi="Arial"/>
          <w:sz w:val="19"/>
          <w:szCs w:val="19"/>
          <w:color w:val="auto"/>
        </w:rPr>
        <w:t>, such financial statements present fairly, in all material respects, the financial position and results of operations and cash flows of Holdings and its consolidated Restricted Subsidiaries as of such dates and for such periods in accordance with GAAP, subject, in the case of the quarterly financial statements referred to in clause (ii), to normal year-end audit adjustments and the absence of certain footnotes.</w:t>
      </w:r>
    </w:p>
    <w:p>
      <w:pPr>
        <w:spacing w:after="0" w:line="161" w:lineRule="exact"/>
        <w:rPr>
          <w:sz w:val="20"/>
          <w:szCs w:val="20"/>
          <w:color w:val="auto"/>
        </w:rPr>
      </w:pPr>
    </w:p>
    <w:p>
      <w:pPr>
        <w:jc w:val="both"/>
        <w:ind w:left="80" w:firstLine="1305"/>
        <w:spacing w:after="0" w:line="223" w:lineRule="auto"/>
        <w:tabs>
          <w:tab w:leader="none" w:pos="1925" w:val="left"/>
        </w:tabs>
        <w:numPr>
          <w:ilvl w:val="0"/>
          <w:numId w:val="121"/>
        </w:numPr>
        <w:rPr>
          <w:rFonts w:ascii="Arial" w:cs="Arial" w:eastAsia="Arial" w:hAnsi="Arial"/>
          <w:sz w:val="22"/>
          <w:szCs w:val="22"/>
          <w:color w:val="auto"/>
        </w:rPr>
      </w:pPr>
      <w:r>
        <w:rPr>
          <w:rFonts w:ascii="Arial" w:cs="Arial" w:eastAsia="Arial" w:hAnsi="Arial"/>
          <w:sz w:val="22"/>
          <w:szCs w:val="22"/>
          <w:color w:val="auto"/>
        </w:rPr>
        <w:t>Since December 31, 2020, no event, development or circumstance exists or has occurred that has had or would reasonably be expected to have a material adverse effect on the business, property, financial condition or results of operations of Holdings and its Restricted Subsidiaries, taken as a whole.</w:t>
      </w:r>
    </w:p>
    <w:p>
      <w:pPr>
        <w:spacing w:after="0" w:line="15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 xml:space="preserve">Section 3.5 </w:t>
      </w:r>
      <w:r>
        <w:rPr>
          <w:rFonts w:ascii="Arial" w:cs="Arial" w:eastAsia="Arial" w:hAnsi="Arial"/>
          <w:sz w:val="19"/>
          <w:szCs w:val="19"/>
          <w:u w:val="single" w:color="auto"/>
          <w:color w:val="auto"/>
        </w:rPr>
        <w:t>Properties</w:t>
      </w:r>
      <w:r>
        <w:rPr>
          <w:rFonts w:ascii="Arial" w:cs="Arial" w:eastAsia="Arial" w:hAnsi="Arial"/>
          <w:sz w:val="19"/>
          <w:szCs w:val="19"/>
          <w:color w:val="auto"/>
        </w:rPr>
        <w:t xml:space="preserve">. (a) Each of Holdings and its Restricted Subsidiaries has good title to, or valid leasehold interests in or rights to use, all its real and personal property material to its business, except for minor defects in title that do not interfere with its ability to conduct its business as currently conducted or to utilize such properties for their intended purposes. Except as permitted by this Agreement, all such properties and assets are free and clear of Liens, other than (i) Permitted Encumbrances, (ii) Liens arising by operation of law and (iii) Liens permitted by </w:t>
      </w:r>
      <w:r>
        <w:rPr>
          <w:rFonts w:ascii="Arial" w:cs="Arial" w:eastAsia="Arial" w:hAnsi="Arial"/>
          <w:sz w:val="19"/>
          <w:szCs w:val="19"/>
          <w:u w:val="single" w:color="auto"/>
          <w:color w:val="auto"/>
        </w:rPr>
        <w:t>Section 6.2</w:t>
      </w:r>
      <w:r>
        <w:rPr>
          <w:rFonts w:ascii="Arial" w:cs="Arial" w:eastAsia="Arial" w:hAnsi="Arial"/>
          <w:sz w:val="19"/>
          <w:szCs w:val="19"/>
          <w:color w:val="auto"/>
        </w:rPr>
        <w:t>.</w:t>
      </w:r>
    </w:p>
    <w:p>
      <w:pPr>
        <w:sectPr>
          <w:pgSz w:w="11900" w:h="16838" w:orient="portrait"/>
          <w:cols w:equalWidth="0" w:num="1">
            <w:col w:w="11240"/>
          </w:cols>
          <w:pgMar w:left="320" w:top="1401" w:right="339" w:bottom="1440" w:gutter="0" w:footer="0" w:header="0"/>
        </w:sectPr>
      </w:pPr>
    </w:p>
    <w:bookmarkStart w:id="130" w:name="page131"/>
    <w:bookmarkEnd w:id="130"/>
    <w:p>
      <w:pPr>
        <w:ind w:left="1860" w:hanging="475"/>
        <w:spacing w:after="0"/>
        <w:tabs>
          <w:tab w:leader="none" w:pos="186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As of the Effective Date, </w:t>
      </w:r>
      <w:r>
        <w:rPr>
          <w:rFonts w:ascii="Arial" w:cs="Arial" w:eastAsia="Arial" w:hAnsi="Arial"/>
          <w:sz w:val="19"/>
          <w:szCs w:val="19"/>
          <w:u w:val="single" w:color="auto"/>
          <w:color w:val="auto"/>
        </w:rPr>
        <w:t>Schedule 3.5</w:t>
      </w:r>
      <w:r>
        <w:rPr>
          <w:rFonts w:ascii="Arial" w:cs="Arial" w:eastAsia="Arial" w:hAnsi="Arial"/>
          <w:sz w:val="19"/>
          <w:szCs w:val="19"/>
          <w:color w:val="auto"/>
        </w:rPr>
        <w:t xml:space="preserve"> contains a true, accurate and complete list of all Material Real Estate</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Assets.</w:t>
      </w:r>
    </w:p>
    <w:p>
      <w:pPr>
        <w:spacing w:after="0" w:line="161" w:lineRule="exact"/>
        <w:rPr>
          <w:sz w:val="20"/>
          <w:szCs w:val="20"/>
          <w:color w:val="auto"/>
        </w:rPr>
      </w:pPr>
    </w:p>
    <w:p>
      <w:pPr>
        <w:jc w:val="both"/>
        <w:ind w:left="80" w:firstLine="1305"/>
        <w:spacing w:after="0" w:line="226" w:lineRule="auto"/>
        <w:tabs>
          <w:tab w:leader="none" w:pos="1998" w:val="left"/>
        </w:tabs>
        <w:numPr>
          <w:ilvl w:val="0"/>
          <w:numId w:val="123"/>
        </w:numPr>
        <w:rPr>
          <w:rFonts w:ascii="Arial" w:cs="Arial" w:eastAsia="Arial" w:hAnsi="Arial"/>
          <w:sz w:val="21"/>
          <w:szCs w:val="21"/>
          <w:color w:val="auto"/>
        </w:rPr>
      </w:pPr>
      <w:r>
        <w:rPr>
          <w:rFonts w:ascii="Arial" w:cs="Arial" w:eastAsia="Arial" w:hAnsi="Arial"/>
          <w:sz w:val="21"/>
          <w:szCs w:val="21"/>
          <w:color w:val="auto"/>
        </w:rPr>
        <w:t>Each of Holdings and its Restricted Subsidiaries owns, or is licensed to use, all material Intellectual Property material to, used in and necessary to its business as currently conducted, free and clear of all Liens except for those Liens permitted by Section 6.2, and the use thereof by Holdings and its Restricted Subsidiaries does not infringe upon the rights of any other Person, except for any such infringements that, individually or in the aggregate, have not resulted and would not reasonably be expected to result in a Material Adverse Effect.</w:t>
      </w:r>
    </w:p>
    <w:p>
      <w:pPr>
        <w:spacing w:after="0" w:line="159"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 xml:space="preserve">Section 3.6 </w:t>
      </w:r>
      <w:r>
        <w:rPr>
          <w:rFonts w:ascii="Arial" w:cs="Arial" w:eastAsia="Arial" w:hAnsi="Arial"/>
          <w:sz w:val="19"/>
          <w:szCs w:val="19"/>
          <w:u w:val="single" w:color="auto"/>
          <w:color w:val="auto"/>
        </w:rPr>
        <w:t>Litigation and Environmental Matters</w:t>
      </w:r>
      <w:r>
        <w:rPr>
          <w:rFonts w:ascii="Arial" w:cs="Arial" w:eastAsia="Arial" w:hAnsi="Arial"/>
          <w:sz w:val="19"/>
          <w:szCs w:val="19"/>
          <w:color w:val="auto"/>
        </w:rPr>
        <w:t>. (a) There are no actions, suits or proceedings by or before any arbitrator or Governmental Authority pending against or, to the knowledge of the Borrowers, threatened against or affecting Holdings or any of its Restricted Subsidiaries (i) that have resulted or would reasonably be expected, individually or in the aggregate, to result in a Material Adverse Effect (other than the Disclosed Matters) or (ii) that involve this Agreement, any other Loan Document or the Transactions. Neither Holdings nor any of its Restricted Subsidiaries is subject to or in default with respect to any final judgments, writs, injunctions, decrees, rules or regulations of any court or any federal, state, municipal or other governmental department, commission, board, bureau, agency or instrumentality, domestic or foreign, that, individually or in the aggregate, have resulted or would reasonably be expected to result in a Material Adverse Effect.</w:t>
      </w:r>
    </w:p>
    <w:p>
      <w:pPr>
        <w:spacing w:after="0" w:line="152" w:lineRule="exact"/>
        <w:rPr>
          <w:sz w:val="20"/>
          <w:szCs w:val="20"/>
          <w:color w:val="auto"/>
        </w:rPr>
      </w:pPr>
    </w:p>
    <w:p>
      <w:pPr>
        <w:jc w:val="both"/>
        <w:ind w:left="80" w:firstLine="1305"/>
        <w:spacing w:after="0" w:line="226" w:lineRule="auto"/>
        <w:tabs>
          <w:tab w:leader="none" w:pos="1916" w:val="left"/>
        </w:tabs>
        <w:numPr>
          <w:ilvl w:val="0"/>
          <w:numId w:val="124"/>
        </w:numPr>
        <w:rPr>
          <w:rFonts w:ascii="Arial" w:cs="Arial" w:eastAsia="Arial" w:hAnsi="Arial"/>
          <w:sz w:val="21"/>
          <w:szCs w:val="21"/>
          <w:color w:val="auto"/>
        </w:rPr>
      </w:pPr>
      <w:r>
        <w:rPr>
          <w:rFonts w:ascii="Arial" w:cs="Arial" w:eastAsia="Arial" w:hAnsi="Arial"/>
          <w:sz w:val="21"/>
          <w:szCs w:val="21"/>
          <w:color w:val="auto"/>
        </w:rPr>
        <w:t>Except for the Disclosed Matters and except with respect to any other matters that, individually or in the aggregate, have not resulted and could not reasonably be expected to result in a Material Adverse Effect, neither Holdings nor any of its Restricted Subsidiaries (i) has failed to comply with any Environmental Law or to obtain, maintain or comply with any permit, license or other approval required under any Environmental Law, (ii) has become subject to any Environmental Liability, or (iii) has received notice of any claim with respect to any Environmental Liability.</w:t>
      </w:r>
    </w:p>
    <w:p>
      <w:pPr>
        <w:spacing w:after="0" w:line="159" w:lineRule="exact"/>
        <w:rPr>
          <w:rFonts w:ascii="Arial" w:cs="Arial" w:eastAsia="Arial" w:hAnsi="Arial"/>
          <w:sz w:val="21"/>
          <w:szCs w:val="21"/>
          <w:color w:val="auto"/>
        </w:rPr>
      </w:pPr>
    </w:p>
    <w:p>
      <w:pPr>
        <w:ind w:left="80" w:firstLine="1305"/>
        <w:spacing w:after="0" w:line="247" w:lineRule="auto"/>
        <w:tabs>
          <w:tab w:leader="none" w:pos="1876" w:val="left"/>
        </w:tabs>
        <w:numPr>
          <w:ilvl w:val="0"/>
          <w:numId w:val="124"/>
        </w:numPr>
        <w:rPr>
          <w:rFonts w:ascii="Arial" w:cs="Arial" w:eastAsia="Arial" w:hAnsi="Arial"/>
          <w:sz w:val="21"/>
          <w:szCs w:val="21"/>
          <w:color w:val="auto"/>
        </w:rPr>
      </w:pPr>
      <w:r>
        <w:rPr>
          <w:rFonts w:ascii="Arial" w:cs="Arial" w:eastAsia="Arial" w:hAnsi="Arial"/>
          <w:sz w:val="21"/>
          <w:szCs w:val="21"/>
          <w:color w:val="auto"/>
        </w:rPr>
        <w:t>Since the Effective Date, there has been no change in the status of the Disclosed Matters that, individually or in the aggregate, has resulted in or would reasonably be expected to result in a Material Adverse Effect.</w:t>
      </w:r>
    </w:p>
    <w:p>
      <w:pPr>
        <w:spacing w:after="0" w:line="151"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 xml:space="preserve">Section 3.7 </w:t>
      </w:r>
      <w:r>
        <w:rPr>
          <w:rFonts w:ascii="Arial" w:cs="Arial" w:eastAsia="Arial" w:hAnsi="Arial"/>
          <w:sz w:val="22"/>
          <w:szCs w:val="22"/>
          <w:u w:val="single" w:color="auto"/>
          <w:color w:val="auto"/>
        </w:rPr>
        <w:t>Compliance with Laws and Agreements</w:t>
      </w:r>
      <w:r>
        <w:rPr>
          <w:rFonts w:ascii="Arial" w:cs="Arial" w:eastAsia="Arial" w:hAnsi="Arial"/>
          <w:sz w:val="22"/>
          <w:szCs w:val="22"/>
          <w:color w:val="auto"/>
        </w:rPr>
        <w:t>. Each of Holdings and its Restricted Subsidiaries is in compliance with all laws, rules, regulations and orders of any Governmental Authority applicable to it or its property and all indentures, agreements and other instruments binding upon it or its property, except where the failure to do so, individually or in the aggregate, have not resulted and would not reasonably be expected to result in a Material Adverse Effect. No Default has occurred and is continuing.</w:t>
      </w:r>
    </w:p>
    <w:p>
      <w:pPr>
        <w:spacing w:after="0" w:line="158"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Section 3.8 </w:t>
      </w:r>
      <w:r>
        <w:rPr>
          <w:rFonts w:ascii="Arial" w:cs="Arial" w:eastAsia="Arial" w:hAnsi="Arial"/>
          <w:sz w:val="22"/>
          <w:szCs w:val="22"/>
          <w:u w:val="single" w:color="auto"/>
          <w:color w:val="auto"/>
        </w:rPr>
        <w:t>Investment Company Status</w:t>
      </w:r>
      <w:r>
        <w:rPr>
          <w:rFonts w:ascii="Arial" w:cs="Arial" w:eastAsia="Arial" w:hAnsi="Arial"/>
          <w:sz w:val="22"/>
          <w:szCs w:val="22"/>
          <w:color w:val="auto"/>
        </w:rPr>
        <w:t>. None of Holdings or any Restricted Subsidiary is or is required to be registered as an “investment company” under the Investment Company Act of 1940.</w:t>
      </w:r>
    </w:p>
    <w:p>
      <w:pPr>
        <w:spacing w:after="0" w:line="15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 xml:space="preserve">Section 3.9 </w:t>
      </w:r>
      <w:r>
        <w:rPr>
          <w:rFonts w:ascii="Arial" w:cs="Arial" w:eastAsia="Arial" w:hAnsi="Arial"/>
          <w:sz w:val="19"/>
          <w:szCs w:val="19"/>
          <w:u w:val="single" w:color="auto"/>
          <w:color w:val="auto"/>
        </w:rPr>
        <w:t>Taxes</w:t>
      </w:r>
      <w:r>
        <w:rPr>
          <w:rFonts w:ascii="Arial" w:cs="Arial" w:eastAsia="Arial" w:hAnsi="Arial"/>
          <w:sz w:val="19"/>
          <w:szCs w:val="19"/>
          <w:color w:val="auto"/>
        </w:rPr>
        <w:t>. Except as has not resulted and would not reasonably be expected to result in a Material Adverse Effect, (i) each of Holdings and its Subsidiaries has timely filed or caused to be filed all Tax returns and reports required to have been filed with respect to income, properties or operations of Holdings and its Subsidiaries, (ii) such returns accurately reflect in all material respects all liability for Taxes of Holdings and its Subsidiaries as a whole for the periods covered thereby and (iii) each of Holdings and each of its Subsidiaries has paid or caused to be paid all Taxes required to have been paid by it, except Taxes that are being contested in good faith by appropriate proceedings and, to the extent required by GAAP,</w:t>
      </w:r>
    </w:p>
    <w:p>
      <w:pPr>
        <w:sectPr>
          <w:pgSz w:w="11900" w:h="16838" w:orient="portrait"/>
          <w:cols w:equalWidth="0" w:num="1">
            <w:col w:w="11240"/>
          </w:cols>
          <w:pgMar w:left="320" w:top="1401" w:right="339" w:bottom="1440" w:gutter="0" w:footer="0" w:header="0"/>
        </w:sectPr>
      </w:pPr>
    </w:p>
    <w:bookmarkStart w:id="131" w:name="page132"/>
    <w:bookmarkEnd w:id="131"/>
    <w:p>
      <w:pPr>
        <w:spacing w:after="0"/>
        <w:rPr>
          <w:sz w:val="20"/>
          <w:szCs w:val="20"/>
          <w:color w:val="auto"/>
        </w:rPr>
      </w:pPr>
      <w:r>
        <w:rPr>
          <w:rFonts w:ascii="Arial" w:cs="Arial" w:eastAsia="Arial" w:hAnsi="Arial"/>
          <w:sz w:val="19"/>
          <w:szCs w:val="19"/>
          <w:color w:val="auto"/>
        </w:rPr>
        <w:t>for which Holdings or such Subsidiary, as applicable, has set aside on its books adequate reserves in accordance with GAAP.</w:t>
      </w:r>
    </w:p>
    <w:p>
      <w:pPr>
        <w:spacing w:after="0" w:line="214"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ERISA</w:t>
      </w:r>
      <w:r>
        <w:rPr>
          <w:rFonts w:ascii="Arial" w:cs="Arial" w:eastAsia="Arial" w:hAnsi="Arial"/>
          <w:sz w:val="19"/>
          <w:szCs w:val="19"/>
          <w:color w:val="auto"/>
        </w:rPr>
        <w:t>. (a) Each Plan is in compliance in form and operation with its terms and with ERISA and the Code (including the Code provisions which are necessary for any intended favorable tax treatment) and all other applicable laws and regulations, except where any failure to comply could not reasonably be expected to result in a Material Adverse Effect. Each Plan (and each related trust, if any) which is intended to be qualified under Section 401(a) of the Code has received a favorable determination letter from the IRS to the effect that it meets the requirements of Sections 401(a) and 501(a) of the Code or is comprised of a pre-approved plan that has received a favorable opinion letter from the IRS, and, nothing has occurred since the date of such determination that would adversely affect such determination (or, in the case of a Plan with no determination, nothing has occurred that would materially adversely affect the issuance of a favorable determination letter or otherwise materially adversely affect such qualification). No ERISA Event has occurred, or is reasonably expected to occur, other than as could not, individually or in the aggregate, reasonably be expected to result in a Material Adverse Effect.</w:t>
      </w:r>
    </w:p>
    <w:p>
      <w:pPr>
        <w:spacing w:after="0" w:line="155" w:lineRule="exact"/>
        <w:rPr>
          <w:sz w:val="20"/>
          <w:szCs w:val="20"/>
          <w:color w:val="auto"/>
        </w:rPr>
      </w:pPr>
    </w:p>
    <w:p>
      <w:pPr>
        <w:ind w:left="80" w:firstLine="1305"/>
        <w:spacing w:after="0" w:line="232" w:lineRule="auto"/>
        <w:tabs>
          <w:tab w:leader="none" w:pos="2045"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There exists no material Unfunded Pension Liability with respect to any Plan, except as could not reasonably be expected to result in a Material Adverse Effect.</w:t>
      </w:r>
    </w:p>
    <w:p>
      <w:pPr>
        <w:spacing w:after="0" w:line="158" w:lineRule="exact"/>
        <w:rPr>
          <w:rFonts w:ascii="Arial" w:cs="Arial" w:eastAsia="Arial" w:hAnsi="Arial"/>
          <w:sz w:val="22"/>
          <w:szCs w:val="22"/>
          <w:color w:val="auto"/>
        </w:rPr>
      </w:pPr>
    </w:p>
    <w:p>
      <w:pPr>
        <w:jc w:val="both"/>
        <w:ind w:left="80" w:firstLine="1305"/>
        <w:spacing w:after="0" w:line="223" w:lineRule="auto"/>
        <w:tabs>
          <w:tab w:leader="none" w:pos="1943" w:val="left"/>
        </w:tabs>
        <w:numPr>
          <w:ilvl w:val="0"/>
          <w:numId w:val="125"/>
        </w:numPr>
        <w:rPr>
          <w:rFonts w:ascii="Arial" w:cs="Arial" w:eastAsia="Arial" w:hAnsi="Arial"/>
          <w:sz w:val="22"/>
          <w:szCs w:val="22"/>
          <w:color w:val="auto"/>
        </w:rPr>
      </w:pPr>
      <w:r>
        <w:rPr>
          <w:rFonts w:ascii="Arial" w:cs="Arial" w:eastAsia="Arial" w:hAnsi="Arial"/>
          <w:sz w:val="22"/>
          <w:szCs w:val="22"/>
          <w:color w:val="auto"/>
        </w:rPr>
        <w:t>None of Holdings, any Subsidiary or any ERISA Affiliate is making or accruing an obligation to make contributions, or has within any of the five calendar years immediately preceding the date this assurance is given or deemed given, made or accrued an obligation to make contributions to any Multiemployer Plan.</w:t>
      </w:r>
    </w:p>
    <w:p>
      <w:pPr>
        <w:spacing w:after="0" w:line="158" w:lineRule="exact"/>
        <w:rPr>
          <w:rFonts w:ascii="Arial" w:cs="Arial" w:eastAsia="Arial" w:hAnsi="Arial"/>
          <w:sz w:val="22"/>
          <w:szCs w:val="22"/>
          <w:color w:val="auto"/>
        </w:rPr>
      </w:pPr>
    </w:p>
    <w:p>
      <w:pPr>
        <w:jc w:val="both"/>
        <w:ind w:left="80" w:firstLine="1305"/>
        <w:spacing w:after="0" w:line="234" w:lineRule="auto"/>
        <w:tabs>
          <w:tab w:leader="none" w:pos="1952" w:val="left"/>
        </w:tabs>
        <w:numPr>
          <w:ilvl w:val="0"/>
          <w:numId w:val="125"/>
        </w:numPr>
        <w:rPr>
          <w:rFonts w:ascii="Arial" w:cs="Arial" w:eastAsia="Arial" w:hAnsi="Arial"/>
          <w:sz w:val="21"/>
          <w:szCs w:val="21"/>
          <w:color w:val="auto"/>
        </w:rPr>
      </w:pPr>
      <w:r>
        <w:rPr>
          <w:rFonts w:ascii="Arial" w:cs="Arial" w:eastAsia="Arial" w:hAnsi="Arial"/>
          <w:sz w:val="21"/>
          <w:szCs w:val="21"/>
          <w:color w:val="auto"/>
        </w:rPr>
        <w:t>There are no actions, suits or claims pending against or involving a Plan (other than routine claims for benefits) or, to the knowledge of Holdings, any Subsidiary or any ERISA Affiliate, threatened, which have resulted in or could reasonably be expected either singly or in the aggregate to result in a Material Adverse Effect.</w:t>
      </w:r>
    </w:p>
    <w:p>
      <w:pPr>
        <w:spacing w:after="0" w:line="157" w:lineRule="exact"/>
        <w:rPr>
          <w:rFonts w:ascii="Arial" w:cs="Arial" w:eastAsia="Arial" w:hAnsi="Arial"/>
          <w:sz w:val="21"/>
          <w:szCs w:val="21"/>
          <w:color w:val="auto"/>
        </w:rPr>
      </w:pPr>
    </w:p>
    <w:p>
      <w:pPr>
        <w:jc w:val="both"/>
        <w:ind w:left="80" w:firstLine="1305"/>
        <w:spacing w:after="0" w:line="216" w:lineRule="auto"/>
        <w:tabs>
          <w:tab w:leader="none" w:pos="1866" w:val="left"/>
        </w:tabs>
        <w:numPr>
          <w:ilvl w:val="0"/>
          <w:numId w:val="125"/>
        </w:numPr>
        <w:rPr>
          <w:rFonts w:ascii="Arial" w:cs="Arial" w:eastAsia="Arial" w:hAnsi="Arial"/>
          <w:sz w:val="22"/>
          <w:szCs w:val="22"/>
          <w:color w:val="auto"/>
        </w:rPr>
      </w:pPr>
      <w:r>
        <w:rPr>
          <w:rFonts w:ascii="Arial" w:cs="Arial" w:eastAsia="Arial" w:hAnsi="Arial"/>
          <w:sz w:val="22"/>
          <w:szCs w:val="22"/>
          <w:color w:val="auto"/>
        </w:rPr>
        <w:t>Holdings, each Subsidiary and each ERISA Affiliate have made all contributions to or under each Plan and Multiemployer Plan required by law within the applicable time limits prescribed thereby, the terms of such Plan or Multiemployer Plan, respectively, or any contract or agreement requiring contributions to a Plan or Multiemployer Plan save where any failure to comply, individually or in the aggregate, has not resulted and could not reasonably be expected to result in a Material Adverse Effect.</w:t>
      </w:r>
    </w:p>
    <w:p>
      <w:pPr>
        <w:spacing w:after="0" w:line="157" w:lineRule="exact"/>
        <w:rPr>
          <w:rFonts w:ascii="Arial" w:cs="Arial" w:eastAsia="Arial" w:hAnsi="Arial"/>
          <w:sz w:val="22"/>
          <w:szCs w:val="22"/>
          <w:color w:val="auto"/>
        </w:rPr>
      </w:pPr>
    </w:p>
    <w:p>
      <w:pPr>
        <w:jc w:val="both"/>
        <w:ind w:left="80" w:firstLine="1305"/>
        <w:spacing w:after="0" w:line="244" w:lineRule="auto"/>
        <w:tabs>
          <w:tab w:leader="none" w:pos="1821" w:val="left"/>
        </w:tabs>
        <w:numPr>
          <w:ilvl w:val="0"/>
          <w:numId w:val="125"/>
        </w:numPr>
        <w:rPr>
          <w:rFonts w:ascii="Arial" w:cs="Arial" w:eastAsia="Arial" w:hAnsi="Arial"/>
          <w:sz w:val="19"/>
          <w:szCs w:val="19"/>
          <w:color w:val="auto"/>
        </w:rPr>
      </w:pPr>
      <w:r>
        <w:rPr>
          <w:rFonts w:ascii="Arial" w:cs="Arial" w:eastAsia="Arial" w:hAnsi="Arial"/>
          <w:sz w:val="19"/>
          <w:szCs w:val="19"/>
          <w:color w:val="auto"/>
        </w:rPr>
        <w:t>No Plan which is subject to Section 412 of the Code or Section 302 of ERISA has applied for or received an extension of any amortization period, within the meaning of Section 412 of the Code or Section 302 or 304 of ERISA. None of Holdings, any Subsidiary or any ERISA Affiliate have ceased operations at a facility so as to become subject to the provisions of Section 4062(e) of ERISA, withdrawn as a substantial employer so as to become subject to the provisions of Section 4063 of ERISA or ceased making contributions to any Plan subject to Section 4064(a) of ERISA to which it made contributions. None of Holdings, any Subsidiary or any ERISA Affiliate have incurred or reasonably expect to incur any liability to PBGC except as has not resulted in and could not reasonably be expected to result in a Material Adverse Effect, and no Lien imposed under the Code or ERISA on the assets of Holdings, any Subsidiary or any ERISA Affiliate exists or, to the knowledge of the Borrowers, is likely to arise in any case on account of any Plan. None of Holdings, any Subsidiary or any ERISA Affiliate has engaged in a transaction that could be subject to Section 4069 or 4212(c) of ERISA.</w:t>
      </w:r>
    </w:p>
    <w:p>
      <w:pPr>
        <w:sectPr>
          <w:pgSz w:w="11900" w:h="16838" w:orient="portrait"/>
          <w:cols w:equalWidth="0" w:num="1">
            <w:col w:w="11240"/>
          </w:cols>
          <w:pgMar w:left="320" w:top="1401" w:right="339" w:bottom="1440" w:gutter="0" w:footer="0" w:header="0"/>
        </w:sectPr>
      </w:pPr>
    </w:p>
    <w:bookmarkStart w:id="132" w:name="page133"/>
    <w:bookmarkEnd w:id="132"/>
    <w:p>
      <w:pPr>
        <w:jc w:val="both"/>
        <w:ind w:left="80" w:firstLine="1305"/>
        <w:spacing w:after="0" w:line="244" w:lineRule="auto"/>
        <w:tabs>
          <w:tab w:leader="none" w:pos="1853" w:val="left"/>
        </w:tabs>
        <w:numPr>
          <w:ilvl w:val="0"/>
          <w:numId w:val="126"/>
        </w:numPr>
        <w:rPr>
          <w:rFonts w:ascii="Arial" w:cs="Arial" w:eastAsia="Arial" w:hAnsi="Arial"/>
          <w:sz w:val="19"/>
          <w:szCs w:val="19"/>
          <w:color w:val="auto"/>
        </w:rPr>
      </w:pPr>
      <w:r>
        <w:rPr>
          <w:rFonts w:ascii="Arial" w:cs="Arial" w:eastAsia="Arial" w:hAnsi="Arial"/>
          <w:sz w:val="19"/>
          <w:szCs w:val="19"/>
          <w:color w:val="auto"/>
        </w:rPr>
        <w:t>Each Non-U.S. Plan has been maintained in compliance with its terms and with the requirements of any and all applicable laws, statutes, rules, regulations and orders and has been maintained, where required, in good standing with applicable regulatory authorities, except as has not resulted in and could not reasonably be expected to result in a Material Adverse Effect. All contributions required to be made with respect to a Non-U.S. Plan have been timely made, except as has not resulted in and could not reasonably be expected to result in a Material Adverse Effect. Neither Holdings nor any of its Restricted Subsidiaries has incurred any material obligation in connection with the termination of, or withdrawal from, any Non-U.S. Plan. The present value of the accrued benefit liabilities (whether or not vested) under each Non-U.S. Plan which is a defined benefit plan, determined as of the end of Holdings’ most recently ended fiscal year on the basis of actuarial assumptions, each of which is reasonable, did not exceed the current value of the assets of such Non-U.S. Plan allocable to such benefit liabilities, except as would not reasonably be expected to result in a Material Adverse Effect.</w:t>
      </w:r>
    </w:p>
    <w:p>
      <w:pPr>
        <w:spacing w:after="0" w:line="155"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 xml:space="preserve">Section 3.11 </w:t>
      </w:r>
      <w:r>
        <w:rPr>
          <w:rFonts w:ascii="Arial" w:cs="Arial" w:eastAsia="Arial" w:hAnsi="Arial"/>
          <w:sz w:val="19"/>
          <w:szCs w:val="19"/>
          <w:u w:val="single" w:color="auto"/>
          <w:color w:val="auto"/>
        </w:rPr>
        <w:t>Disclosure</w:t>
      </w:r>
      <w:r>
        <w:rPr>
          <w:rFonts w:ascii="Arial" w:cs="Arial" w:eastAsia="Arial" w:hAnsi="Arial"/>
          <w:sz w:val="19"/>
          <w:szCs w:val="19"/>
          <w:color w:val="auto"/>
        </w:rPr>
        <w:t xml:space="preserve">. All written information provided in formal presentations or in any regularly scheduled meeting or regularly scheduled conference call with more than one Lender (other than the Projections, forward looking information and information of a general economic or industry specific nature) furnished by or on behalf of the Borrowers to the Administrative Agent or any Lender in connection with the negotiation of this Agreement or any other Loan Document on or prior to the Effective Date or furnished hereunder or thereunder (as modified or supplemented by other information so furnished and when taken as a whole), when furnished, did not contain any material misstatement of fact or omit to state any material fact necessary to make the statements therein, in light of the circumstances under which they were made, not materially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the Projections and any other forward looking information so furnished, the Borrowers represent only that such information was prepared in good faith based upon assumptions believed to be reasonable at the time furnished to the Administrative Agent or any Lender (it being understood that the Projections and other forward looking information is subject to significant uncertainties and contingencies, any of which are beyond the Borrowers’ control, that no assurance can be given that any particular projections will be realized and that actual results during the period or periods covered by the Projections and other forward looking information may differ significantly from the projected results and such differences may be material).</w:t>
      </w:r>
    </w:p>
    <w:p>
      <w:pPr>
        <w:spacing w:after="0" w:line="160"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 xml:space="preserve">Section 3.12 </w:t>
      </w:r>
      <w:r>
        <w:rPr>
          <w:rFonts w:ascii="Arial" w:cs="Arial" w:eastAsia="Arial" w:hAnsi="Arial"/>
          <w:sz w:val="19"/>
          <w:szCs w:val="19"/>
          <w:u w:val="single" w:color="auto"/>
          <w:color w:val="auto"/>
        </w:rPr>
        <w:t>Subsidiaries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3.12</w:t>
      </w:r>
      <w:r>
        <w:rPr>
          <w:rFonts w:ascii="Arial" w:cs="Arial" w:eastAsia="Arial" w:hAnsi="Arial"/>
          <w:sz w:val="19"/>
          <w:szCs w:val="19"/>
          <w:color w:val="auto"/>
        </w:rPr>
        <w:t xml:space="preserve"> sets forth as of the Effective Date a list of all Subsidiaries (identifying all Restricted Subsidiaries and all Unrestricted Subsidiaries) and the percentage ownership (directly or indirectly) of Holdings therein. Except as has not resulted and could not, individually or in the aggregate, reasonably be expected to result in a Material Adverse Effect, the shares of capital stock or other ownership interests of all Restricted Subsidiaries of Holdings are fully paid and non-assessable and are owned by Holdings (other than minority interests held by other Persons that do not violate any provision of this Agreement), directly or indirectly, free and clear of all Liens other than Liens permitted under </w:t>
      </w:r>
      <w:r>
        <w:rPr>
          <w:rFonts w:ascii="Arial" w:cs="Arial" w:eastAsia="Arial" w:hAnsi="Arial"/>
          <w:sz w:val="19"/>
          <w:szCs w:val="19"/>
          <w:u w:val="single" w:color="auto"/>
          <w:color w:val="auto"/>
        </w:rPr>
        <w:t>Section 6.2</w:t>
      </w:r>
      <w:r>
        <w:rPr>
          <w:rFonts w:ascii="Arial" w:cs="Arial" w:eastAsia="Arial" w:hAnsi="Arial"/>
          <w:sz w:val="19"/>
          <w:szCs w:val="19"/>
          <w:color w:val="auto"/>
        </w:rPr>
        <w:t>.</w:t>
      </w:r>
    </w:p>
    <w:p>
      <w:pPr>
        <w:spacing w:after="0" w:line="152"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 xml:space="preserve">Section 3.13 </w:t>
      </w:r>
      <w:r>
        <w:rPr>
          <w:rFonts w:ascii="Arial" w:cs="Arial" w:eastAsia="Arial" w:hAnsi="Arial"/>
          <w:sz w:val="22"/>
          <w:szCs w:val="22"/>
          <w:u w:val="single" w:color="auto"/>
          <w:color w:val="auto"/>
        </w:rPr>
        <w:t>Anti-Terrorism Laws; USA Patriot Act</w:t>
      </w:r>
      <w:r>
        <w:rPr>
          <w:rFonts w:ascii="Arial" w:cs="Arial" w:eastAsia="Arial" w:hAnsi="Arial"/>
          <w:sz w:val="22"/>
          <w:szCs w:val="22"/>
          <w:color w:val="auto"/>
        </w:rPr>
        <w:t>. To the extent applicable, Holdings and each Subsidiary is in compliance, in all material respects, with (i) the Trading with the Enemy Act, as amended, and each of the foreign assets control regulations of the United States Treasury Department (31 C.F.R., Subtitle B, Chapter V, as amended) and any other enabling legislation or executive order relating thereto, and (ii) the USA Patriot Act.</w:t>
      </w:r>
    </w:p>
    <w:p>
      <w:pPr>
        <w:spacing w:after="0" w:line="161"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 xml:space="preserve">Section 3.14 </w:t>
      </w:r>
      <w:r>
        <w:rPr>
          <w:rFonts w:ascii="Arial" w:cs="Arial" w:eastAsia="Arial" w:hAnsi="Arial"/>
          <w:sz w:val="19"/>
          <w:szCs w:val="19"/>
          <w:u w:val="single" w:color="auto"/>
          <w:color w:val="auto"/>
        </w:rPr>
        <w:t>Anti-Corruption Laws and Sanctions</w:t>
      </w:r>
      <w:r>
        <w:rPr>
          <w:rFonts w:ascii="Arial" w:cs="Arial" w:eastAsia="Arial" w:hAnsi="Arial"/>
          <w:sz w:val="19"/>
          <w:szCs w:val="19"/>
          <w:color w:val="auto"/>
        </w:rPr>
        <w:t>. (a) Holdings has implemented and maintains in effect policies and procedures designed to promote compliance by Holdings and its Subsidiaries and its and their respective directors, officers, employees and agents with Anti-Corruption Laws and applicable Sanctions, and Holdings and its Subsidiaries</w:t>
      </w:r>
    </w:p>
    <w:p>
      <w:pPr>
        <w:sectPr>
          <w:pgSz w:w="11900" w:h="16838" w:orient="portrait"/>
          <w:cols w:equalWidth="0" w:num="1">
            <w:col w:w="11240"/>
          </w:cols>
          <w:pgMar w:left="320" w:top="1401" w:right="339" w:bottom="1440" w:gutter="0" w:footer="0" w:header="0"/>
        </w:sectPr>
      </w:pPr>
    </w:p>
    <w:bookmarkStart w:id="133" w:name="page134"/>
    <w:bookmarkEnd w:id="133"/>
    <w:p>
      <w:pPr>
        <w:jc w:val="both"/>
        <w:spacing w:after="0" w:line="222" w:lineRule="auto"/>
        <w:rPr>
          <w:sz w:val="20"/>
          <w:szCs w:val="20"/>
          <w:color w:val="auto"/>
        </w:rPr>
      </w:pPr>
      <w:r>
        <w:rPr>
          <w:rFonts w:ascii="Arial" w:cs="Arial" w:eastAsia="Arial" w:hAnsi="Arial"/>
          <w:sz w:val="21"/>
          <w:szCs w:val="21"/>
          <w:color w:val="auto"/>
        </w:rPr>
        <w:t>and, to the knowledge of the Borrowers, the directors, officers and employees of Holdings and any of its Subsidiaries and agents acting at the direction of Holdings or any of its Subsidiaries, are in compliance with Anti-Corruption Laws and applicable Sanctions in all material respects. None of (i) Holdings nor any Subsidiary, nor to the knowledge of the Borrowers, any director, officer or employee of Holdings or any Subsidiary, or (ii) to the knowledge of the Borrowers, any agent of Holdings or any Subsidiary that will act in any capacity in connection with or benefit from the credit facility established hereby, is a Sanctioned Person. No Borrowing or Letter of Credit, use of proceeds or other transaction contemplated by this Agreement will violate any Anti-Corruption Law or applicable Sanctions.</w:t>
      </w:r>
    </w:p>
    <w:p>
      <w:pPr>
        <w:spacing w:after="0" w:line="164" w:lineRule="exact"/>
        <w:rPr>
          <w:sz w:val="20"/>
          <w:szCs w:val="20"/>
          <w:color w:val="auto"/>
        </w:rPr>
      </w:pPr>
    </w:p>
    <w:p>
      <w:pPr>
        <w:jc w:val="both"/>
        <w:ind w:left="80" w:firstLine="1305"/>
        <w:spacing w:after="0" w:line="216" w:lineRule="auto"/>
        <w:tabs>
          <w:tab w:leader="none" w:pos="1919" w:val="left"/>
        </w:tabs>
        <w:numPr>
          <w:ilvl w:val="0"/>
          <w:numId w:val="127"/>
        </w:numPr>
        <w:rPr>
          <w:rFonts w:ascii="Arial" w:cs="Arial" w:eastAsia="Arial" w:hAnsi="Arial"/>
          <w:sz w:val="22"/>
          <w:szCs w:val="22"/>
          <w:color w:val="auto"/>
        </w:rPr>
      </w:pPr>
      <w:r>
        <w:rPr>
          <w:rFonts w:ascii="Arial" w:cs="Arial" w:eastAsia="Arial" w:hAnsi="Arial"/>
          <w:sz w:val="22"/>
          <w:szCs w:val="22"/>
          <w:color w:val="auto"/>
        </w:rPr>
        <w:t>No part of the proceeds of the Loans or any Letters of Credit will be used, directly or indirectly, for any payments to any officer or employee of a Governmental Authority, or any Person controlled by a Governmental Authority,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5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Section 3.15 </w:t>
      </w:r>
      <w:r>
        <w:rPr>
          <w:rFonts w:ascii="Arial" w:cs="Arial" w:eastAsia="Arial" w:hAnsi="Arial"/>
          <w:sz w:val="22"/>
          <w:szCs w:val="22"/>
          <w:u w:val="single" w:color="auto"/>
          <w:color w:val="auto"/>
        </w:rPr>
        <w:t>Margin Stock</w:t>
      </w:r>
      <w:r>
        <w:rPr>
          <w:rFonts w:ascii="Arial" w:cs="Arial" w:eastAsia="Arial" w:hAnsi="Arial"/>
          <w:sz w:val="22"/>
          <w:szCs w:val="22"/>
          <w:color w:val="auto"/>
        </w:rPr>
        <w:t>. (a) None of Holdings or any of its Restricted Subsidiaries is engaged principally, or as one of its important activities, in the business of buying or carrying or extending credit for the purpose of buying or carrying Margin Stock.</w:t>
      </w:r>
    </w:p>
    <w:p>
      <w:pPr>
        <w:spacing w:after="0" w:line="159" w:lineRule="exact"/>
        <w:rPr>
          <w:sz w:val="20"/>
          <w:szCs w:val="20"/>
          <w:color w:val="auto"/>
        </w:rPr>
      </w:pPr>
    </w:p>
    <w:p>
      <w:pPr>
        <w:jc w:val="both"/>
        <w:ind w:left="80" w:firstLine="1305"/>
        <w:spacing w:after="0" w:line="223" w:lineRule="auto"/>
        <w:tabs>
          <w:tab w:leader="none" w:pos="1882" w:val="left"/>
        </w:tabs>
        <w:numPr>
          <w:ilvl w:val="0"/>
          <w:numId w:val="128"/>
        </w:numPr>
        <w:rPr>
          <w:rFonts w:ascii="Arial" w:cs="Arial" w:eastAsia="Arial" w:hAnsi="Arial"/>
          <w:sz w:val="22"/>
          <w:szCs w:val="22"/>
          <w:color w:val="auto"/>
        </w:rPr>
      </w:pPr>
      <w:r>
        <w:rPr>
          <w:rFonts w:ascii="Arial" w:cs="Arial" w:eastAsia="Arial" w:hAnsi="Arial"/>
          <w:sz w:val="22"/>
          <w:szCs w:val="22"/>
          <w:color w:val="auto"/>
        </w:rPr>
        <w:t>No part of the proceeds of any Loan will be used, whether directly or indirectly, and whether immediately, incidentally or ultimately, for any purpose that entails a violation of, or that is inconsistent with, the provisions of the Regulations of the Board, including Regulation T, U or X.</w:t>
      </w:r>
    </w:p>
    <w:p>
      <w:pPr>
        <w:spacing w:after="0" w:line="15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 xml:space="preserve">Section 3.16 </w:t>
      </w:r>
      <w:r>
        <w:rPr>
          <w:rFonts w:ascii="Arial" w:cs="Arial" w:eastAsia="Arial" w:hAnsi="Arial"/>
          <w:sz w:val="19"/>
          <w:szCs w:val="19"/>
          <w:u w:val="single" w:color="auto"/>
          <w:color w:val="auto"/>
        </w:rPr>
        <w:t>Solvency</w:t>
      </w:r>
      <w:r>
        <w:rPr>
          <w:rFonts w:ascii="Arial" w:cs="Arial" w:eastAsia="Arial" w:hAnsi="Arial"/>
          <w:sz w:val="19"/>
          <w:szCs w:val="19"/>
          <w:color w:val="auto"/>
        </w:rPr>
        <w:t>. As of the Effective Date, Holdings is, together with its Restricted Subsidiaries, and after giving effect to the incurrence of all Indebtedness and obligations being incurred in connection herewith (assuming for this purpose that the full amount of the Commitments is drawn on the Effective Date, as the case may be) will be, Solvent.</w:t>
      </w:r>
    </w:p>
    <w:p>
      <w:pPr>
        <w:spacing w:after="0" w:line="132"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22"/>
          <w:szCs w:val="22"/>
          <w:color w:val="auto"/>
        </w:rPr>
        <w:t>Section 3.17</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179"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auto"/>
        </w:rPr>
        <w:t xml:space="preserve">Section 3.18 </w:t>
      </w:r>
      <w:r>
        <w:rPr>
          <w:rFonts w:ascii="Arial" w:cs="Arial" w:eastAsia="Arial" w:hAnsi="Arial"/>
          <w:sz w:val="21"/>
          <w:szCs w:val="21"/>
          <w:u w:val="single" w:color="auto"/>
          <w:color w:val="auto"/>
        </w:rPr>
        <w:t>Collateral Documents</w:t>
      </w:r>
      <w:r>
        <w:rPr>
          <w:rFonts w:ascii="Arial" w:cs="Arial" w:eastAsia="Arial" w:hAnsi="Arial"/>
          <w:sz w:val="21"/>
          <w:szCs w:val="21"/>
          <w:color w:val="auto"/>
        </w:rPr>
        <w:t xml:space="preserve">. The Security Agreement and each other Collateral Document is effective to create in favor of the Collateral Agent, for the benefit of the Secured Parties, a valid security interest in the Collateral described therein and proceeds thereof (to the extent a security interest can be created therein under the Uniform Commercial Code or applicable Intellectual Property laws). As of the Effective Date, in the case of the Pledged Collateral described in the Security Agreement, when stock or interest certificates representing such Pledged Collateral (along with properly completed stock or interest powers endorsing the Pledged Collateral) and executed by the owner of such shares or interests are delivered to the Collateral Agent, and in the case of the other Collateral described in the Security Agreement or any other Collateral Document, when financing statements and other filings specified on </w:t>
      </w:r>
      <w:r>
        <w:rPr>
          <w:rFonts w:ascii="Arial" w:cs="Arial" w:eastAsia="Arial" w:hAnsi="Arial"/>
          <w:sz w:val="21"/>
          <w:szCs w:val="21"/>
          <w:u w:val="single" w:color="auto"/>
          <w:color w:val="auto"/>
        </w:rPr>
        <w:t>Schedule 3.18</w:t>
      </w:r>
      <w:r>
        <w:rPr>
          <w:rFonts w:ascii="Arial" w:cs="Arial" w:eastAsia="Arial" w:hAnsi="Arial"/>
          <w:sz w:val="21"/>
          <w:szCs w:val="21"/>
          <w:color w:val="auto"/>
        </w:rPr>
        <w:t xml:space="preserve"> in appropriate form are filed in the offices specified on </w:t>
      </w:r>
      <w:r>
        <w:rPr>
          <w:rFonts w:ascii="Arial" w:cs="Arial" w:eastAsia="Arial" w:hAnsi="Arial"/>
          <w:sz w:val="21"/>
          <w:szCs w:val="21"/>
          <w:u w:val="single" w:color="auto"/>
          <w:color w:val="auto"/>
        </w:rPr>
        <w:t>Schedule 3.18</w:t>
      </w:r>
      <w:r>
        <w:rPr>
          <w:rFonts w:ascii="Arial" w:cs="Arial" w:eastAsia="Arial" w:hAnsi="Arial"/>
          <w:sz w:val="21"/>
          <w:szCs w:val="21"/>
          <w:color w:val="auto"/>
        </w:rPr>
        <w:t>, the Collateral Agent, for the benefit of the Secured Parties, shall have a fully perfected Lien on, and security interest in, all right, title and interest of the Loan Parties in such Collateral and the proceeds thereof as security for the Obligations, to the extent perfection can be obtained by possession of such Pledged Collateral or by filing such financing statements or other filings, in each case prior and superior in right to any other Person except for rights secured by Liens permitted under Section 6.2.</w:t>
      </w:r>
    </w:p>
    <w:p>
      <w:pPr>
        <w:spacing w:after="0" w:line="159"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22"/>
          <w:szCs w:val="22"/>
          <w:color w:val="auto"/>
        </w:rPr>
        <w:t>Section 3.19</w:t>
      </w:r>
      <w:r>
        <w:rPr>
          <w:sz w:val="20"/>
          <w:szCs w:val="20"/>
          <w:color w:val="auto"/>
        </w:rPr>
        <w:tab/>
      </w:r>
      <w:r>
        <w:rPr>
          <w:rFonts w:ascii="Arial" w:cs="Arial" w:eastAsia="Arial" w:hAnsi="Arial"/>
          <w:sz w:val="19"/>
          <w:szCs w:val="19"/>
          <w:u w:val="single" w:color="auto"/>
          <w:color w:val="auto"/>
        </w:rPr>
        <w:t>Affected Financial Institution</w:t>
      </w:r>
      <w:r>
        <w:rPr>
          <w:rFonts w:ascii="Arial" w:cs="Arial" w:eastAsia="Arial" w:hAnsi="Arial"/>
          <w:sz w:val="19"/>
          <w:szCs w:val="19"/>
          <w:color w:val="auto"/>
        </w:rPr>
        <w:t>. No Loan Party is an Affected Financial Institution.</w:t>
      </w:r>
    </w:p>
    <w:p>
      <w:pPr>
        <w:sectPr>
          <w:pgSz w:w="11900" w:h="16838" w:orient="portrait"/>
          <w:cols w:equalWidth="0" w:num="1">
            <w:col w:w="11240"/>
          </w:cols>
          <w:pgMar w:left="320" w:top="1401" w:right="339" w:bottom="1440" w:gutter="0" w:footer="0" w:header="0"/>
        </w:sectPr>
      </w:pPr>
    </w:p>
    <w:bookmarkStart w:id="134" w:name="page135"/>
    <w:bookmarkEnd w:id="134"/>
    <w:p>
      <w:pPr>
        <w:jc w:val="both"/>
        <w:ind w:firstLine="1296"/>
        <w:spacing w:after="0" w:line="223" w:lineRule="auto"/>
        <w:rPr>
          <w:sz w:val="20"/>
          <w:szCs w:val="20"/>
          <w:color w:val="auto"/>
        </w:rPr>
      </w:pPr>
      <w:r>
        <w:rPr>
          <w:rFonts w:ascii="Arial" w:cs="Arial" w:eastAsia="Arial" w:hAnsi="Arial"/>
          <w:sz w:val="22"/>
          <w:szCs w:val="22"/>
          <w:color w:val="auto"/>
        </w:rPr>
        <w:t xml:space="preserve">Section 3.20 </w:t>
      </w:r>
      <w:r>
        <w:rPr>
          <w:rFonts w:ascii="Arial" w:cs="Arial" w:eastAsia="Arial" w:hAnsi="Arial"/>
          <w:sz w:val="22"/>
          <w:szCs w:val="22"/>
          <w:u w:val="single" w:color="auto"/>
          <w:color w:val="auto"/>
        </w:rPr>
        <w:t>FinCEN</w:t>
      </w:r>
      <w:r>
        <w:rPr>
          <w:rFonts w:ascii="Arial" w:cs="Arial" w:eastAsia="Arial" w:hAnsi="Arial"/>
          <w:sz w:val="22"/>
          <w:szCs w:val="22"/>
          <w:color w:val="auto"/>
        </w:rPr>
        <w:t>. As of the Effective Date, the information included in the Beneficial Ownership Certification delivered by each Borrower pursuant to Section 4.1(a)(xii) of this Agreement, if applicable, is true and correct in all respects.</w:t>
      </w:r>
    </w:p>
    <w:p>
      <w:pPr>
        <w:spacing w:after="0" w:line="159"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ARTICLE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3877310</wp:posOffset>
            </wp:positionH>
            <wp:positionV relativeFrom="paragraph">
              <wp:posOffset>-17780</wp:posOffset>
            </wp:positionV>
            <wp:extent cx="137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ind w:left="4960"/>
        <w:spacing w:after="0"/>
        <w:rPr>
          <w:sz w:val="20"/>
          <w:szCs w:val="20"/>
          <w:color w:val="auto"/>
        </w:rPr>
      </w:pPr>
      <w:r>
        <w:rPr>
          <w:rFonts w:ascii="Arial" w:cs="Arial" w:eastAsia="Arial" w:hAnsi="Arial"/>
          <w:sz w:val="22"/>
          <w:szCs w:val="22"/>
          <w:u w:val="single" w:color="auto"/>
          <w:color w:val="auto"/>
        </w:rPr>
        <w:t>CONDITIONS</w:t>
      </w:r>
    </w:p>
    <w:p>
      <w:pPr>
        <w:spacing w:after="0" w:line="179"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22"/>
          <w:szCs w:val="22"/>
          <w:color w:val="auto"/>
        </w:rPr>
        <w:t>Section 4.1</w:t>
      </w:r>
      <w:r>
        <w:rPr>
          <w:sz w:val="20"/>
          <w:szCs w:val="20"/>
          <w:color w:val="auto"/>
        </w:rPr>
        <w:tab/>
      </w:r>
      <w:r>
        <w:rPr>
          <w:rFonts w:ascii="Arial" w:cs="Arial" w:eastAsia="Arial" w:hAnsi="Arial"/>
          <w:sz w:val="19"/>
          <w:szCs w:val="19"/>
          <w:u w:val="single" w:color="auto"/>
          <w:color w:val="auto"/>
        </w:rPr>
        <w:t>Effective Date</w:t>
      </w:r>
      <w:r>
        <w:rPr>
          <w:rFonts w:ascii="Arial" w:cs="Arial" w:eastAsia="Arial" w:hAnsi="Arial"/>
          <w:sz w:val="19"/>
          <w:szCs w:val="19"/>
          <w:color w:val="auto"/>
        </w:rPr>
        <w:t>.</w:t>
      </w:r>
    </w:p>
    <w:p>
      <w:pPr>
        <w:spacing w:after="0" w:line="179" w:lineRule="exact"/>
        <w:rPr>
          <w:sz w:val="20"/>
          <w:szCs w:val="20"/>
          <w:color w:val="auto"/>
        </w:rPr>
      </w:pPr>
    </w:p>
    <w:p>
      <w:pPr>
        <w:ind w:left="1880" w:hanging="495"/>
        <w:spacing w:after="0"/>
        <w:tabs>
          <w:tab w:leader="none" w:pos="1880" w:val="left"/>
        </w:tabs>
        <w:numPr>
          <w:ilvl w:val="1"/>
          <w:numId w:val="129"/>
        </w:numPr>
        <w:rPr>
          <w:rFonts w:ascii="Arial" w:cs="Arial" w:eastAsia="Arial" w:hAnsi="Arial"/>
          <w:sz w:val="19"/>
          <w:szCs w:val="19"/>
          <w:color w:val="auto"/>
        </w:rPr>
      </w:pPr>
      <w:r>
        <w:rPr>
          <w:rFonts w:ascii="Arial" w:cs="Arial" w:eastAsia="Arial" w:hAnsi="Arial"/>
          <w:sz w:val="19"/>
          <w:szCs w:val="19"/>
          <w:color w:val="auto"/>
        </w:rPr>
        <w:t>This Agreement shall become effective as of the first date on which each of the following conditions shall</w:t>
      </w:r>
    </w:p>
    <w:p>
      <w:pPr>
        <w:spacing w:after="0" w:line="15" w:lineRule="exact"/>
        <w:rPr>
          <w:rFonts w:ascii="Arial" w:cs="Arial" w:eastAsia="Arial" w:hAnsi="Arial"/>
          <w:sz w:val="19"/>
          <w:szCs w:val="19"/>
          <w:color w:val="auto"/>
        </w:rPr>
      </w:pPr>
    </w:p>
    <w:p>
      <w:pPr>
        <w:ind w:left="80"/>
        <w:spacing w:after="0"/>
        <w:rPr>
          <w:rFonts w:ascii="Arial" w:cs="Arial" w:eastAsia="Arial" w:hAnsi="Arial"/>
          <w:sz w:val="19"/>
          <w:szCs w:val="19"/>
          <w:color w:val="auto"/>
        </w:rPr>
      </w:pPr>
      <w:r>
        <w:rPr>
          <w:rFonts w:ascii="Arial" w:cs="Arial" w:eastAsia="Arial" w:hAnsi="Arial"/>
          <w:sz w:val="22"/>
          <w:szCs w:val="22"/>
          <w:color w:val="auto"/>
        </w:rPr>
        <w:t>have been satisfied:</w:t>
      </w:r>
    </w:p>
    <w:p>
      <w:pPr>
        <w:spacing w:after="0" w:line="161" w:lineRule="exact"/>
        <w:rPr>
          <w:rFonts w:ascii="Arial" w:cs="Arial" w:eastAsia="Arial" w:hAnsi="Arial"/>
          <w:sz w:val="19"/>
          <w:szCs w:val="19"/>
          <w:color w:val="auto"/>
        </w:rPr>
      </w:pPr>
    </w:p>
    <w:p>
      <w:pPr>
        <w:jc w:val="both"/>
        <w:ind w:left="660" w:firstLine="644"/>
        <w:spacing w:after="0" w:line="218" w:lineRule="auto"/>
        <w:tabs>
          <w:tab w:leader="none" w:pos="1789"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Administrative Agent shall have received duly executed counterparts (A) of this Agreement that, when taken together, bear the signatures of each Loan Party, each Lender, each Issuing Bank, the Administrative Agent and the Collateral Agent and (B) the Security Agreement that, when taken together, bear the signatures of each Loan Party and the Collateral Agent.</w:t>
      </w:r>
    </w:p>
    <w:p>
      <w:pPr>
        <w:spacing w:after="0" w:line="160" w:lineRule="exact"/>
        <w:rPr>
          <w:rFonts w:ascii="Arial" w:cs="Arial" w:eastAsia="Arial" w:hAnsi="Arial"/>
          <w:sz w:val="22"/>
          <w:szCs w:val="22"/>
          <w:color w:val="auto"/>
        </w:rPr>
      </w:pPr>
    </w:p>
    <w:p>
      <w:pPr>
        <w:jc w:val="both"/>
        <w:ind w:left="660" w:firstLine="644"/>
        <w:spacing w:after="0" w:line="226" w:lineRule="auto"/>
        <w:tabs>
          <w:tab w:leader="none" w:pos="1930" w:val="left"/>
        </w:tabs>
        <w:numPr>
          <w:ilvl w:val="0"/>
          <w:numId w:val="130"/>
        </w:numPr>
        <w:rPr>
          <w:rFonts w:ascii="Arial" w:cs="Arial" w:eastAsia="Arial" w:hAnsi="Arial"/>
          <w:sz w:val="21"/>
          <w:szCs w:val="21"/>
          <w:color w:val="auto"/>
        </w:rPr>
      </w:pPr>
      <w:r>
        <w:rPr>
          <w:rFonts w:ascii="Arial" w:cs="Arial" w:eastAsia="Arial" w:hAnsi="Arial"/>
          <w:sz w:val="21"/>
          <w:szCs w:val="21"/>
          <w:color w:val="auto"/>
        </w:rPr>
        <w:t>The representations and warranties of the Loan Parties set forth in this Agreement and the other Loan Documents shall be true and correct in all material respects (other than to the extent qualified by materiality or “Material Adverse Effect”, in which case, such representations and warranties shall be true and correct in all respects) on and as of the Effective Date, except that to the extent that such representations and warranties specifically refer to an earlier date, they shall be true and correct in such manner as of such earlier date.</w:t>
      </w:r>
    </w:p>
    <w:p>
      <w:pPr>
        <w:spacing w:after="0" w:line="159" w:lineRule="exact"/>
        <w:rPr>
          <w:rFonts w:ascii="Arial" w:cs="Arial" w:eastAsia="Arial" w:hAnsi="Arial"/>
          <w:sz w:val="21"/>
          <w:szCs w:val="21"/>
          <w:color w:val="auto"/>
        </w:rPr>
      </w:pPr>
    </w:p>
    <w:p>
      <w:pPr>
        <w:ind w:left="1840" w:hanging="536"/>
        <w:spacing w:after="0"/>
        <w:tabs>
          <w:tab w:leader="none" w:pos="184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no Default or Event of Default shall have occurred and be continuing as of the Effective Date.</w:t>
      </w:r>
    </w:p>
    <w:p>
      <w:pPr>
        <w:spacing w:after="0" w:line="179" w:lineRule="exact"/>
        <w:rPr>
          <w:rFonts w:ascii="Arial" w:cs="Arial" w:eastAsia="Arial" w:hAnsi="Arial"/>
          <w:sz w:val="22"/>
          <w:szCs w:val="22"/>
          <w:color w:val="auto"/>
        </w:rPr>
      </w:pPr>
    </w:p>
    <w:p>
      <w:pPr>
        <w:jc w:val="both"/>
        <w:ind w:left="660" w:firstLine="644"/>
        <w:spacing w:after="0" w:line="216" w:lineRule="auto"/>
        <w:tabs>
          <w:tab w:leader="none" w:pos="1883"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Administrative Agent shall have received a favorable written opinion (addressed to the Administrative Agent, the Collateral Agent, the Issuing Banks and the Lenders and dated the Effective Date) of (i) Wachtell, Lipton, Rosen &amp; Katz, counsel for the Borrowers and the Guarantors and (ii) Morris, Nichols, Arsht &amp; Tunnell LLP, Delaware counsel for the Borrowers and the Guarantors, in each case in form and substance reasonably satisfactory to the Administrative Agent.</w:t>
      </w:r>
    </w:p>
    <w:p>
      <w:pPr>
        <w:spacing w:after="0" w:line="157" w:lineRule="exact"/>
        <w:rPr>
          <w:rFonts w:ascii="Arial" w:cs="Arial" w:eastAsia="Arial" w:hAnsi="Arial"/>
          <w:sz w:val="22"/>
          <w:szCs w:val="22"/>
          <w:color w:val="auto"/>
        </w:rPr>
      </w:pPr>
    </w:p>
    <w:p>
      <w:pPr>
        <w:jc w:val="both"/>
        <w:ind w:left="660" w:firstLine="644"/>
        <w:spacing w:after="0" w:line="247" w:lineRule="auto"/>
        <w:tabs>
          <w:tab w:leader="none" w:pos="1805"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The Administrative Agent shall have received (a) certified copies of the resolutions of the board of directors of the Borrower and each other Loan Party approving the Loan Documents and the transactions contemplated hereby and the execution, delivery and performance of the Loan Documents, and all documents evidencing other necessary corporate (or other applicable organizational) action and governmental approvals, if any, with respect to the Loan Documents and the transactions contemplated hereby and (b) all other documents reasonably requested by the Administrative Agent relating to the organization, existence and good standing (or the equivalent in the jurisdiction of organization of such Loan Party) of each Loan Party and authorization of the Loan Documents and the transactions contemplated hereby.</w:t>
      </w:r>
    </w:p>
    <w:p>
      <w:pPr>
        <w:spacing w:after="0" w:line="153" w:lineRule="exact"/>
        <w:rPr>
          <w:rFonts w:ascii="Arial" w:cs="Arial" w:eastAsia="Arial" w:hAnsi="Arial"/>
          <w:sz w:val="19"/>
          <w:szCs w:val="19"/>
          <w:color w:val="auto"/>
        </w:rPr>
      </w:pPr>
    </w:p>
    <w:p>
      <w:pPr>
        <w:jc w:val="both"/>
        <w:ind w:left="660" w:firstLine="644"/>
        <w:spacing w:after="0" w:line="234" w:lineRule="auto"/>
        <w:tabs>
          <w:tab w:leader="none" w:pos="1853" w:val="left"/>
        </w:tabs>
        <w:numPr>
          <w:ilvl w:val="0"/>
          <w:numId w:val="130"/>
        </w:numPr>
        <w:rPr>
          <w:rFonts w:ascii="Arial" w:cs="Arial" w:eastAsia="Arial" w:hAnsi="Arial"/>
          <w:sz w:val="21"/>
          <w:szCs w:val="21"/>
          <w:color w:val="auto"/>
        </w:rPr>
      </w:pPr>
      <w:r>
        <w:rPr>
          <w:rFonts w:ascii="Arial" w:cs="Arial" w:eastAsia="Arial" w:hAnsi="Arial"/>
          <w:sz w:val="21"/>
          <w:szCs w:val="21"/>
          <w:color w:val="auto"/>
        </w:rPr>
        <w:t>The Administrative Agent shall have received a certificate of the Secretary or an Assistant Secretary of each Loan Party certifying the names and true signatures of the officers of such Loan Party authorized to sign the Loan Documents and any other documents to be delivered hereunder on the Effective Date.</w:t>
      </w:r>
    </w:p>
    <w:p>
      <w:pPr>
        <w:sectPr>
          <w:pgSz w:w="11900" w:h="16838" w:orient="portrait"/>
          <w:cols w:equalWidth="0" w:num="1">
            <w:col w:w="11240"/>
          </w:cols>
          <w:pgMar w:left="320" w:top="1401" w:right="339" w:bottom="1440" w:gutter="0" w:footer="0" w:header="0"/>
        </w:sectPr>
      </w:pPr>
    </w:p>
    <w:bookmarkStart w:id="135" w:name="page136"/>
    <w:bookmarkEnd w:id="135"/>
    <w:p>
      <w:pPr>
        <w:jc w:val="both"/>
        <w:ind w:left="-460" w:firstLine="644"/>
        <w:spacing w:after="0" w:line="214" w:lineRule="auto"/>
        <w:tabs>
          <w:tab w:leader="none" w:pos="815"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Administrative Agent shall have received, on or before the Effective Date, all fees required to be paid by the Borrowers to the Lenders, the Arrangers, the Bookrunner and the Administrative Agent on or before the Effective Date, and all expenses required to be reimbursed by the Borrowers, in each case pursuant to this Agreement, any other agreement in writing between the Borrower and any Lender, Arranger, Bookrunner or the Administrative Agent, and the Fee Letter (with respect to such expenses, for which invoices have been presented at least three Business Days prior to the Effective Date).</w:t>
      </w:r>
    </w:p>
    <w:p>
      <w:pPr>
        <w:spacing w:after="0" w:line="158" w:lineRule="exact"/>
        <w:rPr>
          <w:rFonts w:ascii="Arial" w:cs="Arial" w:eastAsia="Arial" w:hAnsi="Arial"/>
          <w:sz w:val="22"/>
          <w:szCs w:val="22"/>
          <w:color w:val="auto"/>
        </w:rPr>
      </w:pPr>
    </w:p>
    <w:p>
      <w:pPr>
        <w:jc w:val="both"/>
        <w:ind w:left="-460" w:firstLine="644"/>
        <w:spacing w:after="0" w:line="223" w:lineRule="auto"/>
        <w:tabs>
          <w:tab w:leader="none" w:pos="853" w:val="left"/>
        </w:tabs>
        <w:numPr>
          <w:ilvl w:val="0"/>
          <w:numId w:val="131"/>
        </w:numPr>
        <w:rPr>
          <w:rFonts w:ascii="Arial" w:cs="Arial" w:eastAsia="Arial" w:hAnsi="Arial"/>
          <w:sz w:val="22"/>
          <w:szCs w:val="22"/>
          <w:color w:val="auto"/>
        </w:rPr>
      </w:pPr>
      <w:r>
        <w:rPr>
          <w:rFonts w:ascii="Arial" w:cs="Arial" w:eastAsia="Arial" w:hAnsi="Arial"/>
          <w:sz w:val="22"/>
          <w:szCs w:val="22"/>
          <w:color w:val="auto"/>
        </w:rPr>
        <w:t xml:space="preserve">In order to evidence a continuing valid, perfected first priority security interest in the Collateral in favor of the Collateral Agent, for the benefit of the Secured Parties, each Loan Party shall have delivered to the Collateral Agent (subject to </w:t>
      </w:r>
      <w:r>
        <w:rPr>
          <w:rFonts w:ascii="Arial" w:cs="Arial" w:eastAsia="Arial" w:hAnsi="Arial"/>
          <w:sz w:val="22"/>
          <w:szCs w:val="22"/>
          <w:u w:val="single" w:color="auto"/>
          <w:color w:val="auto"/>
        </w:rPr>
        <w:t>Section 5.14</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left="-460" w:firstLine="1292"/>
        <w:spacing w:after="0" w:line="257" w:lineRule="auto"/>
        <w:tabs>
          <w:tab w:leader="none" w:pos="1374" w:val="left"/>
        </w:tabs>
        <w:numPr>
          <w:ilvl w:val="1"/>
          <w:numId w:val="131"/>
        </w:numPr>
        <w:rPr>
          <w:rFonts w:ascii="Arial" w:cs="Arial" w:eastAsia="Arial" w:hAnsi="Arial"/>
          <w:sz w:val="19"/>
          <w:szCs w:val="19"/>
          <w:color w:val="auto"/>
        </w:rPr>
      </w:pPr>
      <w:r>
        <w:rPr>
          <w:rFonts w:ascii="Arial" w:cs="Arial" w:eastAsia="Arial" w:hAnsi="Arial"/>
          <w:sz w:val="19"/>
          <w:szCs w:val="19"/>
          <w:color w:val="auto"/>
        </w:rPr>
        <w:t>evidence satisfactory to the Collateral Agent of the compliance by each Loan Party of its obligations under the Security Agreement and the other Collateral Documents (including its obligations to execute and deliver UCC financing statements, Intellectual Property Security Agreements and originals of stock certificates in respect of Equity Interests (along with corresponding stock powers) and promissory notes in respect of pledged debt (along with allonges));</w:t>
      </w:r>
    </w:p>
    <w:p>
      <w:pPr>
        <w:spacing w:after="0" w:line="144" w:lineRule="exact"/>
        <w:rPr>
          <w:rFonts w:ascii="Arial" w:cs="Arial" w:eastAsia="Arial" w:hAnsi="Arial"/>
          <w:sz w:val="19"/>
          <w:szCs w:val="19"/>
          <w:color w:val="auto"/>
        </w:rPr>
      </w:pPr>
    </w:p>
    <w:p>
      <w:pPr>
        <w:jc w:val="both"/>
        <w:ind w:left="-460" w:firstLine="1292"/>
        <w:spacing w:after="0" w:line="222" w:lineRule="auto"/>
        <w:tabs>
          <w:tab w:leader="none" w:pos="1353" w:val="left"/>
        </w:tabs>
        <w:numPr>
          <w:ilvl w:val="1"/>
          <w:numId w:val="131"/>
        </w:numPr>
        <w:rPr>
          <w:rFonts w:ascii="Arial" w:cs="Arial" w:eastAsia="Arial" w:hAnsi="Arial"/>
          <w:sz w:val="21"/>
          <w:szCs w:val="21"/>
          <w:color w:val="auto"/>
        </w:rPr>
      </w:pPr>
      <w:r>
        <w:rPr>
          <w:rFonts w:ascii="Arial" w:cs="Arial" w:eastAsia="Arial" w:hAnsi="Arial"/>
          <w:sz w:val="21"/>
          <w:szCs w:val="21"/>
          <w:color w:val="auto"/>
        </w:rPr>
        <w:t xml:space="preserve">a completed Perfection Certificate dated the Effective Date and executed by a Responsible Officer of each Loan Party, together with all attachments contemplated thereby, including the results of a search of the Uniform Commercial Code (or equivalent) filings made with respect to the Loan Parties in the jurisdictions contemplated by the Perfection Certificate and copies of the financing statements (or similar documents) disclosed by such search and evidence reasonably satisfactory to the Administrative Agent that the Liens indicated by such financing statements (or similar documents) are permitted under </w:t>
      </w:r>
      <w:r>
        <w:rPr>
          <w:rFonts w:ascii="Arial" w:cs="Arial" w:eastAsia="Arial" w:hAnsi="Arial"/>
          <w:sz w:val="21"/>
          <w:szCs w:val="21"/>
          <w:u w:val="single" w:color="auto"/>
          <w:color w:val="auto"/>
        </w:rPr>
        <w:t>Section 6.2</w:t>
      </w:r>
      <w:r>
        <w:rPr>
          <w:rFonts w:ascii="Arial" w:cs="Arial" w:eastAsia="Arial" w:hAnsi="Arial"/>
          <w:sz w:val="21"/>
          <w:szCs w:val="21"/>
          <w:color w:val="auto"/>
        </w:rPr>
        <w:t xml:space="preserve"> or have been, or substantially contemporaneously with the occurrence of the Effective Date will be, released; and</w:t>
      </w:r>
    </w:p>
    <w:p>
      <w:pPr>
        <w:spacing w:after="0" w:line="164" w:lineRule="exact"/>
        <w:rPr>
          <w:rFonts w:ascii="Arial" w:cs="Arial" w:eastAsia="Arial" w:hAnsi="Arial"/>
          <w:sz w:val="21"/>
          <w:szCs w:val="21"/>
          <w:color w:val="auto"/>
        </w:rPr>
      </w:pPr>
    </w:p>
    <w:p>
      <w:pPr>
        <w:jc w:val="both"/>
        <w:ind w:left="-460" w:firstLine="1292"/>
        <w:spacing w:after="0" w:line="223" w:lineRule="auto"/>
        <w:tabs>
          <w:tab w:leader="none" w:pos="1373" w:val="left"/>
        </w:tabs>
        <w:numPr>
          <w:ilvl w:val="1"/>
          <w:numId w:val="131"/>
        </w:numPr>
        <w:rPr>
          <w:rFonts w:ascii="Arial" w:cs="Arial" w:eastAsia="Arial" w:hAnsi="Arial"/>
          <w:sz w:val="22"/>
          <w:szCs w:val="22"/>
          <w:color w:val="auto"/>
        </w:rPr>
      </w:pPr>
      <w:r>
        <w:rPr>
          <w:rFonts w:ascii="Arial" w:cs="Arial" w:eastAsia="Arial" w:hAnsi="Arial"/>
          <w:sz w:val="22"/>
          <w:szCs w:val="22"/>
          <w:color w:val="auto"/>
        </w:rPr>
        <w:t>evidence that each Loan Party shall have taken or caused to be taken any other action, executed and delivered or caused to be executed and delivered any other agreement, document and instrument in a proper form for filing, if applicable, reasonably required by the Collateral Agent.</w:t>
      </w:r>
    </w:p>
    <w:p>
      <w:pPr>
        <w:spacing w:after="0" w:line="158" w:lineRule="exact"/>
        <w:rPr>
          <w:rFonts w:ascii="Arial" w:cs="Arial" w:eastAsia="Arial" w:hAnsi="Arial"/>
          <w:sz w:val="22"/>
          <w:szCs w:val="22"/>
          <w:color w:val="auto"/>
        </w:rPr>
      </w:pPr>
    </w:p>
    <w:p>
      <w:pPr>
        <w:ind w:left="-460" w:firstLine="644"/>
        <w:spacing w:after="0" w:line="232" w:lineRule="auto"/>
        <w:tabs>
          <w:tab w:leader="none" w:pos="789" w:val="left"/>
        </w:tabs>
        <w:numPr>
          <w:ilvl w:val="0"/>
          <w:numId w:val="131"/>
        </w:numPr>
        <w:rPr>
          <w:rFonts w:ascii="Arial" w:cs="Arial" w:eastAsia="Arial" w:hAnsi="Arial"/>
          <w:sz w:val="22"/>
          <w:szCs w:val="22"/>
          <w:color w:val="auto"/>
        </w:rPr>
      </w:pPr>
      <w:r>
        <w:rPr>
          <w:rFonts w:ascii="Arial" w:cs="Arial" w:eastAsia="Arial" w:hAnsi="Arial"/>
          <w:sz w:val="22"/>
          <w:szCs w:val="22"/>
          <w:color w:val="auto"/>
        </w:rPr>
        <w:t xml:space="preserve">The Administrative Agent shall have received from the Borrower (i) the financial statements described in </w:t>
      </w:r>
      <w:r>
        <w:rPr>
          <w:rFonts w:ascii="Arial" w:cs="Arial" w:eastAsia="Arial" w:hAnsi="Arial"/>
          <w:sz w:val="22"/>
          <w:szCs w:val="22"/>
          <w:u w:val="single" w:color="auto"/>
          <w:color w:val="auto"/>
        </w:rPr>
        <w:t>Section 3.4(a)</w:t>
      </w:r>
      <w:r>
        <w:rPr>
          <w:rFonts w:ascii="Arial" w:cs="Arial" w:eastAsia="Arial" w:hAnsi="Arial"/>
          <w:sz w:val="22"/>
          <w:szCs w:val="22"/>
          <w:color w:val="auto"/>
        </w:rPr>
        <w:t xml:space="preserve"> and (ii) the Projections.</w:t>
      </w:r>
    </w:p>
    <w:p>
      <w:pPr>
        <w:spacing w:after="0" w:line="158" w:lineRule="exact"/>
        <w:rPr>
          <w:rFonts w:ascii="Arial" w:cs="Arial" w:eastAsia="Arial" w:hAnsi="Arial"/>
          <w:sz w:val="22"/>
          <w:szCs w:val="22"/>
          <w:color w:val="auto"/>
        </w:rPr>
      </w:pPr>
    </w:p>
    <w:p>
      <w:pPr>
        <w:jc w:val="both"/>
        <w:ind w:left="-460" w:firstLine="644"/>
        <w:spacing w:after="0" w:line="223" w:lineRule="auto"/>
        <w:tabs>
          <w:tab w:leader="none" w:pos="724" w:val="left"/>
        </w:tabs>
        <w:numPr>
          <w:ilvl w:val="0"/>
          <w:numId w:val="131"/>
        </w:numPr>
        <w:rPr>
          <w:rFonts w:ascii="Arial" w:cs="Arial" w:eastAsia="Arial" w:hAnsi="Arial"/>
          <w:sz w:val="22"/>
          <w:szCs w:val="22"/>
          <w:color w:val="auto"/>
        </w:rPr>
      </w:pPr>
      <w:r>
        <w:rPr>
          <w:rFonts w:ascii="Arial" w:cs="Arial" w:eastAsia="Arial" w:hAnsi="Arial"/>
          <w:sz w:val="22"/>
          <w:szCs w:val="22"/>
          <w:color w:val="auto"/>
        </w:rPr>
        <w:t>On the Effective Date, the Administrative Agent shall have received a Solvency Certificate in form, scope and substance reasonably satisfactory to the Administrative Agent, and demonstrating that Holdings is, individually and together with its Restricted Subsidiaries, and will be Solvent.</w:t>
      </w:r>
    </w:p>
    <w:p>
      <w:pPr>
        <w:spacing w:after="0" w:line="158" w:lineRule="exact"/>
        <w:rPr>
          <w:rFonts w:ascii="Arial" w:cs="Arial" w:eastAsia="Arial" w:hAnsi="Arial"/>
          <w:sz w:val="22"/>
          <w:szCs w:val="22"/>
          <w:color w:val="auto"/>
        </w:rPr>
      </w:pPr>
    </w:p>
    <w:p>
      <w:pPr>
        <w:jc w:val="both"/>
        <w:ind w:left="-460" w:firstLine="644"/>
        <w:spacing w:after="0" w:line="223" w:lineRule="auto"/>
        <w:tabs>
          <w:tab w:leader="none" w:pos="802" w:val="left"/>
        </w:tabs>
        <w:numPr>
          <w:ilvl w:val="0"/>
          <w:numId w:val="131"/>
        </w:numPr>
        <w:rPr>
          <w:rFonts w:ascii="Arial" w:cs="Arial" w:eastAsia="Arial" w:hAnsi="Arial"/>
          <w:sz w:val="22"/>
          <w:szCs w:val="22"/>
          <w:color w:val="auto"/>
        </w:rPr>
      </w:pPr>
      <w:r>
        <w:rPr>
          <w:rFonts w:ascii="Arial" w:cs="Arial" w:eastAsia="Arial" w:hAnsi="Arial"/>
          <w:sz w:val="22"/>
          <w:szCs w:val="22"/>
          <w:color w:val="auto"/>
        </w:rPr>
        <w:t>Since December 31, 2020, no event, development or circumstance exists or has occurred that has had or would reasonably be expected to have a material adverse effect on the business, property, financial condition or results of operations of Holdings and its Restricted Subsidiaries, taken as a whole.</w:t>
      </w:r>
    </w:p>
    <w:p>
      <w:pPr>
        <w:spacing w:after="0" w:line="158" w:lineRule="exact"/>
        <w:rPr>
          <w:rFonts w:ascii="Arial" w:cs="Arial" w:eastAsia="Arial" w:hAnsi="Arial"/>
          <w:sz w:val="22"/>
          <w:szCs w:val="22"/>
          <w:color w:val="auto"/>
        </w:rPr>
      </w:pPr>
    </w:p>
    <w:p>
      <w:pPr>
        <w:jc w:val="both"/>
        <w:ind w:left="-460" w:firstLine="644"/>
        <w:spacing w:after="0" w:line="229" w:lineRule="auto"/>
        <w:tabs>
          <w:tab w:leader="none" w:pos="818" w:val="left"/>
        </w:tabs>
        <w:numPr>
          <w:ilvl w:val="0"/>
          <w:numId w:val="131"/>
        </w:numPr>
        <w:rPr>
          <w:rFonts w:ascii="Arial" w:cs="Arial" w:eastAsia="Arial" w:hAnsi="Arial"/>
          <w:sz w:val="21"/>
          <w:szCs w:val="21"/>
          <w:color w:val="auto"/>
        </w:rPr>
      </w:pPr>
      <w:r>
        <w:rPr>
          <w:rFonts w:ascii="Arial" w:cs="Arial" w:eastAsia="Arial" w:hAnsi="Arial"/>
          <w:sz w:val="21"/>
          <w:szCs w:val="21"/>
          <w:color w:val="auto"/>
        </w:rPr>
        <w:t>(A) The Administrative Agent shall have received at least three Business Days prior to the Effective Date, to the extent reasonably requested by any of the Lenders at least ten Business Days prior to the Effective Date, all documentation and other information required by bank regulatory authorities under applicable “know-your-customer” and anti-money laundering rules and regulations, including, without limitation,</w:t>
      </w:r>
    </w:p>
    <w:p>
      <w:pPr>
        <w:sectPr>
          <w:pgSz w:w="11900" w:h="16838" w:orient="portrait"/>
          <w:cols w:equalWidth="0" w:num="1">
            <w:col w:w="10120"/>
          </w:cols>
          <w:pgMar w:left="1440" w:top="1401" w:right="339" w:bottom="1440" w:gutter="0" w:footer="0" w:header="0"/>
        </w:sectPr>
      </w:pPr>
    </w:p>
    <w:bookmarkStart w:id="136" w:name="page137"/>
    <w:bookmarkEnd w:id="136"/>
    <w:p>
      <w:pPr>
        <w:jc w:val="both"/>
        <w:ind w:left="660"/>
        <w:spacing w:after="0" w:line="224" w:lineRule="auto"/>
        <w:rPr>
          <w:sz w:val="20"/>
          <w:szCs w:val="20"/>
          <w:color w:val="auto"/>
        </w:rPr>
      </w:pPr>
      <w:r>
        <w:rPr>
          <w:rFonts w:ascii="Arial" w:cs="Arial" w:eastAsia="Arial" w:hAnsi="Arial"/>
          <w:sz w:val="21"/>
          <w:szCs w:val="21"/>
          <w:color w:val="auto"/>
        </w:rPr>
        <w:t>the USA Patriot Act and the Beneficial Ownership Regulation and (B) to the extent any Borrower qualifies as a “legal entity customer” under the Beneficial Ownership Regulation, at least three Business Days prior to the Effective Date, any Lender that has requested, in a written notice to the Borrowers at least ten Business Days prior to the Effective Date, a Beneficial Ownership Certification in relation to any Borrower shall have received such Beneficial Ownership Certification (provided that, upon the execution and delivery by such Lender of its signature page to this Agreement, the condition set forth in this clause (B) shall be deemed to be satisfied).</w:t>
      </w:r>
    </w:p>
    <w:p>
      <w:pPr>
        <w:spacing w:after="0" w:line="160" w:lineRule="exact"/>
        <w:rPr>
          <w:sz w:val="20"/>
          <w:szCs w:val="20"/>
          <w:color w:val="auto"/>
        </w:rPr>
      </w:pPr>
    </w:p>
    <w:p>
      <w:pPr>
        <w:jc w:val="both"/>
        <w:ind w:left="660" w:firstLine="644"/>
        <w:spacing w:after="0" w:line="223" w:lineRule="auto"/>
        <w:tabs>
          <w:tab w:leader="none" w:pos="1978" w:val="left"/>
        </w:tabs>
        <w:numPr>
          <w:ilvl w:val="0"/>
          <w:numId w:val="132"/>
        </w:numPr>
        <w:rPr>
          <w:rFonts w:ascii="Arial" w:cs="Arial" w:eastAsia="Arial" w:hAnsi="Arial"/>
          <w:sz w:val="22"/>
          <w:szCs w:val="22"/>
          <w:color w:val="auto"/>
        </w:rPr>
      </w:pPr>
      <w:r>
        <w:rPr>
          <w:rFonts w:ascii="Arial" w:cs="Arial" w:eastAsia="Arial" w:hAnsi="Arial"/>
          <w:sz w:val="22"/>
          <w:szCs w:val="22"/>
          <w:color w:val="auto"/>
        </w:rPr>
        <w:t xml:space="preserve">The Administrative Agent shall have received a certificate of the President, a Vice President or a Financial Officer of Holdings, dated the Effective Date, certifying compliance with the conditions set forth in the foregoing clauses (ii), (iii) and (xi) of this </w:t>
      </w:r>
      <w:r>
        <w:rPr>
          <w:rFonts w:ascii="Arial" w:cs="Arial" w:eastAsia="Arial" w:hAnsi="Arial"/>
          <w:sz w:val="22"/>
          <w:szCs w:val="22"/>
          <w:u w:val="single" w:color="auto"/>
          <w:color w:val="auto"/>
        </w:rPr>
        <w:t>Section 4.1(a)</w:t>
      </w:r>
      <w:r>
        <w:rPr>
          <w:rFonts w:ascii="Arial" w:cs="Arial" w:eastAsia="Arial" w:hAnsi="Arial"/>
          <w:sz w:val="22"/>
          <w:szCs w:val="22"/>
          <w:color w:val="auto"/>
        </w:rPr>
        <w:t>.</w:t>
      </w:r>
    </w:p>
    <w:p>
      <w:pPr>
        <w:spacing w:after="0" w:line="159" w:lineRule="exact"/>
        <w:rPr>
          <w:sz w:val="20"/>
          <w:szCs w:val="20"/>
          <w:color w:val="auto"/>
        </w:rPr>
      </w:pPr>
    </w:p>
    <w:p>
      <w:pPr>
        <w:jc w:val="both"/>
        <w:ind w:left="80" w:firstLine="1305"/>
        <w:spacing w:after="0" w:line="249" w:lineRule="auto"/>
        <w:tabs>
          <w:tab w:leader="none" w:pos="1861"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The Administrative Agent shall notify the Borrowers and the Lenders of the Effective Date, and such notice shall be conclusive and binding. Without limiting the generality of the provisions of Article IX, for purposes of determining compliance with the conditions specified in this </w:t>
      </w:r>
      <w:r>
        <w:rPr>
          <w:rFonts w:ascii="Arial" w:cs="Arial" w:eastAsia="Arial" w:hAnsi="Arial"/>
          <w:sz w:val="19"/>
          <w:szCs w:val="19"/>
          <w:u w:val="single" w:color="auto"/>
          <w:color w:val="auto"/>
        </w:rPr>
        <w:t>Section 4.1</w:t>
      </w:r>
      <w:r>
        <w:rPr>
          <w:rFonts w:ascii="Arial" w:cs="Arial" w:eastAsia="Arial" w:hAnsi="Arial"/>
          <w:sz w:val="19"/>
          <w:szCs w:val="19"/>
          <w:color w:val="auto"/>
        </w:rPr>
        <w:t>, each Lender that has signed this Agreement shall be deemed to have consented to, approved or accepted or to be satisfied with, each document or other matter required hereunder to be consented to or approved by or acceptable or satisfactory to a Lender unless the Administrative Agent shall have received notice from such Lender prior to the proposed Effective Date specifying its objection thereto.</w:t>
      </w:r>
    </w:p>
    <w:p>
      <w:pPr>
        <w:spacing w:after="0" w:line="152"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 xml:space="preserve">Section 4.2 </w:t>
      </w:r>
      <w:r>
        <w:rPr>
          <w:rFonts w:ascii="Arial" w:cs="Arial" w:eastAsia="Arial" w:hAnsi="Arial"/>
          <w:sz w:val="19"/>
          <w:szCs w:val="19"/>
          <w:u w:val="single" w:color="auto"/>
          <w:color w:val="auto"/>
        </w:rPr>
        <w:t>Each Credit Extension</w:t>
      </w:r>
      <w:r>
        <w:rPr>
          <w:rFonts w:ascii="Arial" w:cs="Arial" w:eastAsia="Arial" w:hAnsi="Arial"/>
          <w:sz w:val="19"/>
          <w:szCs w:val="19"/>
          <w:color w:val="auto"/>
        </w:rPr>
        <w:t xml:space="preserve">. The obligation of each Lender to make a Loan on the occasion of any Borrowing (other than a Borrowing consisting solely of a conversion of Loans of one Type to another Type or a continuation of a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highlight w:val="lightGray"/>
        </w:rPr>
        <w:t>Term Benchmark</w:t>
      </w:r>
      <w:r>
        <w:rPr>
          <w:rFonts w:ascii="Arial" w:cs="Arial" w:eastAsia="Arial" w:hAnsi="Arial"/>
          <w:sz w:val="19"/>
          <w:szCs w:val="19"/>
          <w:color w:val="FF0000"/>
        </w:rPr>
        <w:t xml:space="preserve"> </w:t>
      </w:r>
      <w:r>
        <w:rPr>
          <w:rFonts w:ascii="Arial" w:cs="Arial" w:eastAsia="Arial" w:hAnsi="Arial"/>
          <w:sz w:val="19"/>
          <w:szCs w:val="19"/>
          <w:color w:val="000000"/>
        </w:rPr>
        <w:t>Loan following the expiration of the applicable Interest Period), the obligation of each Issuing Bank</w:t>
      </w:r>
      <w:r>
        <w:rPr>
          <w:rFonts w:ascii="Arial" w:cs="Arial" w:eastAsia="Arial" w:hAnsi="Arial"/>
          <w:sz w:val="19"/>
          <w:szCs w:val="19"/>
          <w:color w:val="FF0000"/>
        </w:rPr>
        <w:t xml:space="preserve"> </w:t>
      </w:r>
      <w:r>
        <w:rPr>
          <w:rFonts w:ascii="Arial" w:cs="Arial" w:eastAsia="Arial" w:hAnsi="Arial"/>
          <w:sz w:val="19"/>
          <w:szCs w:val="19"/>
          <w:color w:val="000000"/>
        </w:rPr>
        <w:t xml:space="preserve">to issue any Letter of Credit, or amend or extend the expiration date, or increase the face amount of any Letter of Credit, and the effectiveness of any Commitment Increase pursuant to </w:t>
      </w:r>
      <w:r>
        <w:rPr>
          <w:rFonts w:ascii="Arial" w:cs="Arial" w:eastAsia="Arial" w:hAnsi="Arial"/>
          <w:sz w:val="19"/>
          <w:szCs w:val="19"/>
          <w:u w:val="single" w:color="auto"/>
          <w:color w:val="000000"/>
        </w:rPr>
        <w:t>Section 2.19</w:t>
      </w:r>
      <w:r>
        <w:rPr>
          <w:rFonts w:ascii="Arial" w:cs="Arial" w:eastAsia="Arial" w:hAnsi="Arial"/>
          <w:sz w:val="19"/>
          <w:szCs w:val="19"/>
          <w:color w:val="000000"/>
        </w:rPr>
        <w:t xml:space="preserve"> or any extension of the Maturity Date pursuant to </w:t>
      </w:r>
      <w:r>
        <w:rPr>
          <w:rFonts w:ascii="Arial" w:cs="Arial" w:eastAsia="Arial" w:hAnsi="Arial"/>
          <w:sz w:val="19"/>
          <w:szCs w:val="19"/>
          <w:u w:val="single" w:color="auto"/>
          <w:color w:val="000000"/>
        </w:rPr>
        <w:t>Section</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2.20</w:t>
      </w:r>
      <w:r>
        <w:rPr>
          <w:rFonts w:ascii="Arial" w:cs="Arial" w:eastAsia="Arial" w:hAnsi="Arial"/>
          <w:sz w:val="19"/>
          <w:szCs w:val="19"/>
          <w:color w:val="000000"/>
        </w:rPr>
        <w:t xml:space="preserve"> (each of the foregoing, a “</w:t>
      </w:r>
      <w:r>
        <w:rPr>
          <w:rFonts w:ascii="Arial" w:cs="Arial" w:eastAsia="Arial" w:hAnsi="Arial"/>
          <w:sz w:val="19"/>
          <w:szCs w:val="19"/>
          <w:u w:val="single" w:color="auto"/>
          <w:color w:val="000000"/>
        </w:rPr>
        <w:t>Credit Extension</w:t>
      </w:r>
      <w:r>
        <w:rPr>
          <w:rFonts w:ascii="Arial" w:cs="Arial" w:eastAsia="Arial" w:hAnsi="Arial"/>
          <w:sz w:val="19"/>
          <w:szCs w:val="19"/>
          <w:color w:val="000000"/>
        </w:rPr>
        <w:t>”), is subject to the satisfaction of the following conditions:</w:t>
      </w:r>
    </w:p>
    <w:p>
      <w:pPr>
        <w:spacing w:after="0" w:line="152" w:lineRule="exact"/>
        <w:rPr>
          <w:sz w:val="20"/>
          <w:szCs w:val="20"/>
          <w:color w:val="auto"/>
        </w:rPr>
      </w:pPr>
    </w:p>
    <w:p>
      <w:pPr>
        <w:ind w:left="80" w:firstLine="1305"/>
        <w:spacing w:after="0" w:line="298" w:lineRule="auto"/>
        <w:tabs>
          <w:tab w:leader="none" w:pos="1922" w:val="left"/>
        </w:tabs>
        <w:numPr>
          <w:ilvl w:val="1"/>
          <w:numId w:val="134"/>
        </w:numPr>
        <w:rPr>
          <w:rFonts w:ascii="Arial" w:cs="Arial" w:eastAsia="Arial" w:hAnsi="Arial"/>
          <w:sz w:val="19"/>
          <w:szCs w:val="19"/>
          <w:color w:val="auto"/>
        </w:rPr>
      </w:pPr>
      <w:r>
        <w:rPr>
          <w:rFonts w:ascii="Arial" w:cs="Arial" w:eastAsia="Arial" w:hAnsi="Arial"/>
          <w:sz w:val="19"/>
          <w:szCs w:val="19"/>
          <w:color w:val="auto"/>
        </w:rPr>
        <w:t>The Administrative Agent shall have received a fully executed Borrowing Request or the Administrative Agent and the applicable Issuing Bank shall have received fully executed Issuance Notice and Application, as the case may be;</w:t>
      </w:r>
    </w:p>
    <w:p>
      <w:pPr>
        <w:spacing w:after="0" w:line="105" w:lineRule="exact"/>
        <w:rPr>
          <w:rFonts w:ascii="Arial" w:cs="Arial" w:eastAsia="Arial" w:hAnsi="Arial"/>
          <w:sz w:val="19"/>
          <w:szCs w:val="19"/>
          <w:color w:val="auto"/>
        </w:rPr>
      </w:pPr>
    </w:p>
    <w:p>
      <w:pPr>
        <w:jc w:val="both"/>
        <w:ind w:left="80" w:firstLine="1305"/>
        <w:spacing w:after="0" w:line="241" w:lineRule="auto"/>
        <w:tabs>
          <w:tab w:leader="none" w:pos="1972" w:val="left"/>
        </w:tabs>
        <w:numPr>
          <w:ilvl w:val="1"/>
          <w:numId w:val="134"/>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the Loan Parties set forth in this Agreement and the other Loan Documents shall be true and correct in all material respects (other than to the extent qualified by materiality or “Material Adverse Effect”, in which case, such representations and warranties shall be true and correct in all respects) on and as of the date of such Credit Extension, except that (i) for purposes of this Section, the representations and warranties contained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3.4(a)</w:t>
      </w:r>
      <w:r>
        <w:rPr>
          <w:rFonts w:ascii="Arial" w:cs="Arial" w:eastAsia="Arial" w:hAnsi="Arial"/>
          <w:sz w:val="19"/>
          <w:szCs w:val="19"/>
          <w:color w:val="auto"/>
        </w:rPr>
        <w:t xml:space="preserve"> shall be deemed to refer, following the first delivery thereof, to the most recent statements furnished pursuant to clauses</w:t>
      </w:r>
    </w:p>
    <w:p>
      <w:pPr>
        <w:spacing w:after="0" w:line="1" w:lineRule="exact"/>
        <w:rPr>
          <w:rFonts w:ascii="Arial" w:cs="Arial" w:eastAsia="Arial" w:hAnsi="Arial"/>
          <w:sz w:val="19"/>
          <w:szCs w:val="19"/>
          <w:color w:val="auto"/>
        </w:rPr>
      </w:pPr>
    </w:p>
    <w:p>
      <w:pPr>
        <w:ind w:left="80" w:firstLine="9"/>
        <w:spacing w:after="0" w:line="224" w:lineRule="auto"/>
        <w:tabs>
          <w:tab w:leader="none" w:pos="398" w:val="left"/>
        </w:tabs>
        <w:numPr>
          <w:ilvl w:val="0"/>
          <w:numId w:val="135"/>
        </w:numPr>
        <w:rPr>
          <w:rFonts w:ascii="Arial" w:cs="Arial" w:eastAsia="Arial" w:hAnsi="Arial"/>
          <w:sz w:val="22"/>
          <w:szCs w:val="22"/>
          <w:color w:val="auto"/>
        </w:rPr>
      </w:pPr>
      <w:r>
        <w:rPr>
          <w:rFonts w:ascii="Arial" w:cs="Arial" w:eastAsia="Arial" w:hAnsi="Arial"/>
          <w:sz w:val="22"/>
          <w:szCs w:val="22"/>
          <w:color w:val="auto"/>
        </w:rPr>
        <w:t xml:space="preserve">and (b), respectively, of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and (ii) to the extent that such representations and warranties specifically refer to an earlier date, they shall be true and correct in such manner as of such earlier date; and</w:t>
      </w:r>
    </w:p>
    <w:p>
      <w:pPr>
        <w:spacing w:after="0" w:line="157" w:lineRule="exact"/>
        <w:rPr>
          <w:rFonts w:ascii="Arial" w:cs="Arial" w:eastAsia="Arial" w:hAnsi="Arial"/>
          <w:sz w:val="22"/>
          <w:szCs w:val="22"/>
          <w:color w:val="auto"/>
        </w:rPr>
      </w:pPr>
    </w:p>
    <w:p>
      <w:pPr>
        <w:ind w:left="80" w:firstLine="1305"/>
        <w:spacing w:after="0" w:line="232" w:lineRule="auto"/>
        <w:tabs>
          <w:tab w:leader="none" w:pos="1861" w:val="left"/>
        </w:tabs>
        <w:numPr>
          <w:ilvl w:val="1"/>
          <w:numId w:val="135"/>
        </w:numPr>
        <w:rPr>
          <w:rFonts w:ascii="Arial" w:cs="Arial" w:eastAsia="Arial" w:hAnsi="Arial"/>
          <w:sz w:val="22"/>
          <w:szCs w:val="22"/>
          <w:color w:val="auto"/>
        </w:rPr>
      </w:pPr>
      <w:r>
        <w:rPr>
          <w:rFonts w:ascii="Arial" w:cs="Arial" w:eastAsia="Arial" w:hAnsi="Arial"/>
          <w:sz w:val="22"/>
          <w:szCs w:val="22"/>
          <w:color w:val="auto"/>
        </w:rPr>
        <w:t>At the time of and immediately after giving effect to such Credit Extension, no Default or Event of Default shall have occurred and be continuing.</w:t>
      </w:r>
    </w:p>
    <w:p>
      <w:pPr>
        <w:spacing w:after="0" w:line="159" w:lineRule="exact"/>
        <w:rPr>
          <w:sz w:val="20"/>
          <w:szCs w:val="20"/>
          <w:color w:val="auto"/>
        </w:rPr>
      </w:pPr>
    </w:p>
    <w:p>
      <w:pPr>
        <w:ind w:firstLine="1296"/>
        <w:spacing w:after="0" w:line="232" w:lineRule="auto"/>
        <w:rPr>
          <w:sz w:val="20"/>
          <w:szCs w:val="20"/>
          <w:color w:val="auto"/>
        </w:rPr>
      </w:pPr>
      <w:r>
        <w:rPr>
          <w:rFonts w:ascii="Arial" w:cs="Arial" w:eastAsia="Arial" w:hAnsi="Arial"/>
          <w:sz w:val="22"/>
          <w:szCs w:val="22"/>
          <w:color w:val="auto"/>
        </w:rPr>
        <w:t>Each Credit Extension shall be deemed to constitute a representation and warranty by the Borrowers as to the matters specified in paragraphs (b) and (c) of this Section.</w:t>
      </w:r>
    </w:p>
    <w:p>
      <w:pPr>
        <w:sectPr>
          <w:pgSz w:w="11900" w:h="16838" w:orient="portrait"/>
          <w:cols w:equalWidth="0" w:num="1">
            <w:col w:w="11240"/>
          </w:cols>
          <w:pgMar w:left="320" w:top="1401" w:right="339" w:bottom="1440" w:gutter="0" w:footer="0" w:header="0"/>
        </w:sectPr>
      </w:pPr>
    </w:p>
    <w:bookmarkStart w:id="137" w:name="page138"/>
    <w:bookmarkEnd w:id="137"/>
    <w:p>
      <w:pPr>
        <w:ind w:left="4960"/>
        <w:spacing w:after="0"/>
        <w:rPr>
          <w:sz w:val="20"/>
          <w:szCs w:val="20"/>
          <w:color w:val="auto"/>
        </w:rPr>
      </w:pPr>
      <w:r>
        <w:rPr>
          <w:rFonts w:ascii="Arial" w:cs="Arial" w:eastAsia="Arial" w:hAnsi="Arial"/>
          <w:sz w:val="22"/>
          <w:szCs w:val="22"/>
          <w:color w:val="auto"/>
        </w:rPr>
        <w:t>ARTICLE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-17780</wp:posOffset>
            </wp:positionV>
            <wp:extent cx="137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ind w:left="4220"/>
        <w:spacing w:after="0"/>
        <w:rPr>
          <w:sz w:val="20"/>
          <w:szCs w:val="20"/>
          <w:color w:val="auto"/>
        </w:rPr>
      </w:pPr>
      <w:r>
        <w:rPr>
          <w:rFonts w:ascii="Arial" w:cs="Arial" w:eastAsia="Arial" w:hAnsi="Arial"/>
          <w:sz w:val="22"/>
          <w:szCs w:val="22"/>
          <w:u w:val="single" w:color="auto"/>
          <w:color w:val="auto"/>
        </w:rPr>
        <w:t>AFFIRMATIVE COVENANTS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Until the Termination Date, each Loan Party covenants and agrees with the Lenders that:</w:t>
      </w:r>
    </w:p>
    <w:p>
      <w:pPr>
        <w:spacing w:after="0" w:line="179" w:lineRule="exact"/>
        <w:rPr>
          <w:sz w:val="20"/>
          <w:szCs w:val="20"/>
          <w:color w:val="auto"/>
        </w:rPr>
      </w:pPr>
    </w:p>
    <w:p>
      <w:pPr>
        <w:ind w:firstLine="1296"/>
        <w:spacing w:after="0" w:line="232" w:lineRule="auto"/>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u w:val="single" w:color="auto"/>
          <w:color w:val="auto"/>
        </w:rPr>
        <w:t>Financial Statements; Other Information; Quarterly Conference Calls</w:t>
      </w:r>
      <w:r>
        <w:rPr>
          <w:rFonts w:ascii="Arial" w:cs="Arial" w:eastAsia="Arial" w:hAnsi="Arial"/>
          <w:sz w:val="22"/>
          <w:szCs w:val="22"/>
          <w:color w:val="auto"/>
        </w:rPr>
        <w:t>. The Borrowers will furnish to the Administrative Agent (for distribution to each Lender):</w:t>
      </w:r>
    </w:p>
    <w:p>
      <w:pPr>
        <w:spacing w:after="0" w:line="159" w:lineRule="exact"/>
        <w:rPr>
          <w:sz w:val="20"/>
          <w:szCs w:val="20"/>
          <w:color w:val="auto"/>
        </w:rPr>
      </w:pPr>
    </w:p>
    <w:p>
      <w:pPr>
        <w:jc w:val="both"/>
        <w:ind w:left="80" w:firstLine="1305"/>
        <w:spacing w:after="0" w:line="244" w:lineRule="auto"/>
        <w:tabs>
          <w:tab w:leader="none" w:pos="1938" w:val="left"/>
        </w:tabs>
        <w:numPr>
          <w:ilvl w:val="1"/>
          <w:numId w:val="136"/>
        </w:numPr>
        <w:rPr>
          <w:rFonts w:ascii="Arial" w:cs="Arial" w:eastAsia="Arial" w:hAnsi="Arial"/>
          <w:sz w:val="19"/>
          <w:szCs w:val="19"/>
          <w:color w:val="auto"/>
        </w:rPr>
      </w:pPr>
      <w:r>
        <w:rPr>
          <w:rFonts w:ascii="Arial" w:cs="Arial" w:eastAsia="Arial" w:hAnsi="Arial"/>
          <w:sz w:val="19"/>
          <w:szCs w:val="19"/>
          <w:color w:val="auto"/>
        </w:rPr>
        <w:t xml:space="preserve">within 90 days after the end of such fiscal year of Holdings, its audited consolidated balance sheet and related statements of operations, stockholders’ equity and cash flows as of the end of and for such year, setting forth in each case in comparative form the figures for the previous fiscal year, all reported on by independent public accountants of recognized national standing (without a “going concern” or like qualification or exception (other than a qualification related to the maturity of the Commitments and the Loans at the Maturity Date) and without any qualification or exception as to the scope of such audit) to the effect that such consolidated financial statements present fairly in all material respects the financial condition and results of operations of Holdings and its consolidated Subsidiaries on a consolidated basis in accordance with GAAP consistently applied (it being understood that the delivery by Holdings of annual reports on Form 10-K of Holdings and its consolidated Subsidiaries shall satisfy the requirements of this </w:t>
      </w:r>
      <w:r>
        <w:rPr>
          <w:rFonts w:ascii="Arial" w:cs="Arial" w:eastAsia="Arial" w:hAnsi="Arial"/>
          <w:sz w:val="19"/>
          <w:szCs w:val="19"/>
          <w:u w:val="single" w:color="auto"/>
          <w:color w:val="auto"/>
        </w:rPr>
        <w:t>Section 5.1(a)</w:t>
      </w:r>
      <w:r>
        <w:rPr>
          <w:rFonts w:ascii="Arial" w:cs="Arial" w:eastAsia="Arial" w:hAnsi="Arial"/>
          <w:sz w:val="19"/>
          <w:szCs w:val="19"/>
          <w:color w:val="auto"/>
        </w:rPr>
        <w:t xml:space="preserve"> to the extent such annual reports include the information specified herein and are delivered within the time period specified above);</w:t>
      </w:r>
    </w:p>
    <w:p>
      <w:pPr>
        <w:spacing w:after="0" w:line="154" w:lineRule="exact"/>
        <w:rPr>
          <w:rFonts w:ascii="Arial" w:cs="Arial" w:eastAsia="Arial" w:hAnsi="Arial"/>
          <w:sz w:val="19"/>
          <w:szCs w:val="19"/>
          <w:color w:val="auto"/>
        </w:rPr>
      </w:pPr>
    </w:p>
    <w:p>
      <w:pPr>
        <w:jc w:val="both"/>
        <w:ind w:left="80" w:firstLine="1305"/>
        <w:spacing w:after="0" w:line="244" w:lineRule="auto"/>
        <w:tabs>
          <w:tab w:leader="none" w:pos="1938" w:val="left"/>
        </w:tabs>
        <w:numPr>
          <w:ilvl w:val="1"/>
          <w:numId w:val="136"/>
        </w:numPr>
        <w:rPr>
          <w:rFonts w:ascii="Arial" w:cs="Arial" w:eastAsia="Arial" w:hAnsi="Arial"/>
          <w:sz w:val="19"/>
          <w:szCs w:val="19"/>
          <w:color w:val="auto"/>
        </w:rPr>
      </w:pPr>
      <w:r>
        <w:rPr>
          <w:rFonts w:ascii="Arial" w:cs="Arial" w:eastAsia="Arial" w:hAnsi="Arial"/>
          <w:sz w:val="19"/>
          <w:szCs w:val="19"/>
          <w:color w:val="auto"/>
        </w:rPr>
        <w:t xml:space="preserve">within 45 days after the end of each of the first three fiscal quarters of each fiscal year of Holdings,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Holdings and its consolidated Subsidiaries on a consolidated basis in accordance with GAAP consistently applied, subject to normal year-end audit adjustments and the absence of footnotes (it being understood that the delivery by Holdings of quarterly reports on Form 10-Q of Holdings and its consolidated Subsidiaries shall satisfy the requirements of this </w:t>
      </w:r>
      <w:r>
        <w:rPr>
          <w:rFonts w:ascii="Arial" w:cs="Arial" w:eastAsia="Arial" w:hAnsi="Arial"/>
          <w:sz w:val="19"/>
          <w:szCs w:val="19"/>
          <w:u w:val="single" w:color="auto"/>
          <w:color w:val="auto"/>
        </w:rPr>
        <w:t>Section 5.1(b)</w:t>
      </w:r>
      <w:r>
        <w:rPr>
          <w:rFonts w:ascii="Arial" w:cs="Arial" w:eastAsia="Arial" w:hAnsi="Arial"/>
          <w:sz w:val="19"/>
          <w:szCs w:val="19"/>
          <w:color w:val="auto"/>
        </w:rPr>
        <w:t xml:space="preserve"> to the extent such quarterly reports include the information specified herein and are delivered within the time period specified above);</w:t>
      </w:r>
    </w:p>
    <w:p>
      <w:pPr>
        <w:spacing w:after="0" w:line="160" w:lineRule="exact"/>
        <w:rPr>
          <w:rFonts w:ascii="Arial" w:cs="Arial" w:eastAsia="Arial" w:hAnsi="Arial"/>
          <w:sz w:val="19"/>
          <w:szCs w:val="19"/>
          <w:color w:val="auto"/>
        </w:rPr>
      </w:pPr>
    </w:p>
    <w:p>
      <w:pPr>
        <w:jc w:val="both"/>
        <w:ind w:left="80" w:firstLine="1305"/>
        <w:spacing w:after="0" w:line="242" w:lineRule="auto"/>
        <w:tabs>
          <w:tab w:leader="none" w:pos="1969" w:val="left"/>
        </w:tabs>
        <w:numPr>
          <w:ilvl w:val="1"/>
          <w:numId w:val="136"/>
        </w:numPr>
        <w:rPr>
          <w:rFonts w:ascii="Arial" w:cs="Arial" w:eastAsia="Arial" w:hAnsi="Arial"/>
          <w:sz w:val="19"/>
          <w:szCs w:val="19"/>
          <w:color w:val="auto"/>
        </w:rPr>
      </w:pPr>
      <w:r>
        <w:rPr>
          <w:rFonts w:ascii="Arial" w:cs="Arial" w:eastAsia="Arial" w:hAnsi="Arial"/>
          <w:sz w:val="19"/>
          <w:szCs w:val="19"/>
          <w:color w:val="auto"/>
        </w:rPr>
        <w:t xml:space="preserve">concurrently with any delivery of financial statements under clause (a) or (b) above, a certificate of a Financial Officer of Holdings in substantially the form of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attached hereto (i) certifying as to whether a Default or Event of Default has occurred and is continuing as of the date thereof and, if a Default or Event of Default has occurred and is continuing as of the date thereof, specifying the details thereof and any action taken or proposed to be taken with respect thereto</w:t>
      </w:r>
    </w:p>
    <w:p>
      <w:pPr>
        <w:jc w:val="both"/>
        <w:ind w:left="80" w:firstLine="9"/>
        <w:spacing w:after="0" w:line="258" w:lineRule="auto"/>
        <w:tabs>
          <w:tab w:leader="none" w:pos="398" w:val="left"/>
        </w:tabs>
        <w:numPr>
          <w:ilvl w:val="0"/>
          <w:numId w:val="137"/>
        </w:numPr>
        <w:rPr>
          <w:rFonts w:ascii="Arial" w:cs="Arial" w:eastAsia="Arial" w:hAnsi="Arial"/>
          <w:sz w:val="19"/>
          <w:szCs w:val="19"/>
          <w:color w:val="auto"/>
        </w:rPr>
      </w:pPr>
      <w:r>
        <w:rPr>
          <w:rFonts w:ascii="Arial" w:cs="Arial" w:eastAsia="Arial" w:hAnsi="Arial"/>
          <w:sz w:val="19"/>
          <w:szCs w:val="19"/>
          <w:color w:val="auto"/>
        </w:rPr>
        <w:t xml:space="preserve">setting forth reasonably detailed calculations demonstrating compliance with Section 6.9 and (iii) if and to the extent that any change in GAAP that has occurred since the date of the audited financial statements referred to in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had an impact on such financial statements, specifying the effect of such change on the financial statements accompanying such certificate;</w:t>
      </w:r>
    </w:p>
    <w:p>
      <w:pPr>
        <w:spacing w:after="0" w:line="141" w:lineRule="exact"/>
        <w:rPr>
          <w:rFonts w:ascii="Arial" w:cs="Arial" w:eastAsia="Arial" w:hAnsi="Arial"/>
          <w:sz w:val="19"/>
          <w:szCs w:val="19"/>
          <w:color w:val="auto"/>
        </w:rPr>
      </w:pPr>
    </w:p>
    <w:p>
      <w:pPr>
        <w:jc w:val="both"/>
        <w:ind w:left="80" w:firstLine="1305"/>
        <w:spacing w:after="0" w:line="268" w:lineRule="auto"/>
        <w:tabs>
          <w:tab w:leader="none" w:pos="2056" w:val="left"/>
        </w:tabs>
        <w:numPr>
          <w:ilvl w:val="1"/>
          <w:numId w:val="137"/>
        </w:numPr>
        <w:rPr>
          <w:rFonts w:ascii="Arial" w:cs="Arial" w:eastAsia="Arial" w:hAnsi="Arial"/>
          <w:sz w:val="19"/>
          <w:szCs w:val="19"/>
          <w:color w:val="auto"/>
        </w:rPr>
      </w:pPr>
      <w:r>
        <w:rPr>
          <w:rFonts w:ascii="Arial" w:cs="Arial" w:eastAsia="Arial" w:hAnsi="Arial"/>
          <w:sz w:val="19"/>
          <w:szCs w:val="19"/>
          <w:color w:val="auto"/>
        </w:rPr>
        <w:t>promptly after the same become publicly available, copies of all periodic and other reports, proxy statements and other materials filed by Holdings or any Restricted Subsidiary with the Securities and Exchange Commission, or any Governmental Authority succeeding to any or all of the functions of said Commission, or with any national securities</w:t>
      </w:r>
    </w:p>
    <w:p>
      <w:pPr>
        <w:sectPr>
          <w:pgSz w:w="11900" w:h="16838" w:orient="portrait"/>
          <w:cols w:equalWidth="0" w:num="1">
            <w:col w:w="11240"/>
          </w:cols>
          <w:pgMar w:left="320" w:top="1401" w:right="339" w:bottom="1440" w:gutter="0" w:footer="0" w:header="0"/>
        </w:sectPr>
      </w:pPr>
    </w:p>
    <w:bookmarkStart w:id="138" w:name="page139"/>
    <w:bookmarkEnd w:id="138"/>
    <w:p>
      <w:pPr>
        <w:jc w:val="both"/>
        <w:ind w:left="80"/>
        <w:spacing w:after="0" w:line="268" w:lineRule="auto"/>
        <w:rPr>
          <w:sz w:val="20"/>
          <w:szCs w:val="20"/>
          <w:color w:val="auto"/>
        </w:rPr>
      </w:pPr>
      <w:r>
        <w:rPr>
          <w:rFonts w:ascii="Arial" w:cs="Arial" w:eastAsia="Arial" w:hAnsi="Arial"/>
          <w:sz w:val="19"/>
          <w:szCs w:val="19"/>
          <w:color w:val="auto"/>
        </w:rPr>
        <w:t xml:space="preserve">exchange, as the case may be, in each case that is not otherwise required to be delivered to the Administrative Agent pursuant 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information shall be deemed to have been delivered on the date on which such information has been posted on Holdings’ website on the Internet at remitly.com (or any successor page) or at http://www.sec.gov;</w:t>
      </w:r>
    </w:p>
    <w:p>
      <w:pPr>
        <w:spacing w:after="0" w:line="132" w:lineRule="exact"/>
        <w:rPr>
          <w:sz w:val="20"/>
          <w:szCs w:val="20"/>
          <w:color w:val="auto"/>
        </w:rPr>
      </w:pPr>
    </w:p>
    <w:p>
      <w:pPr>
        <w:jc w:val="both"/>
        <w:ind w:left="80" w:firstLine="1305"/>
        <w:spacing w:after="0" w:line="218" w:lineRule="auto"/>
        <w:tabs>
          <w:tab w:leader="none" w:pos="2074" w:val="left"/>
        </w:tabs>
        <w:numPr>
          <w:ilvl w:val="0"/>
          <w:numId w:val="138"/>
        </w:numPr>
        <w:rPr>
          <w:rFonts w:ascii="Arial" w:cs="Arial" w:eastAsia="Arial" w:hAnsi="Arial"/>
          <w:sz w:val="22"/>
          <w:szCs w:val="22"/>
          <w:color w:val="auto"/>
        </w:rPr>
      </w:pPr>
      <w:r>
        <w:rPr>
          <w:rFonts w:ascii="Arial" w:cs="Arial" w:eastAsia="Arial" w:hAnsi="Arial"/>
          <w:sz w:val="22"/>
          <w:szCs w:val="22"/>
          <w:color w:val="auto"/>
        </w:rPr>
        <w:t>promptly following any request in writing (including any electronic message) therefor, such other information regarding the operations, business affairs and financial condition of Holdings or any Restricted Subsidiary, or compliance with the terms of this Agreement or any other Loan Document, as the Administrative Agent or any Lender (through the Administrative Agent) may reasonably request;</w:t>
      </w:r>
    </w:p>
    <w:p>
      <w:pPr>
        <w:spacing w:after="0" w:line="160" w:lineRule="exact"/>
        <w:rPr>
          <w:rFonts w:ascii="Arial" w:cs="Arial" w:eastAsia="Arial" w:hAnsi="Arial"/>
          <w:sz w:val="22"/>
          <w:szCs w:val="22"/>
          <w:color w:val="auto"/>
        </w:rPr>
      </w:pPr>
    </w:p>
    <w:p>
      <w:pPr>
        <w:jc w:val="both"/>
        <w:ind w:left="80" w:firstLine="1305"/>
        <w:spacing w:after="0" w:line="221" w:lineRule="auto"/>
        <w:tabs>
          <w:tab w:leader="none" w:pos="1870" w:val="left"/>
        </w:tabs>
        <w:numPr>
          <w:ilvl w:val="0"/>
          <w:numId w:val="138"/>
        </w:numPr>
        <w:rPr>
          <w:rFonts w:ascii="Arial" w:cs="Arial" w:eastAsia="Arial" w:hAnsi="Arial"/>
          <w:sz w:val="21"/>
          <w:szCs w:val="21"/>
          <w:color w:val="auto"/>
        </w:rPr>
      </w:pPr>
      <w:r>
        <w:rPr>
          <w:rFonts w:ascii="Arial" w:cs="Arial" w:eastAsia="Arial" w:hAnsi="Arial"/>
          <w:sz w:val="21"/>
          <w:szCs w:val="21"/>
          <w:color w:val="auto"/>
        </w:rPr>
        <w:t xml:space="preserve">Holdings will furnish to the Collateral Agent (i) any information regarding Collateral required pursuant to the Collateral Documents and (ii) each year, at the time of delivery of annual financial statements with respect to the preceding fiscal year pursuant to </w:t>
      </w:r>
      <w:r>
        <w:rPr>
          <w:rFonts w:ascii="Arial" w:cs="Arial" w:eastAsia="Arial" w:hAnsi="Arial"/>
          <w:sz w:val="21"/>
          <w:szCs w:val="21"/>
          <w:u w:val="single" w:color="auto"/>
          <w:color w:val="auto"/>
        </w:rPr>
        <w:t>Section 5.1(a)</w:t>
      </w:r>
      <w:r>
        <w:rPr>
          <w:rFonts w:ascii="Arial" w:cs="Arial" w:eastAsia="Arial" w:hAnsi="Arial"/>
          <w:sz w:val="21"/>
          <w:szCs w:val="21"/>
          <w:color w:val="auto"/>
        </w:rPr>
        <w:t>, a certificate of its Responsible Officer certifying that, to its knowledge, all Uniform Commercial Code financing statements and all supplemental intellectual property security agreements or other appropriate filings, recordings or registrations, have been filed of record in each governmental, municipal or other appropriate office in each jurisdiction identified in the documents delivered pursuant to clause to the extent necessary to effect, protect and perfect the security interests under the Collateral Documents (except as noted therein with respect to any continuation statements to be filed within such period); and</w:t>
      </w:r>
    </w:p>
    <w:p>
      <w:pPr>
        <w:spacing w:after="0" w:line="165" w:lineRule="exact"/>
        <w:rPr>
          <w:rFonts w:ascii="Arial" w:cs="Arial" w:eastAsia="Arial" w:hAnsi="Arial"/>
          <w:sz w:val="21"/>
          <w:szCs w:val="21"/>
          <w:color w:val="auto"/>
        </w:rPr>
      </w:pPr>
    </w:p>
    <w:p>
      <w:pPr>
        <w:jc w:val="both"/>
        <w:ind w:left="80" w:firstLine="1305"/>
        <w:spacing w:after="0" w:line="214" w:lineRule="auto"/>
        <w:tabs>
          <w:tab w:leader="none" w:pos="1948" w:val="left"/>
        </w:tabs>
        <w:numPr>
          <w:ilvl w:val="0"/>
          <w:numId w:val="138"/>
        </w:numPr>
        <w:rPr>
          <w:rFonts w:ascii="Arial" w:cs="Arial" w:eastAsia="Arial" w:hAnsi="Arial"/>
          <w:sz w:val="22"/>
          <w:szCs w:val="22"/>
          <w:color w:val="auto"/>
        </w:rPr>
      </w:pPr>
      <w:r>
        <w:rPr>
          <w:rFonts w:ascii="Arial" w:cs="Arial" w:eastAsia="Arial" w:hAnsi="Arial"/>
          <w:sz w:val="22"/>
          <w:szCs w:val="22"/>
          <w:color w:val="auto"/>
        </w:rPr>
        <w:t xml:space="preserve">if any Subsidiary has been designated as an Unrestricted Subsidiary, concurrently with each delivery of financial statements under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above, financial statements (in substantially the same form as the financial statements delivered pursuant to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above) prepared on the basis of consolidating the accounts of Holdings and its Restricted Subsidiaries and treating any Unrestricted Subsidiaries as if they were not consolidated with Holdings and otherwise eliminating all accounts of Unrestricted Subsidiaries, together with an explanation of reconciliation adjustments in reasonable detail.</w:t>
      </w:r>
    </w:p>
    <w:p>
      <w:pPr>
        <w:spacing w:after="0" w:line="15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Prior to a Qualifying IPO, the Borrowers will either (as selected by Holdings in its discretion), (a) participate in a quarterly telephonic meeting with the Administrative Agent and the Lenders, such meeting to be held at such time (but, for the avoidance of doubt, not more often than once in a period of three consecutive months) during normal business hours as may reasonably be agreed to by the Borrowers and the Administrative Agent or (b) deliver a customary management discussion and analysis concurrently with the delivery of the financial statements for such fiscal quarter pursuant to Section 5.1(a) or (b), in each case which shall, among other things, convey to the Administrative Agent and the Lenders (i) an analysis of key business trends with respect to the Borrowers as of the end of and for the then most recently ended fiscal quarter and the then elapsed portion of the applicable fiscal year and (ii) in the case of the first such meeting held or management discussion and analysis delivered, as applicable, during any fiscal year, guidance (which shall be prepared on the basis of assumptions believed by the Borrowers to be reasonable) with respect to such key business trends for such fiscal year (and, in the case of each such subsequent meeting held or management discussion and analysis delivered, as applicable, during such fiscal year, an update with respect to such guidance).</w:t>
      </w:r>
    </w:p>
    <w:p>
      <w:pPr>
        <w:spacing w:after="0" w:line="15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 xml:space="preserve">Information required to be delivered pursuant to </w:t>
      </w:r>
      <w:r>
        <w:rPr>
          <w:rFonts w:ascii="Arial" w:cs="Arial" w:eastAsia="Arial" w:hAnsi="Arial"/>
          <w:sz w:val="19"/>
          <w:szCs w:val="19"/>
          <w:u w:val="single" w:color="auto"/>
          <w:color w:val="auto"/>
        </w:rPr>
        <w:t>Section 5.1(a)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5.1(b)</w:t>
      </w:r>
      <w:r>
        <w:rPr>
          <w:rFonts w:ascii="Arial" w:cs="Arial" w:eastAsia="Arial" w:hAnsi="Arial"/>
          <w:sz w:val="19"/>
          <w:szCs w:val="19"/>
          <w:color w:val="auto"/>
        </w:rPr>
        <w:t xml:space="preserve"> may be delivered electronically and if so delivered, shall be deemed to have been delivered on the date (i) on which Holdings posts such information, or provides a link thereto on Holdings’ website on the Internet at remitly.com (or any successor page) or at http://www.sec.gov; or (ii) on which such information is posted on Holdings’ behalf on an Internet or intranet website, if any, to which the Lenders and the Administrative Agent have been granted access (whether a commercial, third-party website or whether sponsored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to the extent the Administrative Agent or any Lender so requests, the Borrowers shall</w:t>
      </w:r>
    </w:p>
    <w:p>
      <w:pPr>
        <w:sectPr>
          <w:pgSz w:w="11900" w:h="16838" w:orient="portrait"/>
          <w:cols w:equalWidth="0" w:num="1">
            <w:col w:w="11240"/>
          </w:cols>
          <w:pgMar w:left="320" w:top="1401" w:right="339" w:bottom="1440" w:gutter="0" w:footer="0" w:header="0"/>
        </w:sectPr>
      </w:pPr>
    </w:p>
    <w:bookmarkStart w:id="139" w:name="page140"/>
    <w:bookmarkEnd w:id="139"/>
    <w:p>
      <w:pPr>
        <w:jc w:val="both"/>
        <w:spacing w:after="0" w:line="224" w:lineRule="auto"/>
        <w:rPr>
          <w:sz w:val="20"/>
          <w:szCs w:val="20"/>
          <w:color w:val="auto"/>
        </w:rPr>
      </w:pPr>
      <w:r>
        <w:rPr>
          <w:rFonts w:ascii="Arial" w:cs="Arial" w:eastAsia="Arial" w:hAnsi="Arial"/>
          <w:sz w:val="21"/>
          <w:szCs w:val="21"/>
          <w:color w:val="auto"/>
        </w:rPr>
        <w:t>deliver paper copies of such documents to the Administrative Agent or such Lender until a written request to cease delivering paper copies is given by the Administrative Agent or such Lender and (y) the Borrowers shall notify the Administrative Agent (by facsimile or electronic mail) of the posting of any such documents. The Administrative Agent shall have no obligation to request the delivery or to maintain copies of the documents referred to herein, and in any event shall have no responsibility to monitor compliance by the Borrowers with any such request for delivery, and each Lender shall be solely responsible for requesting delivery to it or maintaining its copies of such documents.</w:t>
      </w:r>
    </w:p>
    <w:p>
      <w:pPr>
        <w:spacing w:after="0" w:line="160"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22"/>
          <w:szCs w:val="22"/>
          <w:color w:val="auto"/>
        </w:rPr>
        <w:t>Section 5.2</w:t>
      </w:r>
      <w:r>
        <w:rPr>
          <w:sz w:val="20"/>
          <w:szCs w:val="20"/>
          <w:color w:val="auto"/>
        </w:rPr>
        <w:tab/>
      </w:r>
      <w:r>
        <w:rPr>
          <w:rFonts w:ascii="Arial" w:cs="Arial" w:eastAsia="Arial" w:hAnsi="Arial"/>
          <w:sz w:val="19"/>
          <w:szCs w:val="19"/>
          <w:u w:val="single" w:color="auto"/>
          <w:color w:val="auto"/>
        </w:rPr>
        <w:t>Notices of Material Events</w:t>
      </w:r>
      <w:r>
        <w:rPr>
          <w:rFonts w:ascii="Arial" w:cs="Arial" w:eastAsia="Arial" w:hAnsi="Arial"/>
          <w:sz w:val="19"/>
          <w:szCs w:val="19"/>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Borrowers will furnish to the Administrative Agent (for distribution to each Lender) prompt written notice of</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the following:</w:t>
      </w:r>
    </w:p>
    <w:p>
      <w:pPr>
        <w:spacing w:after="0" w:line="161" w:lineRule="exact"/>
        <w:rPr>
          <w:sz w:val="20"/>
          <w:szCs w:val="20"/>
          <w:color w:val="auto"/>
        </w:rPr>
      </w:pPr>
    </w:p>
    <w:p>
      <w:pPr>
        <w:ind w:left="1840" w:hanging="455"/>
        <w:spacing w:after="0"/>
        <w:tabs>
          <w:tab w:leader="none" w:pos="184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occurrence of any Default;</w:t>
      </w:r>
    </w:p>
    <w:p>
      <w:pPr>
        <w:spacing w:after="0" w:line="179" w:lineRule="exact"/>
        <w:rPr>
          <w:rFonts w:ascii="Arial" w:cs="Arial" w:eastAsia="Arial" w:hAnsi="Arial"/>
          <w:sz w:val="22"/>
          <w:szCs w:val="22"/>
          <w:color w:val="auto"/>
        </w:rPr>
      </w:pPr>
    </w:p>
    <w:p>
      <w:pPr>
        <w:jc w:val="both"/>
        <w:ind w:left="80" w:firstLine="1305"/>
        <w:spacing w:after="0" w:line="223" w:lineRule="auto"/>
        <w:tabs>
          <w:tab w:leader="none" w:pos="1892"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filing or commencement of any action, suit or proceeding by or before any arbitrator or Governmental Authority against or affecting Holdings or any Restricted Subsidiary thereof that would reasonably be expected to result in a Material Adverse Effect; and</w:t>
      </w:r>
    </w:p>
    <w:p>
      <w:pPr>
        <w:spacing w:after="0" w:line="158" w:lineRule="exact"/>
        <w:rPr>
          <w:rFonts w:ascii="Arial" w:cs="Arial" w:eastAsia="Arial" w:hAnsi="Arial"/>
          <w:sz w:val="22"/>
          <w:szCs w:val="22"/>
          <w:color w:val="auto"/>
        </w:rPr>
      </w:pPr>
    </w:p>
    <w:p>
      <w:pPr>
        <w:jc w:val="both"/>
        <w:ind w:left="80" w:firstLine="1305"/>
        <w:spacing w:after="0" w:line="223" w:lineRule="auto"/>
        <w:tabs>
          <w:tab w:leader="none" w:pos="1865"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any other development that becomes known to any officer of Holdings or any of its Restricted Subsidiaries that is not disclosed in reports filed by Holdings or any Restricted Subsidiary with the Securities and Exchange Commission that results in, or would reasonably be expected to result in, a Material Adverse Effect.</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Each notice delivered under this Section shall be accompanied by a statement of a Responsible Officer or other executive officer of the Borrowers setting forth the details of the event or development requiring such notice and any action taken or proposed to be taken with respect thereto.</w:t>
      </w:r>
    </w:p>
    <w:p>
      <w:pPr>
        <w:spacing w:after="0" w:line="15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 xml:space="preserve">Section 5.3 </w:t>
      </w:r>
      <w:r>
        <w:rPr>
          <w:rFonts w:ascii="Arial" w:cs="Arial" w:eastAsia="Arial" w:hAnsi="Arial"/>
          <w:sz w:val="19"/>
          <w:szCs w:val="19"/>
          <w:u w:val="single" w:color="auto"/>
          <w:color w:val="auto"/>
        </w:rPr>
        <w:t>Existence; Conduct of Business</w:t>
      </w:r>
      <w:r>
        <w:rPr>
          <w:rFonts w:ascii="Arial" w:cs="Arial" w:eastAsia="Arial" w:hAnsi="Arial"/>
          <w:sz w:val="19"/>
          <w:szCs w:val="19"/>
          <w:color w:val="auto"/>
        </w:rPr>
        <w:t xml:space="preserve">. Each Borrower will, and will cause each of its Restricted Subsidiaries to, do or cause to be done all things necessary to preserve, renew and keep in full force and effect its legal existence and the rights, licenses, permits, privileges and franchises material to the conduct of its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foregoing shall not prohibit any merger, consolidation, liquidation or dissolution permitted under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and (ii) none of the Borrowers or any of their Restricted Subsidiaries shall be required to preserve, renew or keep in full force and effect its rights, licenses, permits, privileges or franchises where failure to do so would not reasonably be expected to result in a Material Adverse Effect.</w:t>
      </w:r>
    </w:p>
    <w:p>
      <w:pPr>
        <w:spacing w:after="0" w:line="152"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 xml:space="preserve">Section 5.4 </w:t>
      </w:r>
      <w:r>
        <w:rPr>
          <w:rFonts w:ascii="Arial" w:cs="Arial" w:eastAsia="Arial" w:hAnsi="Arial"/>
          <w:sz w:val="19"/>
          <w:szCs w:val="19"/>
          <w:u w:val="single" w:color="auto"/>
          <w:color w:val="auto"/>
        </w:rPr>
        <w:t>Payment of Taxes</w:t>
      </w:r>
      <w:r>
        <w:rPr>
          <w:rFonts w:ascii="Arial" w:cs="Arial" w:eastAsia="Arial" w:hAnsi="Arial"/>
          <w:sz w:val="19"/>
          <w:szCs w:val="19"/>
          <w:color w:val="auto"/>
        </w:rPr>
        <w:t xml:space="preserve">. Each Borrower will, and will cause each of its Restricted Subsidiaries to, pay all Tax liabilities, including all Taxes imposed upon it or upon its income or profits or upon any properties belonging to it that, if not paid, would reasonably be expected to result in a Material Adverse Effect, before the same shall become delinquent or in default, and all lawful claims other than Tax liabilities which, if unpaid, would become a Lien upon any properties of such Borrower or any of its Restricted Subsidiaries not otherwise permitted under </w:t>
      </w:r>
      <w:r>
        <w:rPr>
          <w:rFonts w:ascii="Arial" w:cs="Arial" w:eastAsia="Arial" w:hAnsi="Arial"/>
          <w:sz w:val="19"/>
          <w:szCs w:val="19"/>
          <w:u w:val="single" w:color="auto"/>
          <w:color w:val="auto"/>
        </w:rPr>
        <w:t>Section 6.2</w:t>
      </w:r>
      <w:r>
        <w:rPr>
          <w:rFonts w:ascii="Arial" w:cs="Arial" w:eastAsia="Arial" w:hAnsi="Arial"/>
          <w:sz w:val="19"/>
          <w:szCs w:val="19"/>
          <w:color w:val="auto"/>
        </w:rPr>
        <w:t>, in both cases except where (a) the validity or amount thereof is being contested in good faith by appropriate proceedings and (b) to the extent required by GAAP, such Borrower or such Restricted Subsidiary has set aside on its books adequate reserves with respect thereto in accordance with GAAP.</w:t>
      </w:r>
    </w:p>
    <w:p>
      <w:pPr>
        <w:spacing w:after="0" w:line="154"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22"/>
          <w:szCs w:val="22"/>
          <w:color w:val="auto"/>
        </w:rPr>
        <w:t>Section 5.5</w:t>
      </w:r>
      <w:r>
        <w:rPr>
          <w:sz w:val="20"/>
          <w:szCs w:val="20"/>
          <w:color w:val="auto"/>
        </w:rPr>
        <w:tab/>
      </w:r>
      <w:r>
        <w:rPr>
          <w:rFonts w:ascii="Arial" w:cs="Arial" w:eastAsia="Arial" w:hAnsi="Arial"/>
          <w:sz w:val="19"/>
          <w:szCs w:val="19"/>
          <w:u w:val="single" w:color="auto"/>
          <w:color w:val="auto"/>
        </w:rPr>
        <w:t>Maintenance of Properties; Insurance</w:t>
      </w:r>
      <w:r>
        <w:rPr>
          <w:rFonts w:ascii="Arial" w:cs="Arial" w:eastAsia="Arial" w:hAnsi="Arial"/>
          <w:sz w:val="19"/>
          <w:szCs w:val="19"/>
          <w:color w:val="auto"/>
        </w:rPr>
        <w:t>.</w:t>
      </w:r>
    </w:p>
    <w:p>
      <w:pPr>
        <w:sectPr>
          <w:pgSz w:w="11900" w:h="16838" w:orient="portrait"/>
          <w:cols w:equalWidth="0" w:num="1">
            <w:col w:w="11240"/>
          </w:cols>
          <w:pgMar w:left="320" w:top="1401" w:right="339" w:bottom="1440" w:gutter="0" w:footer="0" w:header="0"/>
        </w:sectPr>
      </w:pPr>
    </w:p>
    <w:bookmarkStart w:id="140" w:name="page141"/>
    <w:bookmarkEnd w:id="140"/>
    <w:p>
      <w:pPr>
        <w:jc w:val="both"/>
        <w:ind w:firstLine="1304"/>
        <w:spacing w:after="0" w:line="214" w:lineRule="auto"/>
        <w:tabs>
          <w:tab w:leader="none" w:pos="1845" w:val="left"/>
        </w:tabs>
        <w:numPr>
          <w:ilvl w:val="0"/>
          <w:numId w:val="140"/>
        </w:numPr>
        <w:rPr>
          <w:rFonts w:ascii="Arial" w:cs="Arial" w:eastAsia="Arial" w:hAnsi="Arial"/>
          <w:sz w:val="22"/>
          <w:szCs w:val="22"/>
          <w:color w:val="auto"/>
        </w:rPr>
      </w:pPr>
      <w:r>
        <w:rPr>
          <w:rFonts w:ascii="Arial" w:cs="Arial" w:eastAsia="Arial" w:hAnsi="Arial"/>
          <w:sz w:val="22"/>
          <w:szCs w:val="22"/>
          <w:color w:val="auto"/>
        </w:rPr>
        <w:t>Each Borrower will, and will cause each of its Restricted Subsidiaries to, (i) keep and maintain all property used in the conduct of its business in good working order and condition, ordinary wear and tear and casualty events excepted, except to the extent that failure to do so could not reasonably be expected to have a Material Adverse Effect, and (ii) maintain insurance with financially sound and reputable insurance companies or through self-insurance in such amounts and against such risks as are customarily maintained by companies engaged in the same or similar businesses operating in the same or similar locations.</w:t>
      </w:r>
    </w:p>
    <w:p>
      <w:pPr>
        <w:spacing w:after="0" w:line="158" w:lineRule="exact"/>
        <w:rPr>
          <w:rFonts w:ascii="Arial" w:cs="Arial" w:eastAsia="Arial" w:hAnsi="Arial"/>
          <w:sz w:val="22"/>
          <w:szCs w:val="22"/>
          <w:color w:val="auto"/>
        </w:rPr>
      </w:pPr>
    </w:p>
    <w:p>
      <w:pPr>
        <w:jc w:val="both"/>
        <w:ind w:firstLine="1304"/>
        <w:spacing w:after="0" w:line="247" w:lineRule="auto"/>
        <w:tabs>
          <w:tab w:leader="none" w:pos="1895"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With respect to each Mortgaged Real Estate Asset that is located in an area determined by the Federal Emergency Management Agency to have special flood hazards, the applicable Loan Party will maintain, with financially sound and reputable insurance companies, such flood insurance as is required under applicable Flood Insurance Laws. The Borrower will furnish to the Lenders, upon request of the Administrative Agent, information in reasonable detail as to the insurance so maintained. All insurance policies or certificates (or certified copies thereof) with respect to such insurance shall be endorsed to the Administrative Agent’s reasonable satisfaction for the benefit of the Lenders (including, without limitation, by naming the Administrative Agent as loss payee or additional insured, as appropriate).</w:t>
      </w:r>
    </w:p>
    <w:p>
      <w:pPr>
        <w:spacing w:after="0" w:line="154"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 xml:space="preserve">Section 5.6 </w:t>
      </w:r>
      <w:r>
        <w:rPr>
          <w:rFonts w:ascii="Arial" w:cs="Arial" w:eastAsia="Arial" w:hAnsi="Arial"/>
          <w:sz w:val="19"/>
          <w:szCs w:val="19"/>
          <w:u w:val="single" w:color="auto"/>
          <w:color w:val="auto"/>
        </w:rPr>
        <w:t>Books and Records; Inspection Rights</w:t>
      </w:r>
      <w:r>
        <w:rPr>
          <w:rFonts w:ascii="Arial" w:cs="Arial" w:eastAsia="Arial" w:hAnsi="Arial"/>
          <w:sz w:val="19"/>
          <w:szCs w:val="19"/>
          <w:color w:val="auto"/>
        </w:rPr>
        <w:t xml:space="preserve">. Each Borrower will, and will cause each of its Restricted Subsidiaries to, keep proper books of record and account in which entries full, true and correct in all material respects are made and are sufficient to prepare financial statements in accordance with GAAP (other than as set forth in </w:t>
      </w:r>
      <w:r>
        <w:rPr>
          <w:rFonts w:ascii="Arial" w:cs="Arial" w:eastAsia="Arial" w:hAnsi="Arial"/>
          <w:sz w:val="19"/>
          <w:szCs w:val="19"/>
          <w:u w:val="single" w:color="auto"/>
          <w:color w:val="auto"/>
        </w:rPr>
        <w:t>Schedule 3.4</w:t>
      </w:r>
      <w:r>
        <w:rPr>
          <w:rFonts w:ascii="Arial" w:cs="Arial" w:eastAsia="Arial" w:hAnsi="Arial"/>
          <w:sz w:val="19"/>
          <w:szCs w:val="19"/>
          <w:color w:val="auto"/>
        </w:rPr>
        <w:t>). Each Borrower will, and will cause each of its Restricted Subsidiaries to, permit any representatives designated by the Administrative Agent or any Lender (pursuant to the request made through the Administrative Agent), upon reasonable prior notice, to visit and inspect its properties, to examine and make extracts from its books and records, and to discuss its affairs, finances and condition with its officers and independent accountants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Borrower or such Restricted Subsidiary shall be afforded the opportunity to participate in any discussions with such independent accountants), all at such reasonable times and as often as reasonably requested (but no more than once annually if no Event of Default exists). Notwithstanding anything to the contrary in this Section, none of the Borrowers or any of their Restricted Subsidiaries shall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is prohibited by applicable law or (iii) is subject to attorney, client or similar privilege or constitutes attorney work-product.</w:t>
      </w:r>
    </w:p>
    <w:p>
      <w:pPr>
        <w:spacing w:after="0" w:line="149"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2"/>
          <w:szCs w:val="22"/>
          <w:color w:val="auto"/>
        </w:rPr>
        <w:t>Section 5.7</w:t>
      </w:r>
      <w:r>
        <w:rPr>
          <w:sz w:val="20"/>
          <w:szCs w:val="20"/>
          <w:color w:val="auto"/>
        </w:rPr>
        <w:tab/>
      </w:r>
      <w:r>
        <w:rPr>
          <w:rFonts w:ascii="Arial" w:cs="Arial" w:eastAsia="Arial" w:hAnsi="Arial"/>
          <w:sz w:val="19"/>
          <w:szCs w:val="19"/>
          <w:u w:val="single" w:color="auto"/>
          <w:color w:val="auto"/>
        </w:rPr>
        <w:t>ERISA-Related Information</w:t>
      </w:r>
      <w:r>
        <w:rPr>
          <w:rFonts w:ascii="Arial" w:cs="Arial" w:eastAsia="Arial" w:hAnsi="Arial"/>
          <w:sz w:val="19"/>
          <w:szCs w:val="19"/>
          <w:color w:val="auto"/>
        </w:rPr>
        <w:t>. The Borrowers shall supply to the Administrative Agent promptly</w:t>
      </w:r>
    </w:p>
    <w:p>
      <w:pPr>
        <w:spacing w:after="0" w:line="237" w:lineRule="auto"/>
        <w:rPr>
          <w:sz w:val="20"/>
          <w:szCs w:val="20"/>
          <w:color w:val="auto"/>
        </w:rPr>
      </w:pPr>
      <w:r>
        <w:rPr>
          <w:rFonts w:ascii="Arial" w:cs="Arial" w:eastAsia="Arial" w:hAnsi="Arial"/>
          <w:sz w:val="19"/>
          <w:szCs w:val="19"/>
          <w:color w:val="auto"/>
        </w:rPr>
        <w:t>after: (a) Holdings, any Restricted Subsidiary or any ERISA Affiliate files a Schedule SB (or such other schedule as contains</w:t>
      </w:r>
    </w:p>
    <w:p>
      <w:pPr>
        <w:spacing w:after="0" w:line="237" w:lineRule="auto"/>
        <w:rPr>
          <w:sz w:val="20"/>
          <w:szCs w:val="20"/>
          <w:color w:val="auto"/>
        </w:rPr>
      </w:pPr>
      <w:r>
        <w:rPr>
          <w:rFonts w:ascii="Arial" w:cs="Arial" w:eastAsia="Arial" w:hAnsi="Arial"/>
          <w:sz w:val="19"/>
          <w:szCs w:val="19"/>
          <w:color w:val="auto"/>
        </w:rPr>
        <w:t>actuarial information) to IRS Form 5500 in respect of a Plan with Unfunded Pension Liabilities, a copy of such IRS Form 5500</w:t>
      </w:r>
    </w:p>
    <w:p>
      <w:pPr>
        <w:spacing w:after="0" w:line="237" w:lineRule="auto"/>
        <w:rPr>
          <w:sz w:val="20"/>
          <w:szCs w:val="20"/>
          <w:color w:val="auto"/>
        </w:rPr>
      </w:pPr>
      <w:r>
        <w:rPr>
          <w:rFonts w:ascii="Arial" w:cs="Arial" w:eastAsia="Arial" w:hAnsi="Arial"/>
          <w:sz w:val="19"/>
          <w:szCs w:val="19"/>
          <w:color w:val="auto"/>
        </w:rPr>
        <w:t>(including the Schedule SB); (b) Holdings, any Restricted Subsidiary or any ERISA Affiliate knows or has reason to know that</w:t>
      </w:r>
    </w:p>
    <w:p>
      <w:pPr>
        <w:spacing w:after="0" w:line="238" w:lineRule="auto"/>
        <w:rPr>
          <w:sz w:val="20"/>
          <w:szCs w:val="20"/>
          <w:color w:val="auto"/>
        </w:rPr>
      </w:pPr>
      <w:r>
        <w:rPr>
          <w:rFonts w:ascii="Arial" w:cs="Arial" w:eastAsia="Arial" w:hAnsi="Arial"/>
          <w:sz w:val="19"/>
          <w:szCs w:val="19"/>
          <w:color w:val="auto"/>
        </w:rPr>
        <w:t>any ERISA Event has occurred, a certificate of a Financial Officer of the Borrowers describing such ERISA Event and the action,</w:t>
      </w:r>
    </w:p>
    <w:p>
      <w:pPr>
        <w:spacing w:after="0" w:line="214" w:lineRule="auto"/>
        <w:rPr>
          <w:sz w:val="20"/>
          <w:szCs w:val="20"/>
          <w:color w:val="auto"/>
        </w:rPr>
      </w:pPr>
      <w:r>
        <w:rPr>
          <w:rFonts w:ascii="Arial" w:cs="Arial" w:eastAsia="Arial" w:hAnsi="Arial"/>
          <w:sz w:val="21"/>
          <w:szCs w:val="21"/>
          <w:color w:val="auto"/>
        </w:rPr>
        <w:t>if any, proposed to be taken with respect to such ERISA Event and a copy of any notice filed with the PBGC or the IRS</w:t>
      </w:r>
    </w:p>
    <w:p>
      <w:pPr>
        <w:spacing w:after="0" w:line="238" w:lineRule="auto"/>
        <w:rPr>
          <w:sz w:val="20"/>
          <w:szCs w:val="20"/>
          <w:color w:val="auto"/>
        </w:rPr>
      </w:pPr>
      <w:r>
        <w:rPr>
          <w:rFonts w:ascii="Arial" w:cs="Arial" w:eastAsia="Arial" w:hAnsi="Arial"/>
          <w:sz w:val="19"/>
          <w:szCs w:val="19"/>
          <w:color w:val="auto"/>
        </w:rPr>
        <w:t>pertaining to such ERISA Event and any notices received by Holdings, such Restricted Subsidiary, or ERISA Affiliate from the</w:t>
      </w:r>
    </w:p>
    <w:p>
      <w:pPr>
        <w:spacing w:after="0" w:line="237" w:lineRule="auto"/>
        <w:rPr>
          <w:sz w:val="20"/>
          <w:szCs w:val="20"/>
          <w:color w:val="auto"/>
        </w:rPr>
      </w:pPr>
      <w:r>
        <w:rPr>
          <w:rFonts w:ascii="Arial" w:cs="Arial" w:eastAsia="Arial" w:hAnsi="Arial"/>
          <w:sz w:val="19"/>
          <w:szCs w:val="19"/>
          <w:color w:val="auto"/>
        </w:rPr>
        <w:t>PBGC or any other governmental agency with respect thereto; (c) becoming aware that there has been (i) a material increase in</w:t>
      </w:r>
    </w:p>
    <w:p>
      <w:pPr>
        <w:spacing w:after="0" w:line="237" w:lineRule="auto"/>
        <w:rPr>
          <w:sz w:val="20"/>
          <w:szCs w:val="20"/>
          <w:color w:val="auto"/>
        </w:rPr>
      </w:pPr>
      <w:r>
        <w:rPr>
          <w:rFonts w:ascii="Arial" w:cs="Arial" w:eastAsia="Arial" w:hAnsi="Arial"/>
          <w:sz w:val="19"/>
          <w:szCs w:val="19"/>
          <w:color w:val="auto"/>
        </w:rPr>
        <w:t>Unfunded Pension Liabilities (taking into account only Pension Plans with positive Unfunded Pension Liabilities) since the date</w:t>
      </w:r>
    </w:p>
    <w:p>
      <w:pPr>
        <w:spacing w:after="0" w:line="237" w:lineRule="auto"/>
        <w:rPr>
          <w:sz w:val="20"/>
          <w:szCs w:val="20"/>
          <w:color w:val="auto"/>
        </w:rPr>
      </w:pPr>
      <w:r>
        <w:rPr>
          <w:rFonts w:ascii="Arial" w:cs="Arial" w:eastAsia="Arial" w:hAnsi="Arial"/>
          <w:sz w:val="19"/>
          <w:szCs w:val="19"/>
          <w:color w:val="auto"/>
        </w:rPr>
        <w:t>the representations hereunder are given or deemed given, or from any prior notice, as applicable; (ii) the existence of potential</w:t>
      </w:r>
    </w:p>
    <w:p>
      <w:pPr>
        <w:spacing w:after="0" w:line="215" w:lineRule="auto"/>
        <w:rPr>
          <w:sz w:val="20"/>
          <w:szCs w:val="20"/>
          <w:color w:val="auto"/>
        </w:rPr>
      </w:pPr>
      <w:r>
        <w:rPr>
          <w:rFonts w:ascii="Arial" w:cs="Arial" w:eastAsia="Arial" w:hAnsi="Arial"/>
          <w:sz w:val="21"/>
          <w:szCs w:val="21"/>
          <w:color w:val="auto"/>
        </w:rPr>
        <w:t>withdrawal liability under Section 4201 of ERISA, if Holdings, any Restricted Subsidiary and the ERISA Affiliates were to</w:t>
      </w:r>
    </w:p>
    <w:p>
      <w:pPr>
        <w:spacing w:after="0"/>
        <w:rPr>
          <w:sz w:val="20"/>
          <w:szCs w:val="20"/>
          <w:color w:val="auto"/>
        </w:rPr>
      </w:pPr>
      <w:r>
        <w:rPr>
          <w:rFonts w:ascii="Arial" w:cs="Arial" w:eastAsia="Arial" w:hAnsi="Arial"/>
          <w:sz w:val="21"/>
          <w:szCs w:val="21"/>
          <w:color w:val="auto"/>
        </w:rPr>
        <w:t>withdraw completely from any and all Multiemployer Plans, (iii) the adoption of, or the commencement of contributions to,</w:t>
      </w:r>
    </w:p>
    <w:p>
      <w:pPr>
        <w:sectPr>
          <w:pgSz w:w="11900" w:h="16838" w:orient="portrait"/>
          <w:cols w:equalWidth="0" w:num="1">
            <w:col w:w="11240"/>
          </w:cols>
          <w:pgMar w:left="320" w:top="1401" w:right="339" w:bottom="1440" w:gutter="0" w:footer="0" w:header="0"/>
        </w:sectPr>
      </w:pPr>
    </w:p>
    <w:bookmarkStart w:id="141" w:name="page142"/>
    <w:bookmarkEnd w:id="141"/>
    <w:p>
      <w:pPr>
        <w:jc w:val="both"/>
        <w:spacing w:after="0" w:line="246" w:lineRule="auto"/>
        <w:rPr>
          <w:sz w:val="20"/>
          <w:szCs w:val="20"/>
          <w:color w:val="auto"/>
        </w:rPr>
      </w:pPr>
      <w:r>
        <w:rPr>
          <w:rFonts w:ascii="Arial" w:cs="Arial" w:eastAsia="Arial" w:hAnsi="Arial"/>
          <w:sz w:val="19"/>
          <w:szCs w:val="19"/>
          <w:color w:val="auto"/>
        </w:rPr>
        <w:t>any Plan subject to Title IV of ERISA or Section 412 of the Code or Section 302 of ERISA by Holdings, any Restricted Subsidiary or any ERISA Affiliate, or (iv) the adoption of any amendment to a Plan subject to Title IV of ERISA or Section 412 of the Code or Section 302 of ERISA which results in a material increase in contribution obligations of Holdings, any Restricted Subsidiary or any ERISA Affiliate, a detailed written description thereof from a Financial Officer of the Borrowers; and (d) the Effective Date, Holdings, any Restricted Subsidiary or any ERISA Affiliate maintains, or contributes to (or incurs an obligation to contribute to), a Pension Plan or Multiemployer Plan to which Holdings, any Restricted Subsidiary or any ERISA Affiliate did not maintain or contribute to prior to the Effective Date, a written description evidencing that each such plan or Multiemployer Plan is in compliance in form and operation with its terms and with ERISA and the Code.</w:t>
      </w:r>
    </w:p>
    <w:p>
      <w:pPr>
        <w:spacing w:after="0" w:line="152" w:lineRule="exact"/>
        <w:rPr>
          <w:sz w:val="20"/>
          <w:szCs w:val="20"/>
          <w:color w:val="auto"/>
        </w:rPr>
      </w:pPr>
    </w:p>
    <w:p>
      <w:pPr>
        <w:jc w:val="both"/>
        <w:ind w:firstLine="1296"/>
        <w:spacing w:after="0" w:line="212" w:lineRule="auto"/>
        <w:rPr>
          <w:sz w:val="20"/>
          <w:szCs w:val="20"/>
          <w:color w:val="auto"/>
        </w:rPr>
      </w:pPr>
      <w:r>
        <w:rPr>
          <w:rFonts w:ascii="Arial" w:cs="Arial" w:eastAsia="Arial" w:hAnsi="Arial"/>
          <w:sz w:val="22"/>
          <w:szCs w:val="22"/>
          <w:color w:val="auto"/>
        </w:rPr>
        <w:t xml:space="preserve">Section 5.8 </w:t>
      </w:r>
      <w:r>
        <w:rPr>
          <w:rFonts w:ascii="Arial" w:cs="Arial" w:eastAsia="Arial" w:hAnsi="Arial"/>
          <w:sz w:val="22"/>
          <w:szCs w:val="22"/>
          <w:u w:val="single" w:color="auto"/>
          <w:color w:val="auto"/>
        </w:rPr>
        <w:t>Compliance with Laws and Agreements</w:t>
      </w:r>
      <w:r>
        <w:rPr>
          <w:rFonts w:ascii="Arial" w:cs="Arial" w:eastAsia="Arial" w:hAnsi="Arial"/>
          <w:sz w:val="22"/>
          <w:szCs w:val="22"/>
          <w:color w:val="auto"/>
        </w:rPr>
        <w:t>. Each Borrower will, and will cause each of its Restricted Subsidiaries to, comply with all laws, rules, regulations and orders of any Governmental Authority applicable to it or its property and all indentures, agreements and other instruments binding upon it or its property, except where the failure to do so, individually or in the aggregate, would not reasonably be expected to result in a Material Adverse Effect. Each Borrower will maintain in effect and enforce policies and procedures designed to promote compliance by such Borrower, its Restricted Subsidiaries and its and their respective directors, officers, employees and agents of the foregoing with Anti-Corruption Laws and applicable Sanctions.</w:t>
      </w:r>
    </w:p>
    <w:p>
      <w:pPr>
        <w:spacing w:after="0" w:line="164"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 xml:space="preserve">Section 5.9 </w:t>
      </w:r>
      <w:r>
        <w:rPr>
          <w:rFonts w:ascii="Arial" w:cs="Arial" w:eastAsia="Arial" w:hAnsi="Arial"/>
          <w:sz w:val="19"/>
          <w:szCs w:val="19"/>
          <w:u w:val="single" w:color="auto"/>
          <w:color w:val="auto"/>
        </w:rPr>
        <w:t>Use of Proceeds</w:t>
      </w:r>
      <w:r>
        <w:rPr>
          <w:rFonts w:ascii="Arial" w:cs="Arial" w:eastAsia="Arial" w:hAnsi="Arial"/>
          <w:sz w:val="19"/>
          <w:szCs w:val="19"/>
          <w:color w:val="auto"/>
        </w:rPr>
        <w:t>. The proceeds of the Loans will be used only for working capital and general corporate purposes, including for stock repurchases under stock repurchase programs approved by the Borrowers, Acquisitions and dividends. The Letters of Credit and the proceeds thereof will be used only for working capital and general corporate purposes. No part of the proceeds of any Loan or Letter of Credit will be used, whether directly or indirectly, for any purpose that entails a violation of any of the Regulations of the Board, including Regulations T, U and X. The Borrowers will not request any Credit Extension, and the Borrowers shall not use, and shall procure that their Restricted Subsidiaries and their or their Restricted Subsidiaries’ respective directors, officers, employees and agents shall not use, the proceeds of any Credit Extension,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to the extent such activities, business or transaction would be prohibited by Sanctions, or (iii) in any manner that would result in the violation of any Sanctions applicable to any party hereto.</w:t>
      </w:r>
    </w:p>
    <w:p>
      <w:pPr>
        <w:spacing w:after="0" w:line="385"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 xml:space="preserve">Section 5.10 </w:t>
      </w:r>
      <w:r>
        <w:rPr>
          <w:rFonts w:ascii="Arial" w:cs="Arial" w:eastAsia="Arial" w:hAnsi="Arial"/>
          <w:sz w:val="19"/>
          <w:szCs w:val="19"/>
          <w:u w:val="single" w:color="auto"/>
          <w:color w:val="auto"/>
        </w:rPr>
        <w:t>Additional Guarantors; Material IP Subsidiaries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10.17</w:t>
      </w:r>
      <w:r>
        <w:rPr>
          <w:rFonts w:ascii="Arial" w:cs="Arial" w:eastAsia="Arial" w:hAnsi="Arial"/>
          <w:sz w:val="19"/>
          <w:szCs w:val="19"/>
          <w:color w:val="auto"/>
        </w:rPr>
        <w:t xml:space="preserve">: (a) In the event that any Person becomes a Material Domestic Subsidiary (other than an Excluded Subsidiary), the Borrowers shall (i) in the case of an Unrestricted Subsidiary becoming a Material Domestic Subsidiary (other than an Excluded Subsidiary), substantially concurrently with the redesignation or deemed redesignation thereof as a Restricted Subsidiary pursuant to </w:t>
      </w:r>
      <w:r>
        <w:rPr>
          <w:rFonts w:ascii="Arial" w:cs="Arial" w:eastAsia="Arial" w:hAnsi="Arial"/>
          <w:sz w:val="19"/>
          <w:szCs w:val="19"/>
          <w:u w:val="single" w:color="auto"/>
          <w:color w:val="auto"/>
        </w:rPr>
        <w:t>Section 5.12</w:t>
      </w:r>
      <w:r>
        <w:rPr>
          <w:rFonts w:ascii="Arial" w:cs="Arial" w:eastAsia="Arial" w:hAnsi="Arial"/>
          <w:sz w:val="19"/>
          <w:szCs w:val="19"/>
          <w:color w:val="auto"/>
        </w:rPr>
        <w:t xml:space="preserve"> or (ii) otherwise, not later than 30 days thereafter (or such longer period of time as the Collateral Agent may agree in its sole discretion)</w:t>
      </w:r>
    </w:p>
    <w:p>
      <w:pPr>
        <w:spacing w:after="0" w:line="1" w:lineRule="exact"/>
        <w:rPr>
          <w:sz w:val="20"/>
          <w:szCs w:val="20"/>
          <w:color w:val="auto"/>
        </w:rPr>
      </w:pPr>
    </w:p>
    <w:p>
      <w:pPr>
        <w:jc w:val="both"/>
        <w:ind w:firstLine="8"/>
        <w:spacing w:after="0" w:line="247" w:lineRule="auto"/>
        <w:tabs>
          <w:tab w:leader="none" w:pos="383" w:val="left"/>
        </w:tabs>
        <w:numPr>
          <w:ilvl w:val="0"/>
          <w:numId w:val="141"/>
        </w:numPr>
        <w:rPr>
          <w:rFonts w:ascii="Arial" w:cs="Arial" w:eastAsia="Arial" w:hAnsi="Arial"/>
          <w:sz w:val="19"/>
          <w:szCs w:val="19"/>
          <w:color w:val="auto"/>
        </w:rPr>
      </w:pPr>
      <w:r>
        <w:rPr>
          <w:rFonts w:ascii="Arial" w:cs="Arial" w:eastAsia="Arial" w:hAnsi="Arial"/>
          <w:sz w:val="19"/>
          <w:szCs w:val="19"/>
          <w:color w:val="auto"/>
        </w:rPr>
        <w:t>cause such Material Domestic Subsidiary (other than any Excluded Subsidiary) to become (x) a Guarantor hereunder by executing and delivering to the Administrative Agent a Counterpart Agreement and (y) a Grantor under the Security Agreement by executing and delivering to the Collateral Agent the joinder agreement required thereunder, and (B) take all such actions and execute and deliver, or cause to be executed and delivered, all such documents, instruments, agreements, and certificates reasonably requested by the Collateral Agent or required by the Loan Documents.</w:t>
      </w:r>
    </w:p>
    <w:p>
      <w:pPr>
        <w:sectPr>
          <w:pgSz w:w="11900" w:h="16838" w:orient="portrait"/>
          <w:cols w:equalWidth="0" w:num="1">
            <w:col w:w="11240"/>
          </w:cols>
          <w:pgMar w:left="320" w:top="1401" w:right="339" w:bottom="1440" w:gutter="0" w:footer="0" w:header="0"/>
        </w:sectPr>
      </w:pPr>
    </w:p>
    <w:bookmarkStart w:id="142" w:name="page143"/>
    <w:bookmarkEnd w:id="142"/>
    <w:p>
      <w:pPr>
        <w:jc w:val="both"/>
        <w:ind w:left="80" w:firstLine="1305"/>
        <w:spacing w:after="0" w:line="224" w:lineRule="auto"/>
        <w:tabs>
          <w:tab w:leader="none" w:pos="1901" w:val="left"/>
        </w:tabs>
        <w:numPr>
          <w:ilvl w:val="1"/>
          <w:numId w:val="142"/>
        </w:numPr>
        <w:rPr>
          <w:rFonts w:ascii="Arial" w:cs="Arial" w:eastAsia="Arial" w:hAnsi="Arial"/>
          <w:sz w:val="21"/>
          <w:szCs w:val="21"/>
          <w:color w:val="auto"/>
        </w:rPr>
      </w:pPr>
      <w:r>
        <w:rPr>
          <w:rFonts w:ascii="Arial" w:cs="Arial" w:eastAsia="Arial" w:hAnsi="Arial"/>
          <w:sz w:val="21"/>
          <w:szCs w:val="21"/>
          <w:color w:val="auto"/>
        </w:rPr>
        <w:t>In the event that any Person becomes a Material IP Subsidiary (through acquisition or otherwise), and the Equity Interests of such Material IP Subsidiary are owned by any Loan Party, such Loan Party shall, within 30 days thereafter (or such longer period of time as the Collateral Agent may agree in its sole discretion), take all of the actions referred to in the Security Agreement necessary to grant a perfected security interest in favor of the Collateral Agent, for the benefit of the Secured Parties, under the Security Agreement in the Equity Interests of such Material IP Subsidiary (except to the extent constituting Excluded Assets (as defined in the Security Agreement)).</w:t>
      </w:r>
    </w:p>
    <w:p>
      <w:pPr>
        <w:spacing w:after="0" w:line="159" w:lineRule="exact"/>
        <w:rPr>
          <w:rFonts w:ascii="Arial" w:cs="Arial" w:eastAsia="Arial" w:hAnsi="Arial"/>
          <w:sz w:val="21"/>
          <w:szCs w:val="21"/>
          <w:color w:val="auto"/>
        </w:rPr>
      </w:pPr>
    </w:p>
    <w:p>
      <w:pPr>
        <w:ind w:left="1860" w:hanging="475"/>
        <w:spacing w:after="0"/>
        <w:tabs>
          <w:tab w:leader="none" w:pos="1860" w:val="left"/>
        </w:tabs>
        <w:numPr>
          <w:ilvl w:val="1"/>
          <w:numId w:val="142"/>
        </w:numPr>
        <w:rPr>
          <w:rFonts w:ascii="Arial" w:cs="Arial" w:eastAsia="Arial" w:hAnsi="Arial"/>
          <w:sz w:val="19"/>
          <w:szCs w:val="19"/>
          <w:color w:val="auto"/>
        </w:rPr>
      </w:pPr>
      <w:r>
        <w:rPr>
          <w:rFonts w:ascii="Arial" w:cs="Arial" w:eastAsia="Arial" w:hAnsi="Arial"/>
          <w:sz w:val="19"/>
          <w:szCs w:val="19"/>
          <w:color w:val="auto"/>
        </w:rPr>
        <w:t>With respect to each Material Domestic Subsidiary (other than an Excluded Subsidiary) referred to in clause</w:t>
      </w:r>
    </w:p>
    <w:p>
      <w:pPr>
        <w:spacing w:after="0" w:line="15" w:lineRule="exact"/>
        <w:rPr>
          <w:rFonts w:ascii="Arial" w:cs="Arial" w:eastAsia="Arial" w:hAnsi="Arial"/>
          <w:sz w:val="19"/>
          <w:szCs w:val="19"/>
          <w:color w:val="auto"/>
        </w:rPr>
      </w:pPr>
    </w:p>
    <w:p>
      <w:pPr>
        <w:jc w:val="both"/>
        <w:ind w:left="80" w:firstLine="9"/>
        <w:spacing w:after="0" w:line="209" w:lineRule="auto"/>
        <w:tabs>
          <w:tab w:leader="none" w:pos="389"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above, the Borrowers shall promptly after delivering the financial statements pursuant to Sections 5.1(a) or (b), as the case may be, send to the Administrative Agent written notice setting forth (i) the date on which such Person became a Material Domestic Subsidiary (other than an Excluded Subsidiary) and (ii) all of the data required to be set forth in </w:t>
      </w:r>
      <w:r>
        <w:rPr>
          <w:rFonts w:ascii="Arial" w:cs="Arial" w:eastAsia="Arial" w:hAnsi="Arial"/>
          <w:sz w:val="22"/>
          <w:szCs w:val="22"/>
          <w:u w:val="single" w:color="auto"/>
          <w:color w:val="auto"/>
        </w:rPr>
        <w:t>Schedule 3.12</w:t>
      </w:r>
      <w:r>
        <w:rPr>
          <w:rFonts w:ascii="Arial" w:cs="Arial" w:eastAsia="Arial" w:hAnsi="Arial"/>
          <w:sz w:val="22"/>
          <w:szCs w:val="22"/>
          <w:color w:val="auto"/>
        </w:rPr>
        <w:t xml:space="preserve">; and such written notice shall be deemed to supplement </w:t>
      </w:r>
      <w:r>
        <w:rPr>
          <w:rFonts w:ascii="Arial" w:cs="Arial" w:eastAsia="Arial" w:hAnsi="Arial"/>
          <w:sz w:val="22"/>
          <w:szCs w:val="22"/>
          <w:u w:val="single" w:color="auto"/>
          <w:color w:val="auto"/>
        </w:rPr>
        <w:t>Schedule 3.12</w:t>
      </w:r>
      <w:r>
        <w:rPr>
          <w:rFonts w:ascii="Arial" w:cs="Arial" w:eastAsia="Arial" w:hAnsi="Arial"/>
          <w:sz w:val="22"/>
          <w:szCs w:val="22"/>
          <w:color w:val="auto"/>
        </w:rPr>
        <w:t xml:space="preserve"> for all purposes hereof. If requested by the Administrative Agent, the Administrative Agent shall receive an opinion of counsel for the Borrowers in form and substance reasonably satisfactory to the Administrative Agent in respect of such customary matters as may be reasonably requested by the Administrative Agent relating to any Counterpart Agreement or joinder agreement delivered pursuant to this Section, dated as of the date of such agreement.</w:t>
      </w:r>
    </w:p>
    <w:p>
      <w:pPr>
        <w:spacing w:after="0" w:line="16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Section 5.11 </w:t>
      </w:r>
      <w:r>
        <w:rPr>
          <w:rFonts w:ascii="Arial" w:cs="Arial" w:eastAsia="Arial" w:hAnsi="Arial"/>
          <w:sz w:val="22"/>
          <w:szCs w:val="22"/>
          <w:u w:val="single" w:color="auto"/>
          <w:color w:val="auto"/>
        </w:rPr>
        <w:t>Further Assurances</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10.17</w:t>
      </w:r>
      <w:r>
        <w:rPr>
          <w:rFonts w:ascii="Arial" w:cs="Arial" w:eastAsia="Arial" w:hAnsi="Arial"/>
          <w:sz w:val="22"/>
          <w:szCs w:val="22"/>
          <w:color w:val="auto"/>
        </w:rPr>
        <w:t>, each Loan Party shall take such actions as the Administrative Agent or the Collateral Agent may reasonably request from time to time to ensure that the Obligations are (i) guaranteed by the Guarantors and (ii) are secured by the Collateral.</w:t>
      </w:r>
    </w:p>
    <w:p>
      <w:pPr>
        <w:spacing w:after="0" w:line="159"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22"/>
          <w:szCs w:val="22"/>
          <w:color w:val="auto"/>
        </w:rPr>
        <w:t>Section 5.12</w:t>
      </w:r>
      <w:r>
        <w:rPr>
          <w:sz w:val="20"/>
          <w:szCs w:val="20"/>
          <w:color w:val="auto"/>
        </w:rPr>
        <w:tab/>
      </w:r>
      <w:r>
        <w:rPr>
          <w:rFonts w:ascii="Arial" w:cs="Arial" w:eastAsia="Arial" w:hAnsi="Arial"/>
          <w:sz w:val="19"/>
          <w:szCs w:val="19"/>
          <w:u w:val="single" w:color="auto"/>
          <w:color w:val="auto"/>
        </w:rPr>
        <w:t>Designation of Restricted and Unrestricted Subsidiaries</w:t>
      </w:r>
      <w:r>
        <w:rPr>
          <w:rFonts w:ascii="Arial" w:cs="Arial" w:eastAsia="Arial" w:hAnsi="Arial"/>
          <w:sz w:val="19"/>
          <w:szCs w:val="19"/>
          <w:color w:val="auto"/>
        </w:rPr>
        <w:t>.</w:t>
      </w:r>
    </w:p>
    <w:p>
      <w:pPr>
        <w:spacing w:after="0" w:line="179" w:lineRule="exact"/>
        <w:rPr>
          <w:sz w:val="20"/>
          <w:szCs w:val="20"/>
          <w:color w:val="auto"/>
        </w:rPr>
      </w:pPr>
    </w:p>
    <w:p>
      <w:pPr>
        <w:ind w:left="80" w:firstLine="1305"/>
        <w:spacing w:after="0" w:line="247" w:lineRule="auto"/>
        <w:tabs>
          <w:tab w:leader="none" w:pos="1917" w:val="left"/>
        </w:tabs>
        <w:numPr>
          <w:ilvl w:val="1"/>
          <w:numId w:val="144"/>
        </w:numPr>
        <w:rPr>
          <w:rFonts w:ascii="Arial" w:cs="Arial" w:eastAsia="Arial" w:hAnsi="Arial"/>
          <w:sz w:val="21"/>
          <w:szCs w:val="21"/>
          <w:color w:val="auto"/>
        </w:rPr>
      </w:pPr>
      <w:r>
        <w:rPr>
          <w:rFonts w:ascii="Arial" w:cs="Arial" w:eastAsia="Arial" w:hAnsi="Arial"/>
          <w:sz w:val="21"/>
          <w:szCs w:val="21"/>
          <w:color w:val="auto"/>
        </w:rPr>
        <w:t>The Board of Directors may designate any Subsidiary, including a newly acquired or created Subsidiary, other than a Material IP Subsidiary, to be an Unrestricted Subsidiary if it meets the following qualifications:</w:t>
      </w:r>
    </w:p>
    <w:p>
      <w:pPr>
        <w:spacing w:after="0" w:line="150" w:lineRule="exact"/>
        <w:rPr>
          <w:rFonts w:ascii="Arial" w:cs="Arial" w:eastAsia="Arial" w:hAnsi="Arial"/>
          <w:sz w:val="21"/>
          <w:szCs w:val="21"/>
          <w:color w:val="auto"/>
        </w:rPr>
      </w:pPr>
    </w:p>
    <w:p>
      <w:pPr>
        <w:ind w:left="660" w:firstLine="644"/>
        <w:spacing w:after="0" w:line="232" w:lineRule="auto"/>
        <w:tabs>
          <w:tab w:leader="none" w:pos="1743" w:val="left"/>
        </w:tabs>
        <w:numPr>
          <w:ilvl w:val="0"/>
          <w:numId w:val="145"/>
        </w:numPr>
        <w:rPr>
          <w:rFonts w:ascii="Arial" w:cs="Arial" w:eastAsia="Arial" w:hAnsi="Arial"/>
          <w:sz w:val="22"/>
          <w:szCs w:val="22"/>
          <w:color w:val="auto"/>
        </w:rPr>
      </w:pPr>
      <w:r>
        <w:rPr>
          <w:rFonts w:ascii="Arial" w:cs="Arial" w:eastAsia="Arial" w:hAnsi="Arial"/>
          <w:sz w:val="22"/>
          <w:szCs w:val="22"/>
          <w:color w:val="auto"/>
        </w:rPr>
        <w:t>such Subsidiary does not own any Equity Interest of any Borrower or any Restricted Subsidiary or a Material IP Subsidiary or any Material IP;</w:t>
      </w:r>
    </w:p>
    <w:p>
      <w:pPr>
        <w:spacing w:after="0" w:line="158" w:lineRule="exact"/>
        <w:rPr>
          <w:rFonts w:ascii="Arial" w:cs="Arial" w:eastAsia="Arial" w:hAnsi="Arial"/>
          <w:sz w:val="22"/>
          <w:szCs w:val="22"/>
          <w:color w:val="auto"/>
        </w:rPr>
      </w:pPr>
    </w:p>
    <w:p>
      <w:pPr>
        <w:jc w:val="both"/>
        <w:ind w:left="660" w:firstLine="644"/>
        <w:spacing w:after="0" w:line="257" w:lineRule="auto"/>
        <w:tabs>
          <w:tab w:leader="none" w:pos="1825" w:val="left"/>
        </w:tabs>
        <w:numPr>
          <w:ilvl w:val="0"/>
          <w:numId w:val="145"/>
        </w:numPr>
        <w:rPr>
          <w:rFonts w:ascii="Arial" w:cs="Arial" w:eastAsia="Arial" w:hAnsi="Arial"/>
          <w:sz w:val="19"/>
          <w:szCs w:val="19"/>
          <w:color w:val="auto"/>
        </w:rPr>
      </w:pPr>
      <w:r>
        <w:rPr>
          <w:rFonts w:ascii="Arial" w:cs="Arial" w:eastAsia="Arial" w:hAnsi="Arial"/>
          <w:sz w:val="19"/>
          <w:szCs w:val="19"/>
          <w:color w:val="auto"/>
        </w:rPr>
        <w:t>the Borrowers would be permitted to make an Investment at the time of the designation in an amount equal to the aggregate fair market value (as determined by the Borrowers in good faith) of all Investments of the Borrowers or its Restricted Subsidiaries in such Subsidiary (valued at the Borrowers’ and the Restricted Subsidiaries’ proportional share of the fair market value (as determined by the Borrowers in good faith) of such Subsidiary’s assets less liabilities);</w:t>
      </w:r>
    </w:p>
    <w:p>
      <w:pPr>
        <w:spacing w:after="0" w:line="144" w:lineRule="exact"/>
        <w:rPr>
          <w:rFonts w:ascii="Arial" w:cs="Arial" w:eastAsia="Arial" w:hAnsi="Arial"/>
          <w:sz w:val="19"/>
          <w:szCs w:val="19"/>
          <w:color w:val="auto"/>
        </w:rPr>
      </w:pPr>
    </w:p>
    <w:p>
      <w:pPr>
        <w:ind w:left="660" w:firstLine="644"/>
        <w:spacing w:after="0" w:line="232" w:lineRule="auto"/>
        <w:tabs>
          <w:tab w:leader="none" w:pos="1931" w:val="left"/>
        </w:tabs>
        <w:numPr>
          <w:ilvl w:val="0"/>
          <w:numId w:val="145"/>
        </w:numPr>
        <w:rPr>
          <w:rFonts w:ascii="Arial" w:cs="Arial" w:eastAsia="Arial" w:hAnsi="Arial"/>
          <w:sz w:val="22"/>
          <w:szCs w:val="22"/>
          <w:color w:val="auto"/>
        </w:rPr>
      </w:pPr>
      <w:r>
        <w:rPr>
          <w:rFonts w:ascii="Arial" w:cs="Arial" w:eastAsia="Arial" w:hAnsi="Arial"/>
          <w:sz w:val="22"/>
          <w:szCs w:val="22"/>
          <w:color w:val="auto"/>
        </w:rPr>
        <w:t xml:space="preserve">any Guarantee or other credit support thereof by any Borrower or any Restricted Subsidiary is permitted under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6.7</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left="660" w:firstLine="644"/>
        <w:spacing w:after="0" w:line="223" w:lineRule="auto"/>
        <w:tabs>
          <w:tab w:leader="none" w:pos="1845" w:val="left"/>
        </w:tabs>
        <w:numPr>
          <w:ilvl w:val="0"/>
          <w:numId w:val="145"/>
        </w:numPr>
        <w:rPr>
          <w:rFonts w:ascii="Arial" w:cs="Arial" w:eastAsia="Arial" w:hAnsi="Arial"/>
          <w:sz w:val="22"/>
          <w:szCs w:val="22"/>
          <w:color w:val="auto"/>
        </w:rPr>
      </w:pPr>
      <w:r>
        <w:rPr>
          <w:rFonts w:ascii="Arial" w:cs="Arial" w:eastAsia="Arial" w:hAnsi="Arial"/>
          <w:sz w:val="22"/>
          <w:szCs w:val="22"/>
          <w:color w:val="auto"/>
        </w:rPr>
        <w:t xml:space="preserve">No Borrower nor any Restricted Subsidiary has any obligation to subscribe for additional Equity Interests of such Subsidiary or to maintain or preserve its financial condition or cause it to achieve specified levels of operating results except to the extent permitted by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6.7</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660" w:firstLine="644"/>
        <w:spacing w:after="0" w:line="232" w:lineRule="auto"/>
        <w:tabs>
          <w:tab w:leader="none" w:pos="1847" w:val="left"/>
        </w:tabs>
        <w:numPr>
          <w:ilvl w:val="0"/>
          <w:numId w:val="145"/>
        </w:numPr>
        <w:rPr>
          <w:rFonts w:ascii="Arial" w:cs="Arial" w:eastAsia="Arial" w:hAnsi="Arial"/>
          <w:sz w:val="22"/>
          <w:szCs w:val="22"/>
          <w:color w:val="auto"/>
        </w:rPr>
      </w:pPr>
      <w:r>
        <w:rPr>
          <w:rFonts w:ascii="Arial" w:cs="Arial" w:eastAsia="Arial" w:hAnsi="Arial"/>
          <w:sz w:val="22"/>
          <w:szCs w:val="22"/>
          <w:color w:val="auto"/>
        </w:rPr>
        <w:t>immediately before and after such designation, no Default or Event of Default shall have occurred and be continuing or would result from such designation; and</w:t>
      </w:r>
    </w:p>
    <w:p>
      <w:pPr>
        <w:sectPr>
          <w:pgSz w:w="11900" w:h="16838" w:orient="portrait"/>
          <w:cols w:equalWidth="0" w:num="1">
            <w:col w:w="11240"/>
          </w:cols>
          <w:pgMar w:left="320" w:top="1401" w:right="339" w:bottom="1440" w:gutter="0" w:footer="0" w:header="0"/>
        </w:sectPr>
      </w:pPr>
    </w:p>
    <w:bookmarkStart w:id="143" w:name="page144"/>
    <w:bookmarkEnd w:id="143"/>
    <w:p>
      <w:pPr>
        <w:ind w:left="580" w:firstLine="644"/>
        <w:spacing w:after="0" w:line="247" w:lineRule="auto"/>
        <w:tabs>
          <w:tab w:leader="none" w:pos="1932" w:val="left"/>
        </w:tabs>
        <w:numPr>
          <w:ilvl w:val="0"/>
          <w:numId w:val="146"/>
        </w:numPr>
        <w:rPr>
          <w:rFonts w:ascii="Arial" w:cs="Arial" w:eastAsia="Arial" w:hAnsi="Arial"/>
          <w:sz w:val="21"/>
          <w:szCs w:val="21"/>
          <w:color w:val="auto"/>
        </w:rPr>
      </w:pPr>
      <w:r>
        <w:rPr>
          <w:rFonts w:ascii="Arial" w:cs="Arial" w:eastAsia="Arial" w:hAnsi="Arial"/>
          <w:sz w:val="21"/>
          <w:szCs w:val="21"/>
          <w:color w:val="auto"/>
        </w:rPr>
        <w:t>no Subsidiary may be designated as an Unrestricted Subsidiary if it is a “restricted subsidiary” or a “guarantor” (or any similar designation) for any other Indebtedness of any Borrower or a Restricted Subsidiary.</w:t>
      </w:r>
    </w:p>
    <w:p>
      <w:pPr>
        <w:spacing w:after="0" w:line="15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Once so designated, the Subsidiary will remain an Unrestricted Subsidiary, subject to subsection (b).</w:t>
      </w:r>
    </w:p>
    <w:p>
      <w:pPr>
        <w:spacing w:after="0" w:line="179" w:lineRule="exact"/>
        <w:rPr>
          <w:sz w:val="20"/>
          <w:szCs w:val="20"/>
          <w:color w:val="auto"/>
        </w:rPr>
      </w:pPr>
    </w:p>
    <w:p>
      <w:pPr>
        <w:jc w:val="both"/>
        <w:ind w:firstLine="1305"/>
        <w:spacing w:after="0" w:line="216" w:lineRule="auto"/>
        <w:tabs>
          <w:tab w:leader="none" w:pos="1816" w:val="left"/>
        </w:tabs>
        <w:numPr>
          <w:ilvl w:val="1"/>
          <w:numId w:val="147"/>
        </w:numPr>
        <w:rPr>
          <w:rFonts w:ascii="Arial" w:cs="Arial" w:eastAsia="Arial" w:hAnsi="Arial"/>
          <w:sz w:val="22"/>
          <w:szCs w:val="22"/>
          <w:color w:val="auto"/>
        </w:rPr>
      </w:pPr>
      <w:r>
        <w:rPr>
          <w:rFonts w:ascii="Arial" w:cs="Arial" w:eastAsia="Arial" w:hAnsi="Arial"/>
          <w:sz w:val="22"/>
          <w:szCs w:val="22"/>
          <w:color w:val="auto"/>
        </w:rPr>
        <w:t xml:space="preserve">(i) A Subsidiary previously designated as an Unrestricted Subsidiary which fails to meet the qualifications set forth in </w:t>
      </w:r>
      <w:r>
        <w:rPr>
          <w:rFonts w:ascii="Arial" w:cs="Arial" w:eastAsia="Arial" w:hAnsi="Arial"/>
          <w:sz w:val="22"/>
          <w:szCs w:val="22"/>
          <w:u w:val="single" w:color="auto"/>
          <w:color w:val="auto"/>
        </w:rPr>
        <w:t>subsections (a)(i)</w:t>
      </w:r>
      <w:r>
        <w:rPr>
          <w:rFonts w:ascii="Arial" w:cs="Arial" w:eastAsia="Arial" w:hAnsi="Arial"/>
          <w:sz w:val="22"/>
          <w:szCs w:val="22"/>
          <w:color w:val="auto"/>
        </w:rPr>
        <w:t xml:space="preserve">, </w:t>
      </w:r>
      <w:r>
        <w:rPr>
          <w:rFonts w:ascii="Arial" w:cs="Arial" w:eastAsia="Arial" w:hAnsi="Arial"/>
          <w:sz w:val="22"/>
          <w:szCs w:val="22"/>
          <w:u w:val="single" w:color="auto"/>
          <w:color w:val="auto"/>
        </w:rPr>
        <w:t>(a)(iii)</w:t>
      </w:r>
      <w:r>
        <w:rPr>
          <w:rFonts w:ascii="Arial" w:cs="Arial" w:eastAsia="Arial" w:hAnsi="Arial"/>
          <w:sz w:val="22"/>
          <w:szCs w:val="22"/>
          <w:color w:val="auto"/>
        </w:rPr>
        <w:t xml:space="preserve">, </w:t>
      </w:r>
      <w:r>
        <w:rPr>
          <w:rFonts w:ascii="Arial" w:cs="Arial" w:eastAsia="Arial" w:hAnsi="Arial"/>
          <w:sz w:val="22"/>
          <w:szCs w:val="22"/>
          <w:u w:val="single" w:color="auto"/>
          <w:color w:val="auto"/>
        </w:rPr>
        <w:t>(a)(iv)</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(a)(vi)</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5.12</w:t>
      </w:r>
      <w:r>
        <w:rPr>
          <w:rFonts w:ascii="Arial" w:cs="Arial" w:eastAsia="Arial" w:hAnsi="Arial"/>
          <w:sz w:val="22"/>
          <w:szCs w:val="22"/>
          <w:color w:val="auto"/>
        </w:rPr>
        <w:t xml:space="preserve"> will be deemed to become at that time a Restricted Subsidiary, subject to the consequences set forth in </w:t>
      </w:r>
      <w:r>
        <w:rPr>
          <w:rFonts w:ascii="Arial" w:cs="Arial" w:eastAsia="Arial" w:hAnsi="Arial"/>
          <w:sz w:val="22"/>
          <w:szCs w:val="22"/>
          <w:u w:val="single" w:color="auto"/>
          <w:color w:val="auto"/>
        </w:rPr>
        <w:t>subsection (d)</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5.12</w:t>
      </w:r>
      <w:r>
        <w:rPr>
          <w:rFonts w:ascii="Arial" w:cs="Arial" w:eastAsia="Arial" w:hAnsi="Arial"/>
          <w:sz w:val="22"/>
          <w:szCs w:val="22"/>
          <w:color w:val="auto"/>
        </w:rPr>
        <w:t>. (ii) The Board of Directors may designate an Unrestricted Subsidiary to be a Restricted Subsidiary if no Event of Default exists at the time of the designation and the designation would not cause an Event of Default.</w:t>
      </w:r>
    </w:p>
    <w:p>
      <w:pPr>
        <w:spacing w:after="0" w:line="157" w:lineRule="exact"/>
        <w:rPr>
          <w:rFonts w:ascii="Arial" w:cs="Arial" w:eastAsia="Arial" w:hAnsi="Arial"/>
          <w:sz w:val="22"/>
          <w:szCs w:val="22"/>
          <w:color w:val="auto"/>
        </w:rPr>
      </w:pPr>
    </w:p>
    <w:p>
      <w:pPr>
        <w:ind w:left="1760" w:hanging="455"/>
        <w:spacing w:after="0"/>
        <w:tabs>
          <w:tab w:leader="none" w:pos="1760" w:val="left"/>
        </w:tabs>
        <w:numPr>
          <w:ilvl w:val="1"/>
          <w:numId w:val="147"/>
        </w:numPr>
        <w:rPr>
          <w:rFonts w:ascii="Arial" w:cs="Arial" w:eastAsia="Arial" w:hAnsi="Arial"/>
          <w:sz w:val="22"/>
          <w:szCs w:val="22"/>
          <w:color w:val="auto"/>
        </w:rPr>
      </w:pPr>
      <w:r>
        <w:rPr>
          <w:rFonts w:ascii="Arial" w:cs="Arial" w:eastAsia="Arial" w:hAnsi="Arial"/>
          <w:sz w:val="22"/>
          <w:szCs w:val="22"/>
          <w:color w:val="auto"/>
        </w:rPr>
        <w:t>Upon a Restricted Subsidiary becoming an Unrestricted Subsidiary,</w:t>
      </w:r>
    </w:p>
    <w:p>
      <w:pPr>
        <w:spacing w:after="0" w:line="179" w:lineRule="exact"/>
        <w:rPr>
          <w:rFonts w:ascii="Arial" w:cs="Arial" w:eastAsia="Arial" w:hAnsi="Arial"/>
          <w:sz w:val="22"/>
          <w:szCs w:val="22"/>
          <w:color w:val="auto"/>
        </w:rPr>
      </w:pPr>
    </w:p>
    <w:p>
      <w:pPr>
        <w:jc w:val="both"/>
        <w:ind w:left="580" w:firstLine="644"/>
        <w:spacing w:after="0" w:line="223" w:lineRule="auto"/>
        <w:tabs>
          <w:tab w:leader="none" w:pos="1715" w:val="left"/>
        </w:tabs>
        <w:numPr>
          <w:ilvl w:val="0"/>
          <w:numId w:val="148"/>
        </w:numPr>
        <w:rPr>
          <w:rFonts w:ascii="Arial" w:cs="Arial" w:eastAsia="Arial" w:hAnsi="Arial"/>
          <w:sz w:val="22"/>
          <w:szCs w:val="22"/>
          <w:color w:val="auto"/>
        </w:rPr>
      </w:pPr>
      <w:r>
        <w:rPr>
          <w:rFonts w:ascii="Arial" w:cs="Arial" w:eastAsia="Arial" w:hAnsi="Arial"/>
          <w:sz w:val="22"/>
          <w:szCs w:val="22"/>
          <w:color w:val="auto"/>
        </w:rPr>
        <w:t>all existing Investments of the Borrowers and the Restricted Subsidiaries therein (valued at the Borrowers’ and the Restricted Subsidiaries’ proportional share of the fair market value of its assets less liabilities) will be deemed made at that time;</w:t>
      </w:r>
    </w:p>
    <w:p>
      <w:pPr>
        <w:spacing w:after="0" w:line="158" w:lineRule="exact"/>
        <w:rPr>
          <w:rFonts w:ascii="Arial" w:cs="Arial" w:eastAsia="Arial" w:hAnsi="Arial"/>
          <w:sz w:val="22"/>
          <w:szCs w:val="22"/>
          <w:color w:val="auto"/>
        </w:rPr>
      </w:pPr>
    </w:p>
    <w:p>
      <w:pPr>
        <w:jc w:val="both"/>
        <w:ind w:left="580" w:firstLine="644"/>
        <w:spacing w:after="0" w:line="223" w:lineRule="auto"/>
        <w:tabs>
          <w:tab w:leader="none" w:pos="1821" w:val="left"/>
        </w:tabs>
        <w:numPr>
          <w:ilvl w:val="0"/>
          <w:numId w:val="148"/>
        </w:numPr>
        <w:rPr>
          <w:rFonts w:ascii="Arial" w:cs="Arial" w:eastAsia="Arial" w:hAnsi="Arial"/>
          <w:sz w:val="22"/>
          <w:szCs w:val="22"/>
          <w:color w:val="auto"/>
        </w:rPr>
      </w:pPr>
      <w:r>
        <w:rPr>
          <w:rFonts w:ascii="Arial" w:cs="Arial" w:eastAsia="Arial" w:hAnsi="Arial"/>
          <w:sz w:val="22"/>
          <w:szCs w:val="22"/>
          <w:color w:val="auto"/>
        </w:rPr>
        <w:t>all existing Equity Interests or Indebtedness of a Borrower or a Restricted Subsidiary held by it will be deemed issued or incurred, as applicable, at that time, and all Liens on property of a Borrower or a Restricted Subsidiary securing its obligations will be deemed incurred at that time;</w:t>
      </w:r>
    </w:p>
    <w:p>
      <w:pPr>
        <w:spacing w:after="0" w:line="158" w:lineRule="exact"/>
        <w:rPr>
          <w:rFonts w:ascii="Arial" w:cs="Arial" w:eastAsia="Arial" w:hAnsi="Arial"/>
          <w:sz w:val="22"/>
          <w:szCs w:val="22"/>
          <w:color w:val="auto"/>
        </w:rPr>
      </w:pPr>
    </w:p>
    <w:p>
      <w:pPr>
        <w:ind w:left="580" w:firstLine="644"/>
        <w:spacing w:after="0" w:line="232" w:lineRule="auto"/>
        <w:tabs>
          <w:tab w:leader="none" w:pos="1815" w:val="left"/>
        </w:tabs>
        <w:numPr>
          <w:ilvl w:val="0"/>
          <w:numId w:val="148"/>
        </w:numPr>
        <w:rPr>
          <w:rFonts w:ascii="Arial" w:cs="Arial" w:eastAsia="Arial" w:hAnsi="Arial"/>
          <w:sz w:val="22"/>
          <w:szCs w:val="22"/>
          <w:color w:val="auto"/>
        </w:rPr>
      </w:pPr>
      <w:r>
        <w:rPr>
          <w:rFonts w:ascii="Arial" w:cs="Arial" w:eastAsia="Arial" w:hAnsi="Arial"/>
          <w:sz w:val="22"/>
          <w:szCs w:val="22"/>
          <w:color w:val="auto"/>
        </w:rPr>
        <w:t>all existing transactions between it and any Borrower or any Restricted Subsidiary will be deemed entered into at that time;</w:t>
      </w:r>
    </w:p>
    <w:p>
      <w:pPr>
        <w:spacing w:after="0" w:line="158" w:lineRule="exact"/>
        <w:rPr>
          <w:rFonts w:ascii="Arial" w:cs="Arial" w:eastAsia="Arial" w:hAnsi="Arial"/>
          <w:sz w:val="22"/>
          <w:szCs w:val="22"/>
          <w:color w:val="auto"/>
        </w:rPr>
      </w:pPr>
    </w:p>
    <w:p>
      <w:pPr>
        <w:ind w:left="580" w:firstLine="644"/>
        <w:spacing w:after="0" w:line="232" w:lineRule="auto"/>
        <w:tabs>
          <w:tab w:leader="none" w:pos="182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it will be released at that time from its Guaranty and its obligations under the Security Agreement and all related Liens on its property will be released at that time; and</w:t>
      </w:r>
    </w:p>
    <w:p>
      <w:pPr>
        <w:spacing w:after="0" w:line="158" w:lineRule="exact"/>
        <w:rPr>
          <w:rFonts w:ascii="Arial" w:cs="Arial" w:eastAsia="Arial" w:hAnsi="Arial"/>
          <w:sz w:val="22"/>
          <w:szCs w:val="22"/>
          <w:color w:val="auto"/>
        </w:rPr>
      </w:pPr>
    </w:p>
    <w:p>
      <w:pPr>
        <w:ind w:left="1700" w:hanging="476"/>
        <w:spacing w:after="0"/>
        <w:tabs>
          <w:tab w:leader="none" w:pos="170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it will cease to be subject to the provisions of this Agreement as a Restricted Subsidiary.</w:t>
      </w:r>
    </w:p>
    <w:p>
      <w:pPr>
        <w:spacing w:after="0" w:line="179" w:lineRule="exact"/>
        <w:rPr>
          <w:rFonts w:ascii="Arial" w:cs="Arial" w:eastAsia="Arial" w:hAnsi="Arial"/>
          <w:sz w:val="22"/>
          <w:szCs w:val="22"/>
          <w:color w:val="auto"/>
        </w:rPr>
      </w:pPr>
    </w:p>
    <w:p>
      <w:pPr>
        <w:ind w:left="1780" w:hanging="475"/>
        <w:spacing w:after="0"/>
        <w:tabs>
          <w:tab w:leader="none" w:pos="1780" w:val="left"/>
        </w:tabs>
        <w:numPr>
          <w:ilvl w:val="1"/>
          <w:numId w:val="148"/>
        </w:numPr>
        <w:rPr>
          <w:rFonts w:ascii="Arial" w:cs="Arial" w:eastAsia="Arial" w:hAnsi="Arial"/>
          <w:sz w:val="19"/>
          <w:szCs w:val="19"/>
          <w:color w:val="auto"/>
        </w:rPr>
      </w:pPr>
      <w:r>
        <w:rPr>
          <w:rFonts w:ascii="Arial" w:cs="Arial" w:eastAsia="Arial" w:hAnsi="Arial"/>
          <w:sz w:val="19"/>
          <w:szCs w:val="19"/>
          <w:color w:val="auto"/>
        </w:rPr>
        <w:t>Upon an Unrestricted Subsidiary becoming, or being deemed to become, a Restricted Subsidiary pursuant to</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Section 5.12(b)</w:t>
      </w:r>
      <w:r>
        <w:rPr>
          <w:rFonts w:ascii="Arial" w:cs="Arial" w:eastAsia="Arial" w:hAnsi="Arial"/>
          <w:sz w:val="22"/>
          <w:szCs w:val="22"/>
          <w:color w:val="auto"/>
        </w:rPr>
        <w:t>,</w:t>
      </w:r>
    </w:p>
    <w:p>
      <w:pPr>
        <w:spacing w:after="0" w:line="161" w:lineRule="exact"/>
        <w:rPr>
          <w:sz w:val="20"/>
          <w:szCs w:val="20"/>
          <w:color w:val="auto"/>
        </w:rPr>
      </w:pPr>
    </w:p>
    <w:p>
      <w:pPr>
        <w:ind w:left="580" w:firstLine="644"/>
        <w:spacing w:after="0" w:line="232" w:lineRule="auto"/>
        <w:tabs>
          <w:tab w:leader="none" w:pos="1665" w:val="left"/>
        </w:tabs>
        <w:numPr>
          <w:ilvl w:val="0"/>
          <w:numId w:val="149"/>
        </w:numPr>
        <w:rPr>
          <w:rFonts w:ascii="Arial" w:cs="Arial" w:eastAsia="Arial" w:hAnsi="Arial"/>
          <w:sz w:val="22"/>
          <w:szCs w:val="22"/>
          <w:color w:val="auto"/>
        </w:rPr>
      </w:pPr>
      <w:r>
        <w:rPr>
          <w:rFonts w:ascii="Arial" w:cs="Arial" w:eastAsia="Arial" w:hAnsi="Arial"/>
          <w:sz w:val="22"/>
          <w:szCs w:val="22"/>
          <w:color w:val="auto"/>
        </w:rPr>
        <w:t xml:space="preserve">all of its Indebtedness and Liens will be deemed incurred at that time for purposes of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6.2</w:t>
      </w:r>
      <w:r>
        <w:rPr>
          <w:rFonts w:ascii="Arial" w:cs="Arial" w:eastAsia="Arial" w:hAnsi="Arial"/>
          <w:sz w:val="22"/>
          <w:szCs w:val="22"/>
          <w:color w:val="auto"/>
        </w:rPr>
        <w:t>, as applicable;</w:t>
      </w:r>
    </w:p>
    <w:p>
      <w:pPr>
        <w:spacing w:after="0" w:line="158" w:lineRule="exact"/>
        <w:rPr>
          <w:rFonts w:ascii="Arial" w:cs="Arial" w:eastAsia="Arial" w:hAnsi="Arial"/>
          <w:sz w:val="22"/>
          <w:szCs w:val="22"/>
          <w:color w:val="auto"/>
        </w:rPr>
      </w:pPr>
    </w:p>
    <w:p>
      <w:pPr>
        <w:ind w:left="1700" w:hanging="476"/>
        <w:spacing w:after="0"/>
        <w:tabs>
          <w:tab w:leader="none" w:pos="170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 xml:space="preserve">all Investments therein previously charged under </w:t>
      </w:r>
      <w:r>
        <w:rPr>
          <w:rFonts w:ascii="Arial" w:cs="Arial" w:eastAsia="Arial" w:hAnsi="Arial"/>
          <w:sz w:val="22"/>
          <w:szCs w:val="22"/>
          <w:u w:val="single" w:color="auto"/>
          <w:color w:val="auto"/>
        </w:rPr>
        <w:t>Section 6.7</w:t>
      </w:r>
      <w:r>
        <w:rPr>
          <w:rFonts w:ascii="Arial" w:cs="Arial" w:eastAsia="Arial" w:hAnsi="Arial"/>
          <w:sz w:val="22"/>
          <w:szCs w:val="22"/>
          <w:color w:val="auto"/>
        </w:rPr>
        <w:t xml:space="preserve"> will be credited thereunder;</w:t>
      </w:r>
    </w:p>
    <w:p>
      <w:pPr>
        <w:spacing w:after="0" w:line="179" w:lineRule="exact"/>
        <w:rPr>
          <w:rFonts w:ascii="Arial" w:cs="Arial" w:eastAsia="Arial" w:hAnsi="Arial"/>
          <w:sz w:val="22"/>
          <w:szCs w:val="22"/>
          <w:color w:val="auto"/>
        </w:rPr>
      </w:pPr>
    </w:p>
    <w:p>
      <w:pPr>
        <w:ind w:left="1800" w:hanging="576"/>
        <w:spacing w:after="0"/>
        <w:tabs>
          <w:tab w:leader="none" w:pos="180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 xml:space="preserve">if it is a Material Domestic Subsidiary, it shall be required to become a Guarantor pursuant to </w:t>
      </w:r>
      <w:r>
        <w:rPr>
          <w:rFonts w:ascii="Arial" w:cs="Arial" w:eastAsia="Arial" w:hAnsi="Arial"/>
          <w:sz w:val="19"/>
          <w:szCs w:val="19"/>
          <w:u w:val="single" w:color="auto"/>
          <w:color w:val="auto"/>
        </w:rPr>
        <w:t>Section 5.10</w:t>
      </w:r>
      <w:r>
        <w:rPr>
          <w:rFonts w:ascii="Arial" w:cs="Arial" w:eastAsia="Arial" w:hAnsi="Arial"/>
          <w:sz w:val="19"/>
          <w:szCs w:val="19"/>
          <w:color w:val="auto"/>
        </w:rPr>
        <w:t>;</w:t>
      </w:r>
    </w:p>
    <w:p>
      <w:pPr>
        <w:spacing w:after="0" w:line="15" w:lineRule="exact"/>
        <w:rPr>
          <w:rFonts w:ascii="Arial" w:cs="Arial" w:eastAsia="Arial" w:hAnsi="Arial"/>
          <w:sz w:val="19"/>
          <w:szCs w:val="19"/>
          <w:color w:val="auto"/>
        </w:rPr>
      </w:pPr>
    </w:p>
    <w:p>
      <w:pPr>
        <w:ind w:left="580"/>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161" w:lineRule="exact"/>
        <w:rPr>
          <w:rFonts w:ascii="Arial" w:cs="Arial" w:eastAsia="Arial" w:hAnsi="Arial"/>
          <w:sz w:val="19"/>
          <w:szCs w:val="19"/>
          <w:color w:val="auto"/>
        </w:rPr>
      </w:pPr>
    </w:p>
    <w:p>
      <w:pPr>
        <w:ind w:left="1760" w:hanging="536"/>
        <w:spacing w:after="0"/>
        <w:tabs>
          <w:tab w:leader="none" w:pos="176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it will be subject to the provisions of this Agreement as a Restricted Subsidiary.</w:t>
      </w:r>
    </w:p>
    <w:p>
      <w:pPr>
        <w:spacing w:after="0" w:line="179" w:lineRule="exact"/>
        <w:rPr>
          <w:rFonts w:ascii="Arial" w:cs="Arial" w:eastAsia="Arial" w:hAnsi="Arial"/>
          <w:sz w:val="22"/>
          <w:szCs w:val="22"/>
          <w:color w:val="auto"/>
        </w:rPr>
      </w:pPr>
    </w:p>
    <w:p>
      <w:pPr>
        <w:jc w:val="both"/>
        <w:ind w:firstLine="1305"/>
        <w:spacing w:after="0" w:line="223" w:lineRule="auto"/>
        <w:tabs>
          <w:tab w:leader="none" w:pos="1782" w:val="left"/>
        </w:tabs>
        <w:numPr>
          <w:ilvl w:val="1"/>
          <w:numId w:val="149"/>
        </w:numPr>
        <w:rPr>
          <w:rFonts w:ascii="Arial" w:cs="Arial" w:eastAsia="Arial" w:hAnsi="Arial"/>
          <w:sz w:val="22"/>
          <w:szCs w:val="22"/>
          <w:color w:val="auto"/>
        </w:rPr>
      </w:pPr>
      <w:r>
        <w:rPr>
          <w:rFonts w:ascii="Arial" w:cs="Arial" w:eastAsia="Arial" w:hAnsi="Arial"/>
          <w:sz w:val="22"/>
          <w:szCs w:val="22"/>
          <w:color w:val="auto"/>
        </w:rPr>
        <w:t>Any designation by the Board of Directors of a Subsidiary as an Unrestricted Subsidiary after the Effective Date will be evidenced to the Administrative Agent by promptly filing with the Administrative Agent a copy of the resolutions of the Board of</w:t>
      </w:r>
    </w:p>
    <w:p>
      <w:pPr>
        <w:sectPr>
          <w:pgSz w:w="11900" w:h="16838" w:orient="portrait"/>
          <w:cols w:equalWidth="0" w:num="1">
            <w:col w:w="11160"/>
          </w:cols>
          <w:pgMar w:left="400" w:top="1401" w:right="339" w:bottom="1440" w:gutter="0" w:footer="0" w:header="0"/>
        </w:sectPr>
      </w:pPr>
    </w:p>
    <w:bookmarkStart w:id="144" w:name="page145"/>
    <w:bookmarkEnd w:id="144"/>
    <w:p>
      <w:pPr>
        <w:ind w:left="80"/>
        <w:spacing w:after="0" w:line="232" w:lineRule="auto"/>
        <w:rPr>
          <w:sz w:val="20"/>
          <w:szCs w:val="20"/>
          <w:color w:val="auto"/>
        </w:rPr>
      </w:pPr>
      <w:r>
        <w:rPr>
          <w:rFonts w:ascii="Arial" w:cs="Arial" w:eastAsia="Arial" w:hAnsi="Arial"/>
          <w:sz w:val="22"/>
          <w:szCs w:val="22"/>
          <w:color w:val="auto"/>
        </w:rPr>
        <w:t>Directors giving effect to the designation and a certificate of a Responsible Officer of the Borrowers certifying that the designation complied with the foregoing provisions.</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 xml:space="preserve">Section 5.13 </w:t>
      </w:r>
      <w:r>
        <w:rPr>
          <w:rFonts w:ascii="Arial" w:cs="Arial" w:eastAsia="Arial" w:hAnsi="Arial"/>
          <w:sz w:val="19"/>
          <w:szCs w:val="19"/>
          <w:u w:val="single" w:color="auto"/>
          <w:color w:val="auto"/>
        </w:rPr>
        <w:t>After Acquired Material Real Estate Assets</w:t>
      </w:r>
      <w:r>
        <w:rPr>
          <w:rFonts w:ascii="Arial" w:cs="Arial" w:eastAsia="Arial" w:hAnsi="Arial"/>
          <w:sz w:val="19"/>
          <w:szCs w:val="19"/>
          <w:color w:val="auto"/>
        </w:rPr>
        <w:t>. If subsequent to the Effective Date, a Loan Party (including a Person that becomes a Guarantor pursuant to Section 5.11) shall acquire any Material Real Estate Assets, the Borrower shall promptly (and in any event within 10 Business Days), after acquiring knowledge of the same, notify Administrative Agent of same. Each Loan Party shall take action at its own expense as reasonably requested by the Administrative Agent, including without limitation, within 90 days of the acquisition thereof or within 90 days from the date that such Person becomes a Guarantor, as applicable (or such later date as the Administrative Agent may agree), causing Section 5.5(b) to be satisfied with respect to such Material Real Estate Asset and causing to be delivered to the Administrative Agent:</w:t>
      </w:r>
    </w:p>
    <w:p>
      <w:pPr>
        <w:spacing w:after="0" w:line="154" w:lineRule="exact"/>
        <w:rPr>
          <w:sz w:val="20"/>
          <w:szCs w:val="20"/>
          <w:color w:val="auto"/>
        </w:rPr>
      </w:pPr>
    </w:p>
    <w:p>
      <w:pPr>
        <w:jc w:val="both"/>
        <w:ind w:left="80" w:firstLine="1305"/>
        <w:spacing w:after="0" w:line="247" w:lineRule="auto"/>
        <w:tabs>
          <w:tab w:leader="none" w:pos="1906" w:val="left"/>
        </w:tabs>
        <w:numPr>
          <w:ilvl w:val="0"/>
          <w:numId w:val="150"/>
        </w:numPr>
        <w:rPr>
          <w:rFonts w:ascii="Arial" w:cs="Arial" w:eastAsia="Arial" w:hAnsi="Arial"/>
          <w:sz w:val="19"/>
          <w:szCs w:val="19"/>
          <w:color w:val="auto"/>
        </w:rPr>
      </w:pPr>
      <w:r>
        <w:rPr>
          <w:rFonts w:ascii="Arial" w:cs="Arial" w:eastAsia="Arial" w:hAnsi="Arial"/>
          <w:sz w:val="19"/>
          <w:szCs w:val="19"/>
          <w:color w:val="auto"/>
        </w:rPr>
        <w:t>a Mortgage encumbering each Mortgaged Real Estate Asset in favor of the Administrative Agent, for the benefit of the Secured Parties, duly executed and acknowledged by each Loan Party that is the owner of or holder of any interest in such Mortgaged Real Estate Asset, and otherwise in form for recording in the recording office of each applicable political subdivision where each such Mortgaged Real Estate Asset is situated, together with such certificates, affidavits, questionnaires or returns as shall be required in connection with the recording or filing thereof to create a lien under applicable requirements of law, and such financing statements and any other instruments necessary to grant a mortgage lien under the laws of any applicable jurisdiction, all of which shall be in form and substance reasonably satisfactory to Administrative Agent;</w:t>
      </w:r>
    </w:p>
    <w:p>
      <w:pPr>
        <w:spacing w:after="0" w:line="153" w:lineRule="exact"/>
        <w:rPr>
          <w:rFonts w:ascii="Arial" w:cs="Arial" w:eastAsia="Arial" w:hAnsi="Arial"/>
          <w:sz w:val="19"/>
          <w:szCs w:val="19"/>
          <w:color w:val="auto"/>
        </w:rPr>
      </w:pPr>
    </w:p>
    <w:p>
      <w:pPr>
        <w:jc w:val="both"/>
        <w:ind w:left="80" w:firstLine="1305"/>
        <w:spacing w:after="0"/>
        <w:tabs>
          <w:tab w:leader="none" w:pos="1913" w:val="left"/>
        </w:tabs>
        <w:numPr>
          <w:ilvl w:val="0"/>
          <w:numId w:val="150"/>
        </w:numPr>
        <w:rPr>
          <w:rFonts w:ascii="Arial" w:cs="Arial" w:eastAsia="Arial" w:hAnsi="Arial"/>
          <w:sz w:val="19"/>
          <w:szCs w:val="19"/>
          <w:color w:val="auto"/>
        </w:rPr>
      </w:pPr>
      <w:r>
        <w:rPr>
          <w:rFonts w:ascii="Arial" w:cs="Arial" w:eastAsia="Arial" w:hAnsi="Arial"/>
          <w:sz w:val="19"/>
          <w:szCs w:val="19"/>
          <w:color w:val="auto"/>
        </w:rPr>
        <w:t>With respect to each Mortgage, (a) a policy of title insurance (or marked up unconditional title insurance commitment having the effect of a policy of title insurance) insuring the Lien of such Mortgage as a valid first mortgage Lien on the Mortgaged Real Estate Asset and fixtures described therein, subject to Permitted Encumbrances, in the amount not less than the Fair Market Value of such Mortgaged Real Estate Asset and fixtures (but in no event more than, the consideration paid by the purchaser of the Mortgaged Real Estate Asset), which policy (or such marked up unconditional title insurance commitment) (each, a “Title Policy”) shall (w) be issued by the Title Company, (x) to the extent necessary, include such reinsurance arrangements (with provisions for direct access, if necessary) as shall be reasonably acceptable to the Administrative Agent, (y) have been supplemented by such endorsements (or where such endorsements are not available, opinions of special counsel, architects or other professionals reasonably acceptable to the Administrative Agent) as shall be reasonably requested by the Administrative Agent (including, but not limited to, endorsements on matters relating to usury, first loss, zoning, doing business, public road access, survey, contiguity, policy authentication, variable rate, environmental lien, subdivision, policy aggregation, mortgage recording tax, street address, separate tax lot, revolving credit, and so-called comprehensive coverage over covenants and restrictions, to the extent applicable and available ), and (z) contain no exceptions to title other than Liens permitted under Section 6.2; (b) evidence reasonably acceptable to the Administrative Agent of payment by Borrower of all Title Policy premiums, search and examination charges, escrow charges and related charges, mortgage recording taxes, fees, charges, costs and expenses required for the recording of the Mortgages and issuance of the Title Policies; and (c) such affidavits, certificates, information (including financial data) and instruments of indemnification (including a so-called “gap” indemnification) as shall be required to induce the Title Company to issue the Title Policies and endorsements; it being understood that if a mortgage tax will be owed on the entire amount of the Indebtedness evidenced hereby, the Administrative Agent will cooperate with the Borrower or the other applicable Loan Party in order to minimize the amount of mortgage tax payable in connection with such Mortgage as permitted by, and in accordance with, applicable law including, to the extent permitted by applicable law, limiting the amount secured by such Mortgage to the fair</w:t>
      </w:r>
    </w:p>
    <w:p>
      <w:pPr>
        <w:sectPr>
          <w:pgSz w:w="11900" w:h="16838" w:orient="portrait"/>
          <w:cols w:equalWidth="0" w:num="1">
            <w:col w:w="11240"/>
          </w:cols>
          <w:pgMar w:left="320" w:top="1401" w:right="339" w:bottom="1440" w:gutter="0" w:footer="0" w:header="0"/>
        </w:sectPr>
      </w:pPr>
    </w:p>
    <w:bookmarkStart w:id="145" w:name="page146"/>
    <w:bookmarkEnd w:id="145"/>
    <w:p>
      <w:pPr>
        <w:ind w:left="80"/>
        <w:spacing w:after="0" w:line="232" w:lineRule="auto"/>
        <w:rPr>
          <w:sz w:val="20"/>
          <w:szCs w:val="20"/>
          <w:color w:val="auto"/>
        </w:rPr>
      </w:pPr>
      <w:r>
        <w:rPr>
          <w:rFonts w:ascii="Arial" w:cs="Arial" w:eastAsia="Arial" w:hAnsi="Arial"/>
          <w:sz w:val="22"/>
          <w:szCs w:val="22"/>
          <w:color w:val="auto"/>
        </w:rPr>
        <w:t>market value of the respective Mortgaged Real Estate Asset at the time such Mortgage is entered into if such limitation results in such mortgage tax being calculated based upon such fair market value;</w:t>
      </w:r>
    </w:p>
    <w:p>
      <w:pPr>
        <w:spacing w:after="0" w:line="159" w:lineRule="exact"/>
        <w:rPr>
          <w:sz w:val="20"/>
          <w:szCs w:val="20"/>
          <w:color w:val="auto"/>
        </w:rPr>
      </w:pPr>
    </w:p>
    <w:p>
      <w:pPr>
        <w:jc w:val="both"/>
        <w:ind w:left="80" w:firstLine="1305"/>
        <w:spacing w:after="0" w:line="242" w:lineRule="auto"/>
        <w:tabs>
          <w:tab w:leader="none" w:pos="1928" w:val="left"/>
        </w:tabs>
        <w:numPr>
          <w:ilvl w:val="0"/>
          <w:numId w:val="151"/>
        </w:numPr>
        <w:rPr>
          <w:rFonts w:ascii="Arial" w:cs="Arial" w:eastAsia="Arial" w:hAnsi="Arial"/>
          <w:sz w:val="19"/>
          <w:szCs w:val="19"/>
          <w:color w:val="auto"/>
        </w:rPr>
      </w:pPr>
      <w:r>
        <w:rPr>
          <w:rFonts w:ascii="Arial" w:cs="Arial" w:eastAsia="Arial" w:hAnsi="Arial"/>
          <w:sz w:val="19"/>
          <w:szCs w:val="19"/>
          <w:color w:val="auto"/>
        </w:rPr>
        <w:t>A survey of the applicable Mortgaged Real Estate Asset for which all necessary fees (where applicable) have been paid (a) prepared by a surveyor reasonably acceptable to the Administrative Agent, (b) dated or re-certificated not earlier than three months prior to the date of such delivery or such other date as may be reasonably satisfactory to the Administrative Agent in its sole discretion, (c) for Mortgaged Real Estate Asset situated in the United States, certified to the Administrative Agent, the Collateral Agent and the Title Company, which certification shall be reasonably acceptable to the Collateral Agent and (d) complying with current “Minimum Standard Detail Requirements for ALTA/NSPS Land Title Surveys,” jointly established and adopted by American Land Title Association, and the National Society of Professional Surveyors (except for such deviations as are acceptable to the Collateral Agent) (a “Survey”) provided, however, that a Survey shall not be required to the extent that (x) an existing survey together with an “affidavit of no change” satisfactory to the Title Company is delivered to the Administrative Agent and the Title Company and (y) the Title Company excludes the standard survey exception and provides customary survey related endorsements and other coverages in the applicable Title Policy (including, but not limited to public road access, survey, contiguity and so-called comprehensive coverage);</w:t>
      </w:r>
    </w:p>
    <w:p>
      <w:pPr>
        <w:spacing w:after="0" w:line="164" w:lineRule="exact"/>
        <w:rPr>
          <w:rFonts w:ascii="Arial" w:cs="Arial" w:eastAsia="Arial" w:hAnsi="Arial"/>
          <w:sz w:val="19"/>
          <w:szCs w:val="19"/>
          <w:color w:val="auto"/>
        </w:rPr>
      </w:pPr>
    </w:p>
    <w:p>
      <w:pPr>
        <w:jc w:val="both"/>
        <w:ind w:left="80" w:firstLine="1305"/>
        <w:spacing w:after="0" w:line="224" w:lineRule="auto"/>
        <w:tabs>
          <w:tab w:leader="none" w:pos="1866" w:val="left"/>
        </w:tabs>
        <w:numPr>
          <w:ilvl w:val="0"/>
          <w:numId w:val="151"/>
        </w:numPr>
        <w:rPr>
          <w:rFonts w:ascii="Arial" w:cs="Arial" w:eastAsia="Arial" w:hAnsi="Arial"/>
          <w:sz w:val="21"/>
          <w:szCs w:val="21"/>
          <w:color w:val="auto"/>
        </w:rPr>
      </w:pPr>
      <w:r>
        <w:rPr>
          <w:rFonts w:ascii="Arial" w:cs="Arial" w:eastAsia="Arial" w:hAnsi="Arial"/>
          <w:sz w:val="21"/>
          <w:szCs w:val="21"/>
          <w:color w:val="auto"/>
        </w:rPr>
        <w:t>Favorable written opinions, addressed to the Administrative Agent and the Secured Parties, of local counsel to the Loan Parties in each jurisdiction (i) where a Mortgaged Real Estate Asset is located and (ii) where the applicable Loan Party granting the Mortgage on said Mortgaged Real Estate Asset is organized, regarding the due authority, execution, delivery, perfection and enforceability of each such Mortgage, the corporate formation, existence and good standing of the applicable Loan Party, and such other matters as may be reasonably requested by the Administrative Agent, each in form and substance reasonably satisfactory to the Administrative Agent; and</w:t>
      </w:r>
    </w:p>
    <w:p>
      <w:pPr>
        <w:spacing w:after="0" w:line="159" w:lineRule="exact"/>
        <w:rPr>
          <w:rFonts w:ascii="Arial" w:cs="Arial" w:eastAsia="Arial" w:hAnsi="Arial"/>
          <w:sz w:val="21"/>
          <w:szCs w:val="21"/>
          <w:color w:val="auto"/>
        </w:rPr>
      </w:pPr>
    </w:p>
    <w:p>
      <w:pPr>
        <w:ind w:left="80" w:firstLine="1305"/>
        <w:spacing w:after="0" w:line="232" w:lineRule="auto"/>
        <w:tabs>
          <w:tab w:leader="none" w:pos="1843" w:val="left"/>
        </w:tabs>
        <w:numPr>
          <w:ilvl w:val="0"/>
          <w:numId w:val="151"/>
        </w:numPr>
        <w:rPr>
          <w:rFonts w:ascii="Arial" w:cs="Arial" w:eastAsia="Arial" w:hAnsi="Arial"/>
          <w:sz w:val="22"/>
          <w:szCs w:val="22"/>
          <w:color w:val="auto"/>
        </w:rPr>
      </w:pPr>
      <w:r>
        <w:rPr>
          <w:rFonts w:ascii="Arial" w:cs="Arial" w:eastAsia="Arial" w:hAnsi="Arial"/>
          <w:sz w:val="22"/>
          <w:szCs w:val="22"/>
          <w:color w:val="auto"/>
        </w:rPr>
        <w:t>Such other documents the Administrative Agent may reasonably request, in each case in form and substance reasonably satisfactory to the Administrative Agent.</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Section 5.14 </w:t>
      </w:r>
      <w:r>
        <w:rPr>
          <w:rFonts w:ascii="Arial" w:cs="Arial" w:eastAsia="Arial" w:hAnsi="Arial"/>
          <w:sz w:val="22"/>
          <w:szCs w:val="22"/>
          <w:u w:val="single" w:color="auto"/>
          <w:color w:val="auto"/>
        </w:rPr>
        <w:t>Post-Closing Matters</w:t>
      </w:r>
      <w:r>
        <w:rPr>
          <w:rFonts w:ascii="Arial" w:cs="Arial" w:eastAsia="Arial" w:hAnsi="Arial"/>
          <w:sz w:val="22"/>
          <w:szCs w:val="22"/>
          <w:color w:val="auto"/>
        </w:rPr>
        <w:t>. Within the applicable time period set forth in Schedule 5.14 (or such later dates as the Administrative Agent may agree in its sole discretion), furnish to the Administrative Agent each document required pursuant to Schedule 5.14.</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ARTICLE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3876675</wp:posOffset>
            </wp:positionH>
            <wp:positionV relativeFrom="paragraph">
              <wp:posOffset>-17780</wp:posOffset>
            </wp:positionV>
            <wp:extent cx="137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ind w:left="4400"/>
        <w:spacing w:after="0"/>
        <w:rPr>
          <w:sz w:val="20"/>
          <w:szCs w:val="20"/>
          <w:color w:val="auto"/>
        </w:rPr>
      </w:pPr>
      <w:r>
        <w:rPr>
          <w:rFonts w:ascii="Arial" w:cs="Arial" w:eastAsia="Arial" w:hAnsi="Arial"/>
          <w:sz w:val="22"/>
          <w:szCs w:val="22"/>
          <w:u w:val="single" w:color="auto"/>
          <w:color w:val="auto"/>
        </w:rPr>
        <w:t>NEGATIVE COVENANTS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Until the Termination Date, each Loan Party covenants and agrees with the Lenders that:</w:t>
      </w:r>
    </w:p>
    <w:p>
      <w:pPr>
        <w:spacing w:after="0" w:line="17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 xml:space="preserve">Section 6.1 </w:t>
      </w:r>
      <w:r>
        <w:rPr>
          <w:rFonts w:ascii="Arial" w:cs="Arial" w:eastAsia="Arial" w:hAnsi="Arial"/>
          <w:sz w:val="19"/>
          <w:szCs w:val="19"/>
          <w:u w:val="single" w:color="auto"/>
          <w:color w:val="auto"/>
        </w:rPr>
        <w:t>Indebtedness</w:t>
      </w:r>
      <w:r>
        <w:rPr>
          <w:rFonts w:ascii="Arial" w:cs="Arial" w:eastAsia="Arial" w:hAnsi="Arial"/>
          <w:sz w:val="19"/>
          <w:szCs w:val="19"/>
          <w:color w:val="auto"/>
        </w:rPr>
        <w:t>. No Loan Party shall, nor shall it permit any of its Restricted Subsidiaries to, create, incur or assume, or otherwise become or remain directly or indirectly liable with respect to, any Indebtedness, except:</w:t>
      </w:r>
    </w:p>
    <w:p>
      <w:pPr>
        <w:spacing w:after="0" w:line="105" w:lineRule="exact"/>
        <w:rPr>
          <w:sz w:val="20"/>
          <w:szCs w:val="20"/>
          <w:color w:val="auto"/>
        </w:rPr>
      </w:pPr>
    </w:p>
    <w:p>
      <w:pPr>
        <w:ind w:left="1840" w:hanging="455"/>
        <w:spacing w:after="0"/>
        <w:tabs>
          <w:tab w:leader="none" w:pos="184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Obligations;</w:t>
      </w:r>
    </w:p>
    <w:p>
      <w:pPr>
        <w:sectPr>
          <w:pgSz w:w="11900" w:h="16838" w:orient="portrait"/>
          <w:cols w:equalWidth="0" w:num="1">
            <w:col w:w="11240"/>
          </w:cols>
          <w:pgMar w:left="320" w:top="1401" w:right="339" w:bottom="1440" w:gutter="0" w:footer="0" w:header="0"/>
        </w:sectPr>
      </w:pPr>
    </w:p>
    <w:bookmarkStart w:id="146" w:name="page147"/>
    <w:bookmarkEnd w:id="146"/>
    <w:p>
      <w:pPr>
        <w:jc w:val="both"/>
        <w:ind w:left="-1040" w:firstLine="1305"/>
        <w:spacing w:after="0" w:line="222" w:lineRule="auto"/>
        <w:tabs>
          <w:tab w:leader="none" w:pos="769" w:val="left"/>
        </w:tabs>
        <w:numPr>
          <w:ilvl w:val="0"/>
          <w:numId w:val="153"/>
        </w:numPr>
        <w:rPr>
          <w:rFonts w:ascii="Arial" w:cs="Arial" w:eastAsia="Arial" w:hAnsi="Arial"/>
          <w:sz w:val="21"/>
          <w:szCs w:val="21"/>
          <w:color w:val="auto"/>
        </w:rPr>
      </w:pPr>
      <w:r>
        <w:rPr>
          <w:rFonts w:ascii="Arial" w:cs="Arial" w:eastAsia="Arial" w:hAnsi="Arial"/>
          <w:sz w:val="21"/>
          <w:szCs w:val="21"/>
          <w:color w:val="auto"/>
        </w:rPr>
        <w:t xml:space="preserve">(x) Indebtedness of Holdings or its Restricted Subsidiaries with respect to Capital Lease Obligations, sale-lease back transactions and purchase money Indebtedness in an aggregate principal amount not to exceed the greater of (i) $35,000,000 at any time outstanding and (ii) 10% of Consolidated Total Assets as of the last day of the most recently ended fiscal quarter for which financial statements have been or are required to be delivered pursuant to </w:t>
      </w:r>
      <w:r>
        <w:rPr>
          <w:rFonts w:ascii="Arial" w:cs="Arial" w:eastAsia="Arial" w:hAnsi="Arial"/>
          <w:sz w:val="21"/>
          <w:szCs w:val="21"/>
          <w:u w:val="single" w:color="auto"/>
          <w:color w:val="auto"/>
        </w:rPr>
        <w:t>Section 5.1(a)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Indebtedness shall be secured only by the asset (including all accessions, attachments, improvements and the proceeds thereof) acquired, constructed or improved in connection with the incurrence of such Indebtedness and (y) any Permitted Refinancing Indebtedness in respect thereof;</w:t>
      </w:r>
    </w:p>
    <w:p>
      <w:pPr>
        <w:spacing w:after="0" w:line="164" w:lineRule="exact"/>
        <w:rPr>
          <w:rFonts w:ascii="Arial" w:cs="Arial" w:eastAsia="Arial" w:hAnsi="Arial"/>
          <w:sz w:val="21"/>
          <w:szCs w:val="21"/>
          <w:color w:val="auto"/>
        </w:rPr>
      </w:pPr>
    </w:p>
    <w:p>
      <w:pPr>
        <w:jc w:val="both"/>
        <w:ind w:left="-1040" w:firstLine="1305"/>
        <w:spacing w:after="0"/>
        <w:tabs>
          <w:tab w:leader="none" w:pos="869"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(x) Indebtedness (including, for the avoidance of doubt, Permitted Convertible Indebtedness) of Loan Parties in an aggregate outstanding principal amount not to exceed the greater of (i) (A) prior to the consummation of a Qualifying IPO, $100,000,000 at any time outstanding and (B) upon and after the consummation of a Qualifying IPO, $500,000,000 at any time outstanding and (ii) such greater amount as shall not result, at the time of incurrence of such Indebtedness, in the Consolidated Leverage Ratio exceeding 3.00 to 1.00 (to be calculated after giving pro forma effect to the incurrence of such Indebtedness and the use of proceeds thereof (but, for the avoidance of doubt, without netting any cash proceeds thereof), as of the last day of the most recently ended four fiscal quarter period for which financial statements have been or are required to be delivered pursuant to </w:t>
      </w:r>
      <w:r>
        <w:rPr>
          <w:rFonts w:ascii="Arial" w:cs="Arial" w:eastAsia="Arial" w:hAnsi="Arial"/>
          <w:sz w:val="19"/>
          <w:szCs w:val="19"/>
          <w:u w:val="single" w:color="auto"/>
          <w:color w:val="auto"/>
        </w:rPr>
        <w:t>Section 5.1(a)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Indebtedness (1) is unsecured, (2) matures after, and does not require any scheduled amortization or other scheduled payments of principal (other than nominal amortization not to exceed 1% per annum of the original outstanding principal amount of such Indebtedness) prior to, the date that is 181 days after the Maturity Date (or in the case of any Permitted Convertible Indebtedness, a final maturity date that is after the Maturity Date) (it being understood that any customary required repurchase or redemption at the option of the holder upon a fundamental change (or equivalent term thereunder), asset sale or casualty event in accordance with the terms of such Indebtedness shall not be considered “scheduled” for purposes of this Agreement) and (3) is not incurred or guaranteed by any Subsidiary that is not a Loan Party;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each case, (x) both immediately prior to and after giving effect to the incurrence of such Indebtedness, no Default or Event of Default shall exist or result there from and (y) Holdings delivers a certificate of a Responsible Officer to the Administrative Agent demonstrating compliance with the terms of this </w:t>
      </w:r>
      <w:r>
        <w:rPr>
          <w:rFonts w:ascii="Arial" w:cs="Arial" w:eastAsia="Arial" w:hAnsi="Arial"/>
          <w:sz w:val="19"/>
          <w:szCs w:val="19"/>
          <w:u w:val="single" w:color="auto"/>
          <w:color w:val="auto"/>
        </w:rPr>
        <w:t>Section 6.1(c)</w:t>
      </w:r>
      <w:r>
        <w:rPr>
          <w:rFonts w:ascii="Arial" w:cs="Arial" w:eastAsia="Arial" w:hAnsi="Arial"/>
          <w:sz w:val="19"/>
          <w:szCs w:val="19"/>
          <w:color w:val="auto"/>
        </w:rPr>
        <w:t xml:space="preserve"> and (y) any Permitted Refinancing Indebtedness in respect thereof;</w:t>
      </w:r>
    </w:p>
    <w:p>
      <w:pPr>
        <w:spacing w:after="0" w:line="389" w:lineRule="exact"/>
        <w:rPr>
          <w:rFonts w:ascii="Arial" w:cs="Arial" w:eastAsia="Arial" w:hAnsi="Arial"/>
          <w:sz w:val="19"/>
          <w:szCs w:val="19"/>
          <w:color w:val="auto"/>
        </w:rPr>
      </w:pPr>
    </w:p>
    <w:p>
      <w:pPr>
        <w:jc w:val="both"/>
        <w:ind w:left="-1040" w:firstLine="1305"/>
        <w:spacing w:after="0" w:line="216" w:lineRule="auto"/>
        <w:tabs>
          <w:tab w:leader="none" w:pos="76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 xml:space="preserve">Indebtedness of any Restricted Subsidiary to any Borrower or to any other Restricted Subsidiary, or of any Borrower to any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all such Indebtedness owing by a Loan Party to any Restricted Subsidiary that is not a Guarantor shall be unsecured and subordinated in right of payment to the payment in full of the Obligations and (ii) any such Indebtedness of any Restricted Subsidiary that is not a Guarantor owing to any Loan Party shall be subject to the limitations set forth in </w:t>
      </w:r>
      <w:r>
        <w:rPr>
          <w:rFonts w:ascii="Arial" w:cs="Arial" w:eastAsia="Arial" w:hAnsi="Arial"/>
          <w:sz w:val="22"/>
          <w:szCs w:val="22"/>
          <w:u w:val="single" w:color="auto"/>
          <w:color w:val="auto"/>
        </w:rPr>
        <w:t>Section 6.7(d)</w:t>
      </w:r>
      <w:r>
        <w:rPr>
          <w:rFonts w:ascii="Arial" w:cs="Arial" w:eastAsia="Arial" w:hAnsi="Arial"/>
          <w:sz w:val="22"/>
          <w:szCs w:val="22"/>
          <w:color w:val="auto"/>
        </w:rPr>
        <w:t>;</w:t>
      </w:r>
    </w:p>
    <w:p>
      <w:pPr>
        <w:spacing w:after="0" w:line="157" w:lineRule="exact"/>
        <w:rPr>
          <w:rFonts w:ascii="Arial" w:cs="Arial" w:eastAsia="Arial" w:hAnsi="Arial"/>
          <w:sz w:val="22"/>
          <w:szCs w:val="22"/>
          <w:color w:val="auto"/>
        </w:rPr>
      </w:pPr>
    </w:p>
    <w:p>
      <w:pPr>
        <w:jc w:val="both"/>
        <w:ind w:left="-1040" w:firstLine="1305"/>
        <w:spacing w:after="0" w:line="216" w:lineRule="auto"/>
        <w:tabs>
          <w:tab w:leader="none" w:pos="76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 xml:space="preserve">Indebtedness which may be deemed to exist pursuant to any Guarantees, performance, statutory or similar obligations (including in connection with workers’ compensation) or obligations in respect of letters of credit, surety bonds, bank guarantees or similar instruments related thereto incurred in the ordinary course of business, or pursuant to any appeal obligation, appeal bond or letter of credit in respect of judgments that do not constitute an Event of Default under clause (k) of </w:t>
      </w:r>
      <w:r>
        <w:rPr>
          <w:rFonts w:ascii="Arial" w:cs="Arial" w:eastAsia="Arial" w:hAnsi="Arial"/>
          <w:sz w:val="22"/>
          <w:szCs w:val="22"/>
          <w:u w:val="single" w:color="auto"/>
          <w:color w:val="auto"/>
        </w:rPr>
        <w:t>Article VIII</w:t>
      </w:r>
      <w:r>
        <w:rPr>
          <w:rFonts w:ascii="Arial" w:cs="Arial" w:eastAsia="Arial" w:hAnsi="Arial"/>
          <w:sz w:val="22"/>
          <w:szCs w:val="22"/>
          <w:color w:val="auto"/>
        </w:rPr>
        <w:t>;</w:t>
      </w:r>
    </w:p>
    <w:p>
      <w:pPr>
        <w:spacing w:after="0" w:line="157" w:lineRule="exact"/>
        <w:rPr>
          <w:rFonts w:ascii="Arial" w:cs="Arial" w:eastAsia="Arial" w:hAnsi="Arial"/>
          <w:sz w:val="22"/>
          <w:szCs w:val="22"/>
          <w:color w:val="auto"/>
        </w:rPr>
      </w:pPr>
    </w:p>
    <w:p>
      <w:pPr>
        <w:ind w:left="-1040" w:firstLine="1305"/>
        <w:spacing w:after="0" w:line="298" w:lineRule="auto"/>
        <w:tabs>
          <w:tab w:leader="none" w:pos="779" w:val="left"/>
        </w:tabs>
        <w:numPr>
          <w:ilvl w:val="0"/>
          <w:numId w:val="153"/>
        </w:numPr>
        <w:rPr>
          <w:rFonts w:ascii="Arial" w:cs="Arial" w:eastAsia="Arial" w:hAnsi="Arial"/>
          <w:sz w:val="19"/>
          <w:szCs w:val="19"/>
          <w:color w:val="auto"/>
        </w:rPr>
      </w:pPr>
      <w:r>
        <w:rPr>
          <w:rFonts w:ascii="Arial" w:cs="Arial" w:eastAsia="Arial" w:hAnsi="Arial"/>
          <w:sz w:val="19"/>
          <w:szCs w:val="19"/>
          <w:color w:val="auto"/>
        </w:rPr>
        <w:t>Indebtedness incurred in connection with Cash Management Services in the ordinary course of business, including treasury, overnight and daylight overdraft facilities, depository, credit or debit card or purchase cards;</w:t>
      </w:r>
    </w:p>
    <w:p>
      <w:pPr>
        <w:sectPr>
          <w:pgSz w:w="11900" w:h="16838" w:orient="portrait"/>
          <w:cols w:equalWidth="0" w:num="1">
            <w:col w:w="10120"/>
          </w:cols>
          <w:pgMar w:left="1440" w:top="1401" w:right="339" w:bottom="1440" w:gutter="0" w:footer="0" w:header="0"/>
        </w:sectPr>
      </w:pPr>
    </w:p>
    <w:bookmarkStart w:id="147" w:name="page148"/>
    <w:bookmarkEnd w:id="147"/>
    <w:p>
      <w:pPr>
        <w:jc w:val="both"/>
        <w:ind w:left="-9" w:firstLine="1305"/>
        <w:spacing w:after="0" w:line="224" w:lineRule="auto"/>
        <w:tabs>
          <w:tab w:leader="none" w:pos="1884" w:val="left"/>
        </w:tabs>
        <w:numPr>
          <w:ilvl w:val="1"/>
          <w:numId w:val="154"/>
        </w:numPr>
        <w:rPr>
          <w:rFonts w:ascii="Arial" w:cs="Arial" w:eastAsia="Arial" w:hAnsi="Arial"/>
          <w:sz w:val="21"/>
          <w:szCs w:val="21"/>
          <w:color w:val="auto"/>
        </w:rPr>
      </w:pPr>
      <w:r>
        <w:rPr>
          <w:rFonts w:ascii="Arial" w:cs="Arial" w:eastAsia="Arial" w:hAnsi="Arial"/>
          <w:sz w:val="21"/>
          <w:szCs w:val="21"/>
          <w:color w:val="auto"/>
        </w:rPr>
        <w:t xml:space="preserve">Guarantees by any Borrower of Indebtedness of a Restricted Subsidiary or Guarantees by a Restricted Subsidiary of Indebtedness of any Borrower or another Restricted Subsidiary with respect, in each case, to Indebtedness otherwise permitted to be incurred pursuant to this </w:t>
      </w:r>
      <w:r>
        <w:rPr>
          <w:rFonts w:ascii="Arial" w:cs="Arial" w:eastAsia="Arial" w:hAnsi="Arial"/>
          <w:sz w:val="21"/>
          <w:szCs w:val="21"/>
          <w:u w:val="single" w:color="auto"/>
          <w:color w:val="auto"/>
        </w:rPr>
        <w:t>Section 6.1</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if the Indebtedness that is being guarantied is unsecured and/or subordinated to the Obligations, the Guarantee shall also be unsecured and/or subordinated to the Obligations and (ii) in the case of Guarantees by a Loan Party of the obligations of a Restricted Subsidiary that is not a Guarantor, such Guarantees shall be permitted by </w:t>
      </w:r>
      <w:r>
        <w:rPr>
          <w:rFonts w:ascii="Arial" w:cs="Arial" w:eastAsia="Arial" w:hAnsi="Arial"/>
          <w:sz w:val="21"/>
          <w:szCs w:val="21"/>
          <w:u w:val="single" w:color="auto"/>
          <w:color w:val="auto"/>
        </w:rPr>
        <w:t>Section 6.7(d)</w:t>
      </w:r>
      <w:r>
        <w:rPr>
          <w:rFonts w:ascii="Arial" w:cs="Arial" w:eastAsia="Arial" w:hAnsi="Arial"/>
          <w:sz w:val="21"/>
          <w:szCs w:val="21"/>
          <w:color w:val="auto"/>
        </w:rPr>
        <w:t>;</w:t>
      </w:r>
    </w:p>
    <w:p>
      <w:pPr>
        <w:spacing w:after="0" w:line="159" w:lineRule="exact"/>
        <w:rPr>
          <w:rFonts w:ascii="Arial" w:cs="Arial" w:eastAsia="Arial" w:hAnsi="Arial"/>
          <w:sz w:val="21"/>
          <w:szCs w:val="21"/>
          <w:color w:val="auto"/>
        </w:rPr>
      </w:pPr>
    </w:p>
    <w:p>
      <w:pPr>
        <w:ind w:left="-9" w:firstLine="1305"/>
        <w:spacing w:after="0" w:line="232" w:lineRule="auto"/>
        <w:tabs>
          <w:tab w:leader="none" w:pos="1913" w:val="left"/>
        </w:tabs>
        <w:numPr>
          <w:ilvl w:val="1"/>
          <w:numId w:val="154"/>
        </w:numPr>
        <w:rPr>
          <w:rFonts w:ascii="Arial" w:cs="Arial" w:eastAsia="Arial" w:hAnsi="Arial"/>
          <w:sz w:val="22"/>
          <w:szCs w:val="22"/>
          <w:color w:val="auto"/>
        </w:rPr>
      </w:pPr>
      <w:r>
        <w:rPr>
          <w:rFonts w:ascii="Arial" w:cs="Arial" w:eastAsia="Arial" w:hAnsi="Arial"/>
          <w:sz w:val="22"/>
          <w:szCs w:val="22"/>
          <w:color w:val="auto"/>
        </w:rPr>
        <w:t xml:space="preserve">(x) Indebtedness existing on the Effective Date and described in </w:t>
      </w:r>
      <w:r>
        <w:rPr>
          <w:rFonts w:ascii="Arial" w:cs="Arial" w:eastAsia="Arial" w:hAnsi="Arial"/>
          <w:sz w:val="22"/>
          <w:szCs w:val="22"/>
          <w:u w:val="single" w:color="auto"/>
          <w:color w:val="auto"/>
        </w:rPr>
        <w:t>Schedule 6.1</w:t>
      </w:r>
      <w:r>
        <w:rPr>
          <w:rFonts w:ascii="Arial" w:cs="Arial" w:eastAsia="Arial" w:hAnsi="Arial"/>
          <w:sz w:val="22"/>
          <w:szCs w:val="22"/>
          <w:color w:val="auto"/>
        </w:rPr>
        <w:t xml:space="preserve"> and (y) any Permitted Refinancing Indebtedness in respect thereof;</w:t>
      </w:r>
    </w:p>
    <w:p>
      <w:pPr>
        <w:spacing w:after="0" w:line="158" w:lineRule="exact"/>
        <w:rPr>
          <w:rFonts w:ascii="Arial" w:cs="Arial" w:eastAsia="Arial" w:hAnsi="Arial"/>
          <w:sz w:val="22"/>
          <w:szCs w:val="22"/>
          <w:color w:val="auto"/>
        </w:rPr>
      </w:pPr>
    </w:p>
    <w:p>
      <w:pPr>
        <w:jc w:val="both"/>
        <w:ind w:left="-9" w:firstLine="1305"/>
        <w:spacing w:after="0" w:line="218" w:lineRule="auto"/>
        <w:tabs>
          <w:tab w:leader="none" w:pos="1739" w:val="left"/>
        </w:tabs>
        <w:numPr>
          <w:ilvl w:val="1"/>
          <w:numId w:val="154"/>
        </w:numPr>
        <w:rPr>
          <w:rFonts w:ascii="Arial" w:cs="Arial" w:eastAsia="Arial" w:hAnsi="Arial"/>
          <w:sz w:val="22"/>
          <w:szCs w:val="22"/>
          <w:color w:val="auto"/>
        </w:rPr>
      </w:pPr>
      <w:r>
        <w:rPr>
          <w:rFonts w:ascii="Arial" w:cs="Arial" w:eastAsia="Arial" w:hAnsi="Arial"/>
          <w:sz w:val="22"/>
          <w:szCs w:val="22"/>
          <w:color w:val="auto"/>
        </w:rPr>
        <w:t>Swap Agreements entered into in order to effectively cap, collar or exchange interest rates (from floating to fixed rates, from one floating rate to another floating rate or otherwise) with respect to any interest-bearing liability or investment of any Borrower or any Restricted Subsidiary, or to hedge currency exposure or to hedge energy costs or exposure, which, in any case, are not entered into for speculative purposes;</w:t>
      </w:r>
    </w:p>
    <w:p>
      <w:pPr>
        <w:spacing w:after="0" w:line="160" w:lineRule="exact"/>
        <w:rPr>
          <w:rFonts w:ascii="Arial" w:cs="Arial" w:eastAsia="Arial" w:hAnsi="Arial"/>
          <w:sz w:val="22"/>
          <w:szCs w:val="22"/>
          <w:color w:val="auto"/>
        </w:rPr>
      </w:pPr>
    </w:p>
    <w:p>
      <w:pPr>
        <w:jc w:val="both"/>
        <w:ind w:left="-9" w:firstLine="1305"/>
        <w:spacing w:after="0" w:line="211" w:lineRule="auto"/>
        <w:tabs>
          <w:tab w:leader="none" w:pos="1802" w:val="left"/>
        </w:tabs>
        <w:numPr>
          <w:ilvl w:val="1"/>
          <w:numId w:val="154"/>
        </w:numPr>
        <w:rPr>
          <w:rFonts w:ascii="Arial" w:cs="Arial" w:eastAsia="Arial" w:hAnsi="Arial"/>
          <w:sz w:val="22"/>
          <w:szCs w:val="22"/>
          <w:color w:val="auto"/>
        </w:rPr>
      </w:pPr>
      <w:r>
        <w:rPr>
          <w:rFonts w:ascii="Arial" w:cs="Arial" w:eastAsia="Arial" w:hAnsi="Arial"/>
          <w:sz w:val="22"/>
          <w:szCs w:val="22"/>
          <w:color w:val="auto"/>
        </w:rPr>
        <w:t xml:space="preserve">(x) Indebtedness of a Person (other than a Borrower or a Subsidiary) existing at the time such Person is merged with or into a Subsidiary of Holdings or becomes a Subsidiary of Holdings;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such Indebtedness was not, in any case, incurred by such other Person in connection with, or in contemplation of, such merger or acquisition, (ii) such merger or acquisition constitutes a Permitted Acquisition, (iii) with respect to any such Person who becomes a Subsidiary, (A) such Subsidiary is the only obligor in respect of such Indebtedness, and (B) to the extent such Indebtedness is permitted to be secured hereunder, only the assets of such Subsidiary secure such Indebtedness, and (iv) the aggregate principal amount of such Indebtedness shall not exceed $100,000,000 at any time outstanding and (y) any Permitted Refinancing Indebtedness in respect thereof;</w:t>
      </w:r>
    </w:p>
    <w:p>
      <w:pPr>
        <w:spacing w:after="0" w:line="164" w:lineRule="exact"/>
        <w:rPr>
          <w:rFonts w:ascii="Arial" w:cs="Arial" w:eastAsia="Arial" w:hAnsi="Arial"/>
          <w:sz w:val="22"/>
          <w:szCs w:val="22"/>
          <w:color w:val="auto"/>
        </w:rPr>
      </w:pPr>
    </w:p>
    <w:p>
      <w:pPr>
        <w:ind w:left="-9" w:firstLine="1305"/>
        <w:spacing w:after="0" w:line="298" w:lineRule="auto"/>
        <w:tabs>
          <w:tab w:leader="none" w:pos="1782" w:val="left"/>
        </w:tabs>
        <w:numPr>
          <w:ilvl w:val="1"/>
          <w:numId w:val="154"/>
        </w:numPr>
        <w:rPr>
          <w:rFonts w:ascii="Arial" w:cs="Arial" w:eastAsia="Arial" w:hAnsi="Arial"/>
          <w:sz w:val="19"/>
          <w:szCs w:val="19"/>
          <w:color w:val="auto"/>
        </w:rPr>
      </w:pPr>
      <w:r>
        <w:rPr>
          <w:rFonts w:ascii="Arial" w:cs="Arial" w:eastAsia="Arial" w:hAnsi="Arial"/>
          <w:sz w:val="19"/>
          <w:szCs w:val="19"/>
          <w:color w:val="auto"/>
        </w:rPr>
        <w:t>letters of credit (other than Letters of Credit hereunder), bank guarantees or other similar arrangements that are issued to secure obligations under leases, or are otherwise issued in the ordinary course of business;</w:t>
      </w:r>
    </w:p>
    <w:p>
      <w:pPr>
        <w:spacing w:after="0" w:line="105" w:lineRule="exact"/>
        <w:rPr>
          <w:rFonts w:ascii="Arial" w:cs="Arial" w:eastAsia="Arial" w:hAnsi="Arial"/>
          <w:sz w:val="19"/>
          <w:szCs w:val="19"/>
          <w:color w:val="auto"/>
        </w:rPr>
      </w:pPr>
    </w:p>
    <w:p>
      <w:pPr>
        <w:jc w:val="both"/>
        <w:ind w:left="-9" w:firstLine="1305"/>
        <w:spacing w:after="0" w:line="243" w:lineRule="auto"/>
        <w:tabs>
          <w:tab w:leader="none" w:pos="1766" w:val="left"/>
        </w:tabs>
        <w:numPr>
          <w:ilvl w:val="1"/>
          <w:numId w:val="154"/>
        </w:numPr>
        <w:rPr>
          <w:rFonts w:ascii="Arial" w:cs="Arial" w:eastAsia="Arial" w:hAnsi="Arial"/>
          <w:sz w:val="19"/>
          <w:szCs w:val="19"/>
          <w:color w:val="auto"/>
        </w:rPr>
      </w:pPr>
      <w:r>
        <w:rPr>
          <w:rFonts w:ascii="Arial" w:cs="Arial" w:eastAsia="Arial" w:hAnsi="Arial"/>
          <w:sz w:val="19"/>
          <w:szCs w:val="19"/>
          <w:color w:val="auto"/>
        </w:rPr>
        <w:t xml:space="preserve">(x) Indebtedness incurred in connection with any Post Funding Line of Credit not to exceed the greater of $50,000,000 and 15% of Consolidated Total Assets as of the last day of the most recently ended fiscal quarter for which financial statements have been or are required to be delivered pursuant to </w:t>
      </w:r>
      <w:r>
        <w:rPr>
          <w:rFonts w:ascii="Arial" w:cs="Arial" w:eastAsia="Arial" w:hAnsi="Arial"/>
          <w:sz w:val="19"/>
          <w:szCs w:val="19"/>
          <w:u w:val="single" w:color="auto"/>
          <w:color w:val="auto"/>
        </w:rPr>
        <w:t>Section 5.1(a)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at any one time outstanding and</w:t>
      </w:r>
    </w:p>
    <w:p>
      <w:pPr>
        <w:spacing w:after="0" w:line="2" w:lineRule="exact"/>
        <w:rPr>
          <w:rFonts w:ascii="Arial" w:cs="Arial" w:eastAsia="Arial" w:hAnsi="Arial"/>
          <w:sz w:val="19"/>
          <w:szCs w:val="19"/>
          <w:color w:val="auto"/>
        </w:rPr>
      </w:pPr>
    </w:p>
    <w:p>
      <w:pPr>
        <w:ind w:left="311" w:hanging="311"/>
        <w:spacing w:after="0"/>
        <w:tabs>
          <w:tab w:leader="none" w:pos="311" w:val="left"/>
        </w:tabs>
        <w:numPr>
          <w:ilvl w:val="0"/>
          <w:numId w:val="155"/>
        </w:numPr>
        <w:rPr>
          <w:rFonts w:ascii="Arial" w:cs="Arial" w:eastAsia="Arial" w:hAnsi="Arial"/>
          <w:sz w:val="22"/>
          <w:szCs w:val="22"/>
          <w:color w:val="auto"/>
        </w:rPr>
      </w:pPr>
      <w:r>
        <w:rPr>
          <w:rFonts w:ascii="Arial" w:cs="Arial" w:eastAsia="Arial" w:hAnsi="Arial"/>
          <w:sz w:val="22"/>
          <w:szCs w:val="22"/>
          <w:color w:val="auto"/>
        </w:rPr>
        <w:t>any Permitted Refinancing Indebtedness in respect thereof;</w:t>
      </w:r>
    </w:p>
    <w:p>
      <w:pPr>
        <w:spacing w:after="0" w:line="161" w:lineRule="exact"/>
        <w:rPr>
          <w:rFonts w:ascii="Arial" w:cs="Arial" w:eastAsia="Arial" w:hAnsi="Arial"/>
          <w:sz w:val="22"/>
          <w:szCs w:val="22"/>
          <w:color w:val="auto"/>
        </w:rPr>
      </w:pPr>
    </w:p>
    <w:p>
      <w:pPr>
        <w:ind w:left="-9" w:firstLine="1305"/>
        <w:spacing w:after="0" w:line="232" w:lineRule="auto"/>
        <w:tabs>
          <w:tab w:leader="none" w:pos="1832" w:val="left"/>
        </w:tabs>
        <w:numPr>
          <w:ilvl w:val="1"/>
          <w:numId w:val="155"/>
        </w:numPr>
        <w:rPr>
          <w:rFonts w:ascii="Arial" w:cs="Arial" w:eastAsia="Arial" w:hAnsi="Arial"/>
          <w:sz w:val="22"/>
          <w:szCs w:val="22"/>
          <w:color w:val="auto"/>
        </w:rPr>
      </w:pPr>
      <w:r>
        <w:rPr>
          <w:rFonts w:ascii="Arial" w:cs="Arial" w:eastAsia="Arial" w:hAnsi="Arial"/>
          <w:sz w:val="22"/>
          <w:szCs w:val="22"/>
          <w:color w:val="auto"/>
        </w:rPr>
        <w:t>Indebtedness of any Foreign Subsidiary in an aggregate principal amount not to exceed $15,000,000 at any one time outstanding;</w:t>
      </w:r>
    </w:p>
    <w:p>
      <w:pPr>
        <w:spacing w:after="0" w:line="158" w:lineRule="exact"/>
        <w:rPr>
          <w:rFonts w:ascii="Arial" w:cs="Arial" w:eastAsia="Arial" w:hAnsi="Arial"/>
          <w:sz w:val="22"/>
          <w:szCs w:val="22"/>
          <w:color w:val="auto"/>
        </w:rPr>
      </w:pPr>
    </w:p>
    <w:p>
      <w:pPr>
        <w:jc w:val="both"/>
        <w:ind w:left="-9" w:firstLine="1305"/>
        <w:spacing w:after="0" w:line="268" w:lineRule="auto"/>
        <w:tabs>
          <w:tab w:leader="none" w:pos="1838" w:val="left"/>
        </w:tabs>
        <w:numPr>
          <w:ilvl w:val="1"/>
          <w:numId w:val="155"/>
        </w:numPr>
        <w:rPr>
          <w:rFonts w:ascii="Arial" w:cs="Arial" w:eastAsia="Arial" w:hAnsi="Arial"/>
          <w:sz w:val="19"/>
          <w:szCs w:val="19"/>
          <w:color w:val="auto"/>
        </w:rPr>
      </w:pPr>
      <w:r>
        <w:rPr>
          <w:rFonts w:ascii="Arial" w:cs="Arial" w:eastAsia="Arial" w:hAnsi="Arial"/>
          <w:sz w:val="19"/>
          <w:szCs w:val="19"/>
          <w:color w:val="auto"/>
        </w:rPr>
        <w:t>Indebtedness in respect of bid, performance, surety bonds or completion bonds issued for the account of Holdings or any Restricted Subsidiary in the ordinary course of business, including guarantees or obligations of Holdings or any Restricted Subsidiary with respect to letters of credit supporting such bid, performance, surety or completion obligations;</w:t>
      </w:r>
    </w:p>
    <w:p>
      <w:pPr>
        <w:spacing w:after="0" w:line="132" w:lineRule="exact"/>
        <w:rPr>
          <w:rFonts w:ascii="Arial" w:cs="Arial" w:eastAsia="Arial" w:hAnsi="Arial"/>
          <w:sz w:val="19"/>
          <w:szCs w:val="19"/>
          <w:color w:val="auto"/>
        </w:rPr>
      </w:pPr>
    </w:p>
    <w:p>
      <w:pPr>
        <w:ind w:left="-9" w:firstLine="1305"/>
        <w:spacing w:after="0" w:line="232" w:lineRule="auto"/>
        <w:tabs>
          <w:tab w:leader="none" w:pos="1807" w:val="left"/>
        </w:tabs>
        <w:numPr>
          <w:ilvl w:val="1"/>
          <w:numId w:val="155"/>
        </w:numPr>
        <w:rPr>
          <w:rFonts w:ascii="Arial" w:cs="Arial" w:eastAsia="Arial" w:hAnsi="Arial"/>
          <w:sz w:val="22"/>
          <w:szCs w:val="22"/>
          <w:color w:val="auto"/>
        </w:rPr>
      </w:pPr>
      <w:r>
        <w:rPr>
          <w:rFonts w:ascii="Arial" w:cs="Arial" w:eastAsia="Arial" w:hAnsi="Arial"/>
          <w:sz w:val="22"/>
          <w:szCs w:val="22"/>
          <w:color w:val="auto"/>
        </w:rPr>
        <w:t>Indebtedness representing deferred compensation of Holdings or any Restricted Subsidiary incurred in the ordinary course of business;</w:t>
      </w:r>
    </w:p>
    <w:p>
      <w:pPr>
        <w:spacing w:after="0" w:line="158" w:lineRule="exact"/>
        <w:rPr>
          <w:rFonts w:ascii="Arial" w:cs="Arial" w:eastAsia="Arial" w:hAnsi="Arial"/>
          <w:sz w:val="22"/>
          <w:szCs w:val="22"/>
          <w:color w:val="auto"/>
        </w:rPr>
      </w:pPr>
    </w:p>
    <w:p>
      <w:pPr>
        <w:jc w:val="both"/>
        <w:ind w:left="-9" w:firstLine="1305"/>
        <w:spacing w:after="0" w:line="223" w:lineRule="auto"/>
        <w:tabs>
          <w:tab w:leader="none" w:pos="1965" w:val="left"/>
        </w:tabs>
        <w:numPr>
          <w:ilvl w:val="1"/>
          <w:numId w:val="155"/>
        </w:numPr>
        <w:rPr>
          <w:rFonts w:ascii="Arial" w:cs="Arial" w:eastAsia="Arial" w:hAnsi="Arial"/>
          <w:sz w:val="22"/>
          <w:szCs w:val="22"/>
          <w:color w:val="auto"/>
        </w:rPr>
      </w:pPr>
      <w:r>
        <w:rPr>
          <w:rFonts w:ascii="Arial" w:cs="Arial" w:eastAsia="Arial" w:hAnsi="Arial"/>
          <w:sz w:val="22"/>
          <w:szCs w:val="22"/>
          <w:color w:val="auto"/>
        </w:rPr>
        <w:t>Indebtedness in the form of purchase price adjustments, earn-outs, deferred compensation, or other arrangements representing acquisition consideration or deferred payments of a similar nature incurred in connection with any Permitted Acquisition or other Investment permitted by Section 6.7;</w:t>
      </w:r>
    </w:p>
    <w:p>
      <w:pPr>
        <w:sectPr>
          <w:pgSz w:w="11900" w:h="16838" w:orient="portrait"/>
          <w:cols w:equalWidth="0" w:num="1">
            <w:col w:w="11151"/>
          </w:cols>
          <w:pgMar w:left="409" w:top="1401" w:right="339" w:bottom="1440" w:gutter="0" w:footer="0" w:header="0"/>
        </w:sectPr>
      </w:pPr>
    </w:p>
    <w:bookmarkStart w:id="148" w:name="page149"/>
    <w:bookmarkEnd w:id="148"/>
    <w:p>
      <w:pPr>
        <w:ind w:left="80" w:firstLine="1305"/>
        <w:spacing w:after="0" w:line="298" w:lineRule="auto"/>
        <w:tabs>
          <w:tab w:leader="none" w:pos="1875" w:val="left"/>
        </w:tabs>
        <w:numPr>
          <w:ilvl w:val="0"/>
          <w:numId w:val="156"/>
        </w:numPr>
        <w:rPr>
          <w:rFonts w:ascii="Arial" w:cs="Arial" w:eastAsia="Arial" w:hAnsi="Arial"/>
          <w:sz w:val="19"/>
          <w:szCs w:val="19"/>
          <w:color w:val="auto"/>
        </w:rPr>
      </w:pPr>
      <w:r>
        <w:rPr>
          <w:rFonts w:ascii="Arial" w:cs="Arial" w:eastAsia="Arial" w:hAnsi="Arial"/>
          <w:sz w:val="19"/>
          <w:szCs w:val="19"/>
          <w:color w:val="auto"/>
        </w:rPr>
        <w:t>Indebtedness supported by a letter of credit, bank guarantee or similar instrument permitted by this Section 6.1, in principal amount not in excess of the stated amount of such letter of credit, bank guarantee or similar instrument;</w:t>
      </w:r>
    </w:p>
    <w:p>
      <w:pPr>
        <w:spacing w:after="0" w:line="105" w:lineRule="exact"/>
        <w:rPr>
          <w:rFonts w:ascii="Arial" w:cs="Arial" w:eastAsia="Arial" w:hAnsi="Arial"/>
          <w:sz w:val="19"/>
          <w:szCs w:val="19"/>
          <w:color w:val="auto"/>
        </w:rPr>
      </w:pPr>
    </w:p>
    <w:p>
      <w:pPr>
        <w:ind w:left="1920" w:hanging="535"/>
        <w:spacing w:after="0"/>
        <w:tabs>
          <w:tab w:leader="none" w:pos="192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Indebtedness incurred as a result of endorsing negotiable instruments received in the ordinary course of</w:t>
      </w:r>
    </w:p>
    <w:p>
      <w:pPr>
        <w:spacing w:after="0" w:line="15" w:lineRule="exact"/>
        <w:rPr>
          <w:rFonts w:ascii="Arial" w:cs="Arial" w:eastAsia="Arial" w:hAnsi="Arial"/>
          <w:sz w:val="19"/>
          <w:szCs w:val="19"/>
          <w:color w:val="auto"/>
        </w:rPr>
      </w:pPr>
    </w:p>
    <w:p>
      <w:pPr>
        <w:ind w:left="80"/>
        <w:spacing w:after="0"/>
        <w:rPr>
          <w:rFonts w:ascii="Arial" w:cs="Arial" w:eastAsia="Arial" w:hAnsi="Arial"/>
          <w:sz w:val="19"/>
          <w:szCs w:val="19"/>
          <w:color w:val="auto"/>
        </w:rPr>
      </w:pPr>
      <w:r>
        <w:rPr>
          <w:rFonts w:ascii="Arial" w:cs="Arial" w:eastAsia="Arial" w:hAnsi="Arial"/>
          <w:sz w:val="22"/>
          <w:szCs w:val="22"/>
          <w:color w:val="auto"/>
        </w:rPr>
        <w:t>business;</w:t>
      </w:r>
    </w:p>
    <w:p>
      <w:pPr>
        <w:spacing w:after="0" w:line="161" w:lineRule="exact"/>
        <w:rPr>
          <w:rFonts w:ascii="Arial" w:cs="Arial" w:eastAsia="Arial" w:hAnsi="Arial"/>
          <w:sz w:val="19"/>
          <w:szCs w:val="19"/>
          <w:color w:val="auto"/>
        </w:rPr>
      </w:pPr>
    </w:p>
    <w:p>
      <w:pPr>
        <w:ind w:left="80" w:firstLine="1305"/>
        <w:spacing w:after="0" w:line="247" w:lineRule="auto"/>
        <w:tabs>
          <w:tab w:leader="none" w:pos="1950" w:val="left"/>
        </w:tabs>
        <w:numPr>
          <w:ilvl w:val="0"/>
          <w:numId w:val="156"/>
        </w:numPr>
        <w:rPr>
          <w:rFonts w:ascii="Arial" w:cs="Arial" w:eastAsia="Arial" w:hAnsi="Arial"/>
          <w:sz w:val="21"/>
          <w:szCs w:val="21"/>
          <w:color w:val="auto"/>
        </w:rPr>
      </w:pPr>
      <w:r>
        <w:rPr>
          <w:rFonts w:ascii="Arial" w:cs="Arial" w:eastAsia="Arial" w:hAnsi="Arial"/>
          <w:sz w:val="21"/>
          <w:szCs w:val="21"/>
          <w:color w:val="auto"/>
        </w:rPr>
        <w:t>any guarantee by Holdings or any of its Restricted Subsidiaries, in the ordinary course of business, of obligations of suppliers, customers, franchisees and licensees of Holdings or any of its Restricted Subsidiaries;</w:t>
      </w:r>
    </w:p>
    <w:p>
      <w:pPr>
        <w:spacing w:after="0" w:line="150" w:lineRule="exact"/>
        <w:rPr>
          <w:rFonts w:ascii="Arial" w:cs="Arial" w:eastAsia="Arial" w:hAnsi="Arial"/>
          <w:sz w:val="21"/>
          <w:szCs w:val="21"/>
          <w:color w:val="auto"/>
        </w:rPr>
      </w:pPr>
    </w:p>
    <w:p>
      <w:pPr>
        <w:ind w:left="1800" w:hanging="415"/>
        <w:spacing w:after="0"/>
        <w:tabs>
          <w:tab w:leader="none" w:pos="180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Indebtedness consisting of the financing of insurance premiums;</w:t>
      </w:r>
    </w:p>
    <w:p>
      <w:pPr>
        <w:spacing w:after="0" w:line="179" w:lineRule="exact"/>
        <w:rPr>
          <w:rFonts w:ascii="Arial" w:cs="Arial" w:eastAsia="Arial" w:hAnsi="Arial"/>
          <w:sz w:val="22"/>
          <w:szCs w:val="22"/>
          <w:color w:val="auto"/>
        </w:rPr>
      </w:pPr>
    </w:p>
    <w:p>
      <w:pPr>
        <w:jc w:val="both"/>
        <w:ind w:left="80" w:firstLine="1305"/>
        <w:spacing w:after="0" w:line="229" w:lineRule="auto"/>
        <w:tabs>
          <w:tab w:leader="none" w:pos="1965" w:val="left"/>
        </w:tabs>
        <w:numPr>
          <w:ilvl w:val="0"/>
          <w:numId w:val="156"/>
        </w:numPr>
        <w:rPr>
          <w:rFonts w:ascii="Arial" w:cs="Arial" w:eastAsia="Arial" w:hAnsi="Arial"/>
          <w:sz w:val="21"/>
          <w:szCs w:val="21"/>
          <w:color w:val="auto"/>
        </w:rPr>
      </w:pPr>
      <w:r>
        <w:rPr>
          <w:rFonts w:ascii="Arial" w:cs="Arial" w:eastAsia="Arial" w:hAnsi="Arial"/>
          <w:sz w:val="21"/>
          <w:szCs w:val="21"/>
          <w:color w:val="auto"/>
        </w:rPr>
        <w:t xml:space="preserve">(x) Other Permitted Debt in an aggregate principal amount not to exceed at the time of incurrence the Incremental Amount available at such time (which, for the avoidance of doubt, shall count as a usage of the Incremental Amount for purposes of </w:t>
      </w:r>
      <w:r>
        <w:rPr>
          <w:rFonts w:ascii="Arial" w:cs="Arial" w:eastAsia="Arial" w:hAnsi="Arial"/>
          <w:sz w:val="21"/>
          <w:szCs w:val="21"/>
          <w:u w:val="single" w:color="auto"/>
          <w:color w:val="auto"/>
        </w:rPr>
        <w:t>Section 2.19</w:t>
      </w:r>
      <w:r>
        <w:rPr>
          <w:rFonts w:ascii="Arial" w:cs="Arial" w:eastAsia="Arial" w:hAnsi="Arial"/>
          <w:sz w:val="21"/>
          <w:szCs w:val="21"/>
          <w:color w:val="auto"/>
        </w:rPr>
        <w:t>); provided that no Default or Event of Default shall have occurred and be continuing after giving effect thereto and (y) any Permitted Refinancing Indebtedness in respect thereof; and</w:t>
      </w:r>
    </w:p>
    <w:p>
      <w:pPr>
        <w:spacing w:after="0" w:line="158" w:lineRule="exact"/>
        <w:rPr>
          <w:rFonts w:ascii="Arial" w:cs="Arial" w:eastAsia="Arial" w:hAnsi="Arial"/>
          <w:sz w:val="21"/>
          <w:szCs w:val="21"/>
          <w:color w:val="auto"/>
        </w:rPr>
      </w:pPr>
    </w:p>
    <w:p>
      <w:pPr>
        <w:jc w:val="both"/>
        <w:ind w:left="80" w:firstLine="1305"/>
        <w:spacing w:after="0" w:line="229" w:lineRule="auto"/>
        <w:tabs>
          <w:tab w:leader="none" w:pos="1958" w:val="left"/>
        </w:tabs>
        <w:numPr>
          <w:ilvl w:val="0"/>
          <w:numId w:val="156"/>
        </w:numPr>
        <w:rPr>
          <w:rFonts w:ascii="Arial" w:cs="Arial" w:eastAsia="Arial" w:hAnsi="Arial"/>
          <w:sz w:val="21"/>
          <w:szCs w:val="21"/>
          <w:color w:val="auto"/>
        </w:rPr>
      </w:pPr>
      <w:r>
        <w:rPr>
          <w:rFonts w:ascii="Arial" w:cs="Arial" w:eastAsia="Arial" w:hAnsi="Arial"/>
          <w:sz w:val="21"/>
          <w:szCs w:val="21"/>
          <w:color w:val="auto"/>
        </w:rPr>
        <w:t xml:space="preserve">(x) other Indebtedness in an aggregate outstanding principal amount not to exceed (as of the date such Indebtedness is incurred) the greater of (i) $25,000,000 and (ii) 10% of Consolidated Adjusted EBITDA as of the last day of the most recently ended four fiscal quarter period for which financial statements have been or are required to be delivered pursuant to </w:t>
      </w:r>
      <w:r>
        <w:rPr>
          <w:rFonts w:ascii="Arial" w:cs="Arial" w:eastAsia="Arial" w:hAnsi="Arial"/>
          <w:sz w:val="21"/>
          <w:szCs w:val="21"/>
          <w:u w:val="single" w:color="auto"/>
          <w:color w:val="auto"/>
        </w:rPr>
        <w:t>Section 5.1(a)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and (y) any Permitted Refinancing Indebtedness in respect thereof.</w:t>
      </w:r>
    </w:p>
    <w:p>
      <w:pPr>
        <w:spacing w:after="0" w:line="158" w:lineRule="exact"/>
        <w:rPr>
          <w:sz w:val="20"/>
          <w:szCs w:val="20"/>
          <w:color w:val="auto"/>
        </w:rPr>
      </w:pPr>
    </w:p>
    <w:p>
      <w:pPr>
        <w:jc w:val="both"/>
        <w:ind w:left="80" w:firstLine="1215"/>
        <w:spacing w:after="0" w:line="243" w:lineRule="auto"/>
        <w:rPr>
          <w:sz w:val="20"/>
          <w:szCs w:val="20"/>
          <w:color w:val="auto"/>
        </w:rPr>
      </w:pPr>
      <w:r>
        <w:rPr>
          <w:rFonts w:ascii="Arial" w:cs="Arial" w:eastAsia="Arial" w:hAnsi="Arial"/>
          <w:sz w:val="19"/>
          <w:szCs w:val="19"/>
          <w:color w:val="auto"/>
        </w:rPr>
        <w:t>For purposes of determining compliance with this Section 6.1, (A) Indebtedness need not be permitted solely by reference to one category of permitted Indebtedness (or any portion thereof) described in Sections 6.01(a) through (v) but may be permitted in part under any relevant combination thereof (and subject to compliance, where relevant, with Section 6.2) and</w:t>
      </w:r>
    </w:p>
    <w:p>
      <w:pPr>
        <w:spacing w:after="0" w:line="2" w:lineRule="exact"/>
        <w:rPr>
          <w:sz w:val="20"/>
          <w:szCs w:val="20"/>
          <w:color w:val="auto"/>
        </w:rPr>
      </w:pPr>
    </w:p>
    <w:p>
      <w:pPr>
        <w:jc w:val="both"/>
        <w:ind w:left="80" w:firstLine="9"/>
        <w:spacing w:after="0" w:line="243" w:lineRule="auto"/>
        <w:tabs>
          <w:tab w:leader="none" w:pos="45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in the event that an item of Indebtedness (or any portion thereof) meets the criteria of one or more of the categories of permitted Indebtedness (or any portion thereof) described in Sections 6.01(a) through (v), Holdings may, in its sole discretion, classify or reclassify or divide such item of Indebtedness (or any portion thereof) in any manner that complies with this Section 6.1 and will be entitled to only include the amount and type of such item of Indebtedness (or any portion thereof) in one of the above clauses (or any portion thereof) and such item of Indebtedness (or any portion thereof) shall be treated as having been incurred or existing pursuant to only such clause or clauses (or any portion thereof); provided, that all Indebtedness outstanding under this Agreement shall at all times be deemed to have been incurred pursuant to clause (a) of this Section 6.1; provided, further, that all Indebtedness described in Schedule 6.1 shall be deemed outstanding under Section 6.1(h).</w:t>
      </w:r>
    </w:p>
    <w:p>
      <w:pPr>
        <w:spacing w:after="0" w:line="156" w:lineRule="exact"/>
        <w:rPr>
          <w:sz w:val="20"/>
          <w:szCs w:val="20"/>
          <w:color w:val="auto"/>
        </w:rPr>
      </w:pPr>
    </w:p>
    <w:p>
      <w:pPr>
        <w:ind w:firstLine="1296"/>
        <w:spacing w:after="0" w:line="232" w:lineRule="auto"/>
        <w:rPr>
          <w:sz w:val="20"/>
          <w:szCs w:val="20"/>
          <w:color w:val="auto"/>
        </w:rPr>
      </w:pPr>
      <w:r>
        <w:rPr>
          <w:rFonts w:ascii="Arial" w:cs="Arial" w:eastAsia="Arial" w:hAnsi="Arial"/>
          <w:sz w:val="22"/>
          <w:szCs w:val="22"/>
          <w:color w:val="auto"/>
        </w:rPr>
        <w:t xml:space="preserve">Section 6.2 </w:t>
      </w:r>
      <w:r>
        <w:rPr>
          <w:rFonts w:ascii="Arial" w:cs="Arial" w:eastAsia="Arial" w:hAnsi="Arial"/>
          <w:sz w:val="22"/>
          <w:szCs w:val="22"/>
          <w:u w:val="single" w:color="auto"/>
          <w:color w:val="auto"/>
        </w:rPr>
        <w:t>Liens</w:t>
      </w:r>
      <w:r>
        <w:rPr>
          <w:rFonts w:ascii="Arial" w:cs="Arial" w:eastAsia="Arial" w:hAnsi="Arial"/>
          <w:sz w:val="22"/>
          <w:szCs w:val="22"/>
          <w:color w:val="auto"/>
        </w:rPr>
        <w:t>. No Loan Party shall, and shall not permit any Restricted Subsidiary to, create, incur, assume or permit to exist any Lien on any property or asset now owned or hereafter acquired by it except:</w:t>
      </w:r>
    </w:p>
    <w:p>
      <w:pPr>
        <w:spacing w:after="0" w:line="159" w:lineRule="exact"/>
        <w:rPr>
          <w:sz w:val="20"/>
          <w:szCs w:val="20"/>
          <w:color w:val="auto"/>
        </w:rPr>
      </w:pPr>
    </w:p>
    <w:p>
      <w:pPr>
        <w:ind w:left="1840" w:hanging="455"/>
        <w:spacing w:after="0"/>
        <w:tabs>
          <w:tab w:leader="none" w:pos="184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Permitted Encumbrances;</w:t>
      </w:r>
    </w:p>
    <w:p>
      <w:pPr>
        <w:spacing w:after="0" w:line="179" w:lineRule="exact"/>
        <w:rPr>
          <w:rFonts w:ascii="Arial" w:cs="Arial" w:eastAsia="Arial" w:hAnsi="Arial"/>
          <w:sz w:val="22"/>
          <w:szCs w:val="22"/>
          <w:color w:val="auto"/>
        </w:rPr>
      </w:pPr>
    </w:p>
    <w:p>
      <w:pPr>
        <w:jc w:val="both"/>
        <w:ind w:left="80" w:firstLine="1305"/>
        <w:spacing w:after="0" w:line="214" w:lineRule="auto"/>
        <w:tabs>
          <w:tab w:leader="none" w:pos="1909" w:val="left"/>
        </w:tabs>
        <w:numPr>
          <w:ilvl w:val="0"/>
          <w:numId w:val="158"/>
        </w:numPr>
        <w:rPr>
          <w:rFonts w:ascii="Arial" w:cs="Arial" w:eastAsia="Arial" w:hAnsi="Arial"/>
          <w:sz w:val="22"/>
          <w:szCs w:val="22"/>
          <w:color w:val="auto"/>
        </w:rPr>
      </w:pPr>
      <w:r>
        <w:rPr>
          <w:rFonts w:ascii="Arial" w:cs="Arial" w:eastAsia="Arial" w:hAnsi="Arial"/>
          <w:sz w:val="22"/>
          <w:szCs w:val="22"/>
          <w:color w:val="auto"/>
        </w:rPr>
        <w:t xml:space="preserve">any Lien on any property or asset of any Borrower or any Restricted Subsidiary existing on the Effective Date, excluding any Material Real Estate Asset, and set forth in </w:t>
      </w:r>
      <w:r>
        <w:rPr>
          <w:rFonts w:ascii="Arial" w:cs="Arial" w:eastAsia="Arial" w:hAnsi="Arial"/>
          <w:sz w:val="22"/>
          <w:szCs w:val="22"/>
          <w:u w:val="single" w:color="auto"/>
          <w:color w:val="auto"/>
        </w:rPr>
        <w:t>Schedule 6.2</w:t>
      </w:r>
      <w:r>
        <w:rPr>
          <w:rFonts w:ascii="Arial" w:cs="Arial" w:eastAsia="Arial" w:hAnsi="Arial"/>
          <w:sz w:val="22"/>
          <w:szCs w:val="22"/>
          <w:color w:val="auto"/>
        </w:rPr>
        <w:t xml:space="preserve"> and any modifications, renewals and extensions thereof and any Lien granted as a replacement or substitute therefor;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such Lien shall not apply to any other property or asset of any Borrower or any Restricted Subsidiary other than improvements thereon or proceeds thereof and (ii) such Lien shall secure only those obligations which it secures on the Effective Date and any Permitted Refinancing Indebtedness in respect thereof;</w:t>
      </w:r>
    </w:p>
    <w:p>
      <w:pPr>
        <w:sectPr>
          <w:pgSz w:w="11900" w:h="16838" w:orient="portrait"/>
          <w:cols w:equalWidth="0" w:num="1">
            <w:col w:w="11240"/>
          </w:cols>
          <w:pgMar w:left="320" w:top="1401" w:right="339" w:bottom="1440" w:gutter="0" w:footer="0" w:header="0"/>
        </w:sectPr>
      </w:pPr>
    </w:p>
    <w:bookmarkStart w:id="149" w:name="page150"/>
    <w:bookmarkEnd w:id="149"/>
    <w:p>
      <w:pPr>
        <w:jc w:val="both"/>
        <w:ind w:left="-1040" w:firstLine="1305"/>
        <w:spacing w:after="0" w:line="242" w:lineRule="auto"/>
        <w:tabs>
          <w:tab w:leader="none" w:pos="719"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any Lien existing on any property or asset prior to the acquisition thereof by any Borrower or any Restricted Subsidiary, existing on any property or asset of any Person that becomes a Restricted Subsidiary (other than pursuant to a redesignation or deemed redesignation of an Unrestricted Subsidiary as a Restricted Subsidiary as provided in </w:t>
      </w:r>
      <w:r>
        <w:rPr>
          <w:rFonts w:ascii="Arial" w:cs="Arial" w:eastAsia="Arial" w:hAnsi="Arial"/>
          <w:sz w:val="19"/>
          <w:szCs w:val="19"/>
          <w:u w:val="single" w:color="auto"/>
          <w:color w:val="auto"/>
        </w:rPr>
        <w:t>Section 5.12</w:t>
      </w:r>
      <w:r>
        <w:rPr>
          <w:rFonts w:ascii="Arial" w:cs="Arial" w:eastAsia="Arial" w:hAnsi="Arial"/>
          <w:sz w:val="19"/>
          <w:szCs w:val="19"/>
          <w:color w:val="auto"/>
        </w:rPr>
        <w:t xml:space="preserve">) after the Effective Date prior to the time such Person becomes a Restricted Subsidiary or securing any Indebtedness incurred pursuant to Section 6.1(j);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 is not created in contemplation of or in connection with such acquisition or such Person becoming a Restricted Subsidiary, as the case may be, (ii) such Lien shall not apply to any other property or assets of any Borrower or any Restricted Subsidiary (other than accessions thereto and proceeds thereof so acquired or any after-acquired property of such person becoming a Restricted Subsidiary (but not of any Borrower or any other Loan Party, including any Loan Party into which such acquired entity is merged) required to be subjected to such Lien pursuant to the terms of such Indebtedness (and refinancings thereof)) and (iii) such Lien shall secure only those obligations which it secures on the date of such acquisition or the date such Person becomes a Restricted Subsidiary, as the case may be, and any Permitted Refinancing Indebtedness in respect thereof;</w:t>
      </w:r>
    </w:p>
    <w:p>
      <w:pPr>
        <w:spacing w:after="0" w:line="384" w:lineRule="exact"/>
        <w:rPr>
          <w:rFonts w:ascii="Arial" w:cs="Arial" w:eastAsia="Arial" w:hAnsi="Arial"/>
          <w:sz w:val="19"/>
          <w:szCs w:val="19"/>
          <w:color w:val="auto"/>
        </w:rPr>
      </w:pPr>
    </w:p>
    <w:p>
      <w:pPr>
        <w:jc w:val="both"/>
        <w:ind w:left="-1040" w:firstLine="1305"/>
        <w:spacing w:after="0" w:line="221" w:lineRule="auto"/>
        <w:tabs>
          <w:tab w:leader="none" w:pos="862" w:val="left"/>
        </w:tabs>
        <w:numPr>
          <w:ilvl w:val="0"/>
          <w:numId w:val="159"/>
        </w:numPr>
        <w:rPr>
          <w:rFonts w:ascii="Arial" w:cs="Arial" w:eastAsia="Arial" w:hAnsi="Arial"/>
          <w:sz w:val="21"/>
          <w:szCs w:val="21"/>
          <w:color w:val="auto"/>
        </w:rPr>
      </w:pPr>
      <w:r>
        <w:rPr>
          <w:rFonts w:ascii="Arial" w:cs="Arial" w:eastAsia="Arial" w:hAnsi="Arial"/>
          <w:sz w:val="21"/>
          <w:szCs w:val="21"/>
          <w:color w:val="auto"/>
        </w:rPr>
        <w:t xml:space="preserve">Liens on fixed or capital assets acquired, constructed or improved by any Borrower or any Restricted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such Liens secure Indebtedness that is permitted by </w:t>
      </w:r>
      <w:r>
        <w:rPr>
          <w:rFonts w:ascii="Arial" w:cs="Arial" w:eastAsia="Arial" w:hAnsi="Arial"/>
          <w:sz w:val="21"/>
          <w:szCs w:val="21"/>
          <w:u w:val="single" w:color="auto"/>
          <w:color w:val="auto"/>
        </w:rPr>
        <w:t>Section 6.1(b)</w:t>
      </w:r>
      <w:r>
        <w:rPr>
          <w:rFonts w:ascii="Arial" w:cs="Arial" w:eastAsia="Arial" w:hAnsi="Arial"/>
          <w:sz w:val="21"/>
          <w:szCs w:val="21"/>
          <w:color w:val="auto"/>
        </w:rPr>
        <w:t>, (ii) such Liens and the Indebtedness secured thereby are initially incurred prior to or within 180 days after the acquisition or the completion of the construction or improvement of such fixed or capital assets, (iii) the Indebtedness secured thereby does not exceed 100% of the cost of acquiring, constructing or improving such fixed or capital assets and customary related expenses, and (iv) such Liens shall not apply to any other property or assets of any Borrower or any Restricted Subsidiary other than additions, accessions, parts, attachments or improvements on or proceeds of such fixed or capital assets; provided that clause (ii) shall not apply to any refinancing, extension, renewal or replacement thereof;</w:t>
      </w:r>
    </w:p>
    <w:p>
      <w:pPr>
        <w:spacing w:after="0" w:line="165" w:lineRule="exact"/>
        <w:rPr>
          <w:rFonts w:ascii="Arial" w:cs="Arial" w:eastAsia="Arial" w:hAnsi="Arial"/>
          <w:sz w:val="21"/>
          <w:szCs w:val="21"/>
          <w:color w:val="auto"/>
        </w:rPr>
      </w:pPr>
    </w:p>
    <w:p>
      <w:pPr>
        <w:ind w:left="-1040" w:firstLine="1305"/>
        <w:spacing w:after="0" w:line="247" w:lineRule="auto"/>
        <w:tabs>
          <w:tab w:leader="none" w:pos="739" w:val="left"/>
        </w:tabs>
        <w:numPr>
          <w:ilvl w:val="0"/>
          <w:numId w:val="159"/>
        </w:numPr>
        <w:rPr>
          <w:rFonts w:ascii="Arial" w:cs="Arial" w:eastAsia="Arial" w:hAnsi="Arial"/>
          <w:sz w:val="21"/>
          <w:szCs w:val="21"/>
          <w:color w:val="auto"/>
        </w:rPr>
      </w:pPr>
      <w:r>
        <w:rPr>
          <w:rFonts w:ascii="Arial" w:cs="Arial" w:eastAsia="Arial" w:hAnsi="Arial"/>
          <w:sz w:val="21"/>
          <w:szCs w:val="21"/>
          <w:color w:val="auto"/>
        </w:rPr>
        <w:t>licenses, sublicenses, leases or subleases granted to others in the ordinary course of business not interfering in any material respect with the business of Holdings and its Restricted Subsidiaries, taken as a whole;</w:t>
      </w:r>
    </w:p>
    <w:p>
      <w:pPr>
        <w:spacing w:after="0" w:line="150" w:lineRule="exact"/>
        <w:rPr>
          <w:rFonts w:ascii="Arial" w:cs="Arial" w:eastAsia="Arial" w:hAnsi="Arial"/>
          <w:sz w:val="21"/>
          <w:szCs w:val="21"/>
          <w:color w:val="auto"/>
        </w:rPr>
      </w:pPr>
    </w:p>
    <w:p>
      <w:pPr>
        <w:jc w:val="both"/>
        <w:ind w:left="-1040" w:firstLine="1305"/>
        <w:spacing w:after="0" w:line="223" w:lineRule="auto"/>
        <w:tabs>
          <w:tab w:leader="none" w:pos="695"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interest and title of a lessor under any lease, license, sublease or sublicense entered into by any Borrower or any Restricted Subsidiary in the ordinary course of its business and other statutory and common law landlords’ Liens under leases;</w:t>
      </w:r>
    </w:p>
    <w:p>
      <w:pPr>
        <w:spacing w:after="0" w:line="158" w:lineRule="exact"/>
        <w:rPr>
          <w:rFonts w:ascii="Arial" w:cs="Arial" w:eastAsia="Arial" w:hAnsi="Arial"/>
          <w:sz w:val="22"/>
          <w:szCs w:val="22"/>
          <w:color w:val="auto"/>
        </w:rPr>
      </w:pPr>
    </w:p>
    <w:p>
      <w:pPr>
        <w:ind w:left="-1040" w:firstLine="1305"/>
        <w:spacing w:after="0" w:line="298" w:lineRule="auto"/>
        <w:tabs>
          <w:tab w:leader="none" w:pos="805" w:val="left"/>
        </w:tabs>
        <w:numPr>
          <w:ilvl w:val="0"/>
          <w:numId w:val="159"/>
        </w:numPr>
        <w:rPr>
          <w:rFonts w:ascii="Arial" w:cs="Arial" w:eastAsia="Arial" w:hAnsi="Arial"/>
          <w:sz w:val="19"/>
          <w:szCs w:val="19"/>
          <w:color w:val="auto"/>
        </w:rPr>
      </w:pPr>
      <w:r>
        <w:rPr>
          <w:rFonts w:ascii="Arial" w:cs="Arial" w:eastAsia="Arial" w:hAnsi="Arial"/>
          <w:sz w:val="19"/>
          <w:szCs w:val="19"/>
          <w:color w:val="auto"/>
        </w:rPr>
        <w:t>in connection with the sale or transfer of any assets in a transaction not prohibited hereunder, customary rights and restrictions contained in agreements relating to such sale or transfer pending the completion thereof;</w:t>
      </w:r>
    </w:p>
    <w:p>
      <w:pPr>
        <w:spacing w:after="0" w:line="105" w:lineRule="exact"/>
        <w:rPr>
          <w:rFonts w:ascii="Arial" w:cs="Arial" w:eastAsia="Arial" w:hAnsi="Arial"/>
          <w:sz w:val="19"/>
          <w:szCs w:val="19"/>
          <w:color w:val="auto"/>
        </w:rPr>
      </w:pPr>
    </w:p>
    <w:p>
      <w:pPr>
        <w:ind w:left="-1040" w:firstLine="1305"/>
        <w:spacing w:after="0" w:line="232" w:lineRule="auto"/>
        <w:tabs>
          <w:tab w:leader="none" w:pos="756" w:val="left"/>
        </w:tabs>
        <w:numPr>
          <w:ilvl w:val="0"/>
          <w:numId w:val="159"/>
        </w:numPr>
        <w:rPr>
          <w:rFonts w:ascii="Arial" w:cs="Arial" w:eastAsia="Arial" w:hAnsi="Arial"/>
          <w:sz w:val="22"/>
          <w:szCs w:val="22"/>
          <w:color w:val="auto"/>
        </w:rPr>
      </w:pPr>
      <w:r>
        <w:rPr>
          <w:rFonts w:ascii="Arial" w:cs="Arial" w:eastAsia="Arial" w:hAnsi="Arial"/>
          <w:sz w:val="22"/>
          <w:szCs w:val="22"/>
          <w:color w:val="auto"/>
        </w:rPr>
        <w:t>in the case of any Joint Venture, any put and call arrangements related to its Equity Interests set forth in its organizational documents or any related joint venture or similar agreement;</w:t>
      </w:r>
    </w:p>
    <w:p>
      <w:pPr>
        <w:spacing w:after="0" w:line="158" w:lineRule="exact"/>
        <w:rPr>
          <w:rFonts w:ascii="Arial" w:cs="Arial" w:eastAsia="Arial" w:hAnsi="Arial"/>
          <w:sz w:val="22"/>
          <w:szCs w:val="22"/>
          <w:color w:val="auto"/>
        </w:rPr>
      </w:pPr>
    </w:p>
    <w:p>
      <w:pPr>
        <w:ind w:left="-1040" w:firstLine="1305"/>
        <w:spacing w:after="0" w:line="232" w:lineRule="auto"/>
        <w:tabs>
          <w:tab w:leader="none" w:pos="714" w:val="left"/>
        </w:tabs>
        <w:numPr>
          <w:ilvl w:val="0"/>
          <w:numId w:val="159"/>
        </w:numPr>
        <w:rPr>
          <w:rFonts w:ascii="Arial" w:cs="Arial" w:eastAsia="Arial" w:hAnsi="Arial"/>
          <w:sz w:val="22"/>
          <w:szCs w:val="22"/>
          <w:color w:val="auto"/>
        </w:rPr>
      </w:pPr>
      <w:r>
        <w:rPr>
          <w:rFonts w:ascii="Arial" w:cs="Arial" w:eastAsia="Arial" w:hAnsi="Arial"/>
          <w:sz w:val="22"/>
          <w:szCs w:val="22"/>
          <w:color w:val="auto"/>
        </w:rPr>
        <w:t>Liens securing Indebtedness to finance insurance premiums owing in the ordinary course of business to the extent such financing is not prohibited hereunder;</w:t>
      </w:r>
    </w:p>
    <w:p>
      <w:pPr>
        <w:spacing w:after="0" w:line="158" w:lineRule="exact"/>
        <w:rPr>
          <w:rFonts w:ascii="Arial" w:cs="Arial" w:eastAsia="Arial" w:hAnsi="Arial"/>
          <w:sz w:val="22"/>
          <w:szCs w:val="22"/>
          <w:color w:val="auto"/>
        </w:rPr>
      </w:pPr>
    </w:p>
    <w:p>
      <w:pPr>
        <w:ind w:left="-1040" w:firstLine="1305"/>
        <w:spacing w:after="0" w:line="232" w:lineRule="auto"/>
        <w:tabs>
          <w:tab w:leader="none" w:pos="737" w:val="left"/>
        </w:tabs>
        <w:numPr>
          <w:ilvl w:val="0"/>
          <w:numId w:val="159"/>
        </w:numPr>
        <w:rPr>
          <w:rFonts w:ascii="Arial" w:cs="Arial" w:eastAsia="Arial" w:hAnsi="Arial"/>
          <w:sz w:val="22"/>
          <w:szCs w:val="22"/>
          <w:color w:val="auto"/>
        </w:rPr>
      </w:pPr>
      <w:r>
        <w:rPr>
          <w:rFonts w:ascii="Arial" w:cs="Arial" w:eastAsia="Arial" w:hAnsi="Arial"/>
          <w:sz w:val="22"/>
          <w:szCs w:val="22"/>
          <w:color w:val="auto"/>
        </w:rPr>
        <w:t>Liens on earnest money deposits of cash or cash equivalents made in connection with any Acquisition not prohibited hereunder;</w:t>
      </w:r>
    </w:p>
    <w:p>
      <w:pPr>
        <w:spacing w:after="0" w:line="158" w:lineRule="exact"/>
        <w:rPr>
          <w:rFonts w:ascii="Arial" w:cs="Arial" w:eastAsia="Arial" w:hAnsi="Arial"/>
          <w:sz w:val="22"/>
          <w:szCs w:val="22"/>
          <w:color w:val="auto"/>
        </w:rPr>
      </w:pPr>
    </w:p>
    <w:p>
      <w:pPr>
        <w:jc w:val="both"/>
        <w:ind w:left="-1040" w:firstLine="1305"/>
        <w:spacing w:after="0" w:line="268" w:lineRule="auto"/>
        <w:tabs>
          <w:tab w:leader="none" w:pos="889" w:val="left"/>
        </w:tabs>
        <w:numPr>
          <w:ilvl w:val="0"/>
          <w:numId w:val="159"/>
        </w:numPr>
        <w:rPr>
          <w:rFonts w:ascii="Arial" w:cs="Arial" w:eastAsia="Arial" w:hAnsi="Arial"/>
          <w:sz w:val="19"/>
          <w:szCs w:val="19"/>
          <w:color w:val="auto"/>
        </w:rPr>
      </w:pPr>
      <w:r>
        <w:rPr>
          <w:rFonts w:ascii="Arial" w:cs="Arial" w:eastAsia="Arial" w:hAnsi="Arial"/>
          <w:sz w:val="19"/>
          <w:szCs w:val="19"/>
          <w:color w:val="auto"/>
        </w:rPr>
        <w:t>bankers’ Liens, rights of setoff and other similar Liens existing solely with respect to cash and cash equivalents or other securities on deposit in one or more accounts maintained by any Borrower or any Restricted Subsidiary, in each case granted in the ordinary course of business in favor of the bank or banks, securities intermediaries or other depository</w:t>
      </w:r>
    </w:p>
    <w:p>
      <w:pPr>
        <w:sectPr>
          <w:pgSz w:w="11900" w:h="16838" w:orient="portrait"/>
          <w:cols w:equalWidth="0" w:num="1">
            <w:col w:w="10120"/>
          </w:cols>
          <w:pgMar w:left="1440" w:top="1401" w:right="339" w:bottom="1440" w:gutter="0" w:footer="0" w:header="0"/>
        </w:sectPr>
      </w:pPr>
    </w:p>
    <w:bookmarkStart w:id="150" w:name="page151"/>
    <w:bookmarkEnd w:id="150"/>
    <w:p>
      <w:pPr>
        <w:spacing w:after="0" w:line="232" w:lineRule="auto"/>
        <w:rPr>
          <w:sz w:val="20"/>
          <w:szCs w:val="20"/>
          <w:color w:val="auto"/>
        </w:rPr>
      </w:pPr>
      <w:r>
        <w:rPr>
          <w:rFonts w:ascii="Arial" w:cs="Arial" w:eastAsia="Arial" w:hAnsi="Arial"/>
          <w:sz w:val="22"/>
          <w:szCs w:val="22"/>
          <w:color w:val="auto"/>
        </w:rPr>
        <w:t>institutions with which such accounts are maintained, securing amounts owing to institutions with respect to cash management operating account arrangements and similar arrangements;</w:t>
      </w:r>
    </w:p>
    <w:p>
      <w:pPr>
        <w:spacing w:after="0" w:line="159" w:lineRule="exact"/>
        <w:rPr>
          <w:sz w:val="20"/>
          <w:szCs w:val="20"/>
          <w:color w:val="auto"/>
        </w:rPr>
      </w:pPr>
    </w:p>
    <w:p>
      <w:pPr>
        <w:ind w:firstLine="1305"/>
        <w:spacing w:after="0" w:line="298" w:lineRule="auto"/>
        <w:tabs>
          <w:tab w:leader="none" w:pos="1772" w:val="left"/>
        </w:tabs>
        <w:numPr>
          <w:ilvl w:val="0"/>
          <w:numId w:val="160"/>
        </w:numPr>
        <w:rPr>
          <w:rFonts w:ascii="Arial" w:cs="Arial" w:eastAsia="Arial" w:hAnsi="Arial"/>
          <w:sz w:val="19"/>
          <w:szCs w:val="19"/>
          <w:color w:val="auto"/>
        </w:rPr>
      </w:pPr>
      <w:r>
        <w:rPr>
          <w:rFonts w:ascii="Arial" w:cs="Arial" w:eastAsia="Arial" w:hAnsi="Arial"/>
          <w:sz w:val="19"/>
          <w:szCs w:val="19"/>
          <w:color w:val="auto"/>
        </w:rPr>
        <w:t>Liens in the nature of the right of setoff in favor of counterparties to contractual agreements not otherwise prohibited hereunder with any Borrower or any of its Restricted Subsidiaries in the ordinary course of business;</w:t>
      </w:r>
    </w:p>
    <w:p>
      <w:pPr>
        <w:spacing w:after="0" w:line="105" w:lineRule="exact"/>
        <w:rPr>
          <w:rFonts w:ascii="Arial" w:cs="Arial" w:eastAsia="Arial" w:hAnsi="Arial"/>
          <w:sz w:val="19"/>
          <w:szCs w:val="19"/>
          <w:color w:val="auto"/>
        </w:rPr>
      </w:pPr>
    </w:p>
    <w:p>
      <w:pPr>
        <w:jc w:val="both"/>
        <w:ind w:firstLine="1305"/>
        <w:spacing w:after="0" w:line="223" w:lineRule="auto"/>
        <w:tabs>
          <w:tab w:leader="none" w:pos="184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 xml:space="preserve">Liens securing Indebtedness permitted by </w:t>
      </w:r>
      <w:r>
        <w:rPr>
          <w:rFonts w:ascii="Arial" w:cs="Arial" w:eastAsia="Arial" w:hAnsi="Arial"/>
          <w:sz w:val="22"/>
          <w:szCs w:val="22"/>
          <w:u w:val="single" w:color="auto"/>
          <w:color w:val="auto"/>
        </w:rPr>
        <w:t>Section 6.1(m)</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shall extend only to the assets of the Foreign Subsidiary that incurred such Indebtedness and any Foreign Subsidiary that Guarantees such Indebtedness in accordance with </w:t>
      </w:r>
      <w:r>
        <w:rPr>
          <w:rFonts w:ascii="Arial" w:cs="Arial" w:eastAsia="Arial" w:hAnsi="Arial"/>
          <w:sz w:val="22"/>
          <w:szCs w:val="22"/>
          <w:u w:val="single" w:color="auto"/>
          <w:color w:val="auto"/>
        </w:rPr>
        <w:t>Section 6.1(m)</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6.7</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1780" w:hanging="475"/>
        <w:spacing w:after="0"/>
        <w:tabs>
          <w:tab w:leader="none" w:pos="178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Liens securing the Obligations pursuant to any Loan Document;</w:t>
      </w:r>
    </w:p>
    <w:p>
      <w:pPr>
        <w:spacing w:after="0" w:line="179" w:lineRule="exact"/>
        <w:rPr>
          <w:rFonts w:ascii="Arial" w:cs="Arial" w:eastAsia="Arial" w:hAnsi="Arial"/>
          <w:sz w:val="22"/>
          <w:szCs w:val="22"/>
          <w:color w:val="auto"/>
        </w:rPr>
      </w:pPr>
    </w:p>
    <w:p>
      <w:pPr>
        <w:jc w:val="both"/>
        <w:ind w:firstLine="1305"/>
        <w:spacing w:after="0" w:line="218" w:lineRule="auto"/>
        <w:tabs>
          <w:tab w:leader="none" w:pos="1775" w:val="left"/>
        </w:tabs>
        <w:numPr>
          <w:ilvl w:val="0"/>
          <w:numId w:val="160"/>
        </w:numPr>
        <w:rPr>
          <w:rFonts w:ascii="Arial" w:cs="Arial" w:eastAsia="Arial" w:hAnsi="Arial"/>
          <w:sz w:val="22"/>
          <w:szCs w:val="22"/>
          <w:color w:val="auto"/>
        </w:rPr>
      </w:pPr>
      <w:r>
        <w:rPr>
          <w:rFonts w:ascii="Arial" w:cs="Arial" w:eastAsia="Arial" w:hAnsi="Arial"/>
          <w:sz w:val="22"/>
          <w:szCs w:val="22"/>
          <w:color w:val="auto"/>
        </w:rPr>
        <w:t>Liens on cash or cash equivalents in an aggregate amount not to exceed $10,000,000 securing obligations in respect of (i) the Group Members’ processing accounts maintained with Wells Fargo Bank, National Association, Stripe, Inc. and other payment processors identified in writing to the Administrative Agent and (ii) transfer and foreign currency exchange accounts;</w:t>
      </w:r>
    </w:p>
    <w:p>
      <w:pPr>
        <w:spacing w:after="0" w:line="160" w:lineRule="exact"/>
        <w:rPr>
          <w:rFonts w:ascii="Arial" w:cs="Arial" w:eastAsia="Arial" w:hAnsi="Arial"/>
          <w:sz w:val="22"/>
          <w:szCs w:val="22"/>
          <w:color w:val="auto"/>
        </w:rPr>
      </w:pPr>
    </w:p>
    <w:p>
      <w:pPr>
        <w:ind w:left="1780" w:hanging="475"/>
        <w:spacing w:after="0"/>
        <w:tabs>
          <w:tab w:leader="none" w:pos="1780" w:val="left"/>
        </w:tabs>
        <w:numPr>
          <w:ilvl w:val="0"/>
          <w:numId w:val="160"/>
        </w:numPr>
        <w:rPr>
          <w:rFonts w:ascii="Arial" w:cs="Arial" w:eastAsia="Arial" w:hAnsi="Arial"/>
          <w:sz w:val="21"/>
          <w:szCs w:val="21"/>
          <w:color w:val="auto"/>
        </w:rPr>
      </w:pPr>
      <w:r>
        <w:rPr>
          <w:rFonts w:ascii="Arial" w:cs="Arial" w:eastAsia="Arial" w:hAnsi="Arial"/>
          <w:sz w:val="21"/>
          <w:szCs w:val="21"/>
          <w:color w:val="auto"/>
        </w:rPr>
        <w:t>Liens securing assets of the Group Members to secure Indebtedness described in Section 6.1(l);</w:t>
      </w:r>
    </w:p>
    <w:p>
      <w:pPr>
        <w:spacing w:after="0" w:line="190" w:lineRule="exact"/>
        <w:rPr>
          <w:rFonts w:ascii="Arial" w:cs="Arial" w:eastAsia="Arial" w:hAnsi="Arial"/>
          <w:sz w:val="21"/>
          <w:szCs w:val="21"/>
          <w:color w:val="auto"/>
        </w:rPr>
      </w:pPr>
    </w:p>
    <w:p>
      <w:pPr>
        <w:jc w:val="both"/>
        <w:ind w:firstLine="1305"/>
        <w:spacing w:after="0" w:line="229" w:lineRule="auto"/>
        <w:tabs>
          <w:tab w:leader="none" w:pos="1833" w:val="left"/>
        </w:tabs>
        <w:numPr>
          <w:ilvl w:val="0"/>
          <w:numId w:val="160"/>
        </w:numPr>
        <w:rPr>
          <w:rFonts w:ascii="Arial" w:cs="Arial" w:eastAsia="Arial" w:hAnsi="Arial"/>
          <w:sz w:val="21"/>
          <w:szCs w:val="21"/>
          <w:color w:val="auto"/>
        </w:rPr>
      </w:pPr>
      <w:r>
        <w:rPr>
          <w:rFonts w:ascii="Arial" w:cs="Arial" w:eastAsia="Arial" w:hAnsi="Arial"/>
          <w:sz w:val="21"/>
          <w:szCs w:val="21"/>
          <w:color w:val="auto"/>
        </w:rPr>
        <w:t>(i) non-exclusive licenses or other uses of patents, trademarks, copyrights, and other Intellectual Property rights in the ordinary course of business; and (ii) licenses of patents, trademarks, copyrights, and other Intellectual Property rights customary for companies of similar size and in the same industry as the Borrowers which would not result in a legal transfer of title of such licensed Intellectual Property, but that may be exclusive;</w:t>
      </w:r>
    </w:p>
    <w:p>
      <w:pPr>
        <w:spacing w:after="0" w:line="158" w:lineRule="exact"/>
        <w:rPr>
          <w:rFonts w:ascii="Arial" w:cs="Arial" w:eastAsia="Arial" w:hAnsi="Arial"/>
          <w:sz w:val="21"/>
          <w:szCs w:val="21"/>
          <w:color w:val="auto"/>
        </w:rPr>
      </w:pPr>
    </w:p>
    <w:p>
      <w:pPr>
        <w:ind w:firstLine="1305"/>
        <w:spacing w:after="0" w:line="298" w:lineRule="auto"/>
        <w:tabs>
          <w:tab w:leader="none" w:pos="1748" w:val="left"/>
        </w:tabs>
        <w:numPr>
          <w:ilvl w:val="0"/>
          <w:numId w:val="160"/>
        </w:numPr>
        <w:rPr>
          <w:rFonts w:ascii="Arial" w:cs="Arial" w:eastAsia="Arial" w:hAnsi="Arial"/>
          <w:sz w:val="19"/>
          <w:szCs w:val="19"/>
          <w:color w:val="auto"/>
        </w:rPr>
      </w:pPr>
      <w:r>
        <w:rPr>
          <w:rFonts w:ascii="Arial" w:cs="Arial" w:eastAsia="Arial" w:hAnsi="Arial"/>
          <w:sz w:val="19"/>
          <w:szCs w:val="19"/>
          <w:color w:val="auto"/>
        </w:rPr>
        <w:t xml:space="preserve">Liens securing Other Permitted Debt that are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or junior to the Liens securing the Obligations and subject to an intercreditor agreement in form and substance reasonably satisfactory to the Administrative Agent;</w:t>
      </w:r>
    </w:p>
    <w:p>
      <w:pPr>
        <w:spacing w:after="0" w:line="105" w:lineRule="exact"/>
        <w:rPr>
          <w:rFonts w:ascii="Arial" w:cs="Arial" w:eastAsia="Arial" w:hAnsi="Arial"/>
          <w:sz w:val="19"/>
          <w:szCs w:val="19"/>
          <w:color w:val="auto"/>
        </w:rPr>
      </w:pPr>
    </w:p>
    <w:p>
      <w:pPr>
        <w:ind w:left="1820" w:hanging="515"/>
        <w:spacing w:after="0"/>
        <w:tabs>
          <w:tab w:leader="none" w:pos="182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Liens of a collection bank arising under Section 4-210 of the Uniform Commercial Code on items in the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course of collection;</w:t>
      </w:r>
    </w:p>
    <w:p>
      <w:pPr>
        <w:spacing w:after="0" w:line="161" w:lineRule="exact"/>
        <w:rPr>
          <w:rFonts w:ascii="Arial" w:cs="Arial" w:eastAsia="Arial" w:hAnsi="Arial"/>
          <w:sz w:val="19"/>
          <w:szCs w:val="19"/>
          <w:color w:val="auto"/>
        </w:rPr>
      </w:pPr>
    </w:p>
    <w:p>
      <w:pPr>
        <w:ind w:firstLine="1305"/>
        <w:spacing w:after="0" w:line="298" w:lineRule="auto"/>
        <w:tabs>
          <w:tab w:leader="none" w:pos="1837" w:val="left"/>
        </w:tabs>
        <w:numPr>
          <w:ilvl w:val="0"/>
          <w:numId w:val="160"/>
        </w:numPr>
        <w:rPr>
          <w:rFonts w:ascii="Arial" w:cs="Arial" w:eastAsia="Arial" w:hAnsi="Arial"/>
          <w:sz w:val="19"/>
          <w:szCs w:val="19"/>
          <w:color w:val="auto"/>
        </w:rPr>
      </w:pPr>
      <w:r>
        <w:rPr>
          <w:rFonts w:ascii="Arial" w:cs="Arial" w:eastAsia="Arial" w:hAnsi="Arial"/>
          <w:sz w:val="19"/>
          <w:szCs w:val="19"/>
          <w:color w:val="auto"/>
        </w:rPr>
        <w:t>Liens encumbering deposits made to secure obligations arising from common law, statutory, regulatory, contractual or warranty requirements of Holdings or any Restricted Subsidiary, including rights of offset and setoff;</w:t>
      </w:r>
    </w:p>
    <w:p>
      <w:pPr>
        <w:spacing w:after="0" w:line="105" w:lineRule="exact"/>
        <w:rPr>
          <w:rFonts w:ascii="Arial" w:cs="Arial" w:eastAsia="Arial" w:hAnsi="Arial"/>
          <w:sz w:val="19"/>
          <w:szCs w:val="19"/>
          <w:color w:val="auto"/>
        </w:rPr>
      </w:pPr>
    </w:p>
    <w:p>
      <w:pPr>
        <w:jc w:val="both"/>
        <w:ind w:firstLine="1305"/>
        <w:spacing w:after="0" w:line="216" w:lineRule="auto"/>
        <w:tabs>
          <w:tab w:leader="none" w:pos="1811" w:val="left"/>
        </w:tabs>
        <w:numPr>
          <w:ilvl w:val="0"/>
          <w:numId w:val="160"/>
        </w:numPr>
        <w:rPr>
          <w:rFonts w:ascii="Arial" w:cs="Arial" w:eastAsia="Arial" w:hAnsi="Arial"/>
          <w:sz w:val="22"/>
          <w:szCs w:val="22"/>
          <w:color w:val="auto"/>
        </w:rPr>
      </w:pPr>
      <w:r>
        <w:rPr>
          <w:rFonts w:ascii="Arial" w:cs="Arial" w:eastAsia="Arial" w:hAnsi="Arial"/>
          <w:sz w:val="22"/>
          <w:szCs w:val="22"/>
          <w:color w:val="auto"/>
        </w:rPr>
        <w:t>Liens in favor of customs and revenue authorities arising as a matter of law to secure payment of customs duties in connection with the importation of goods and Liens in the ordinary course of business in favor of issuers of performance and surety bonds or bid bonds or with respect to health, safety and environmental regulations (other than for borrowed money) or letters of credit or bank guarantees issued to support such bonds or requirements pursuant to the request of and for the account of such Person in the ordinary course of business;</w:t>
      </w:r>
    </w:p>
    <w:p>
      <w:pPr>
        <w:spacing w:after="0" w:line="157" w:lineRule="exact"/>
        <w:rPr>
          <w:rFonts w:ascii="Arial" w:cs="Arial" w:eastAsia="Arial" w:hAnsi="Arial"/>
          <w:sz w:val="22"/>
          <w:szCs w:val="22"/>
          <w:color w:val="auto"/>
        </w:rPr>
      </w:pPr>
    </w:p>
    <w:p>
      <w:pPr>
        <w:ind w:firstLine="1305"/>
        <w:spacing w:after="0" w:line="232" w:lineRule="auto"/>
        <w:tabs>
          <w:tab w:leader="none" w:pos="1981" w:val="left"/>
        </w:tabs>
        <w:numPr>
          <w:ilvl w:val="0"/>
          <w:numId w:val="160"/>
        </w:numPr>
        <w:rPr>
          <w:rFonts w:ascii="Arial" w:cs="Arial" w:eastAsia="Arial" w:hAnsi="Arial"/>
          <w:sz w:val="22"/>
          <w:szCs w:val="22"/>
          <w:color w:val="auto"/>
        </w:rPr>
      </w:pPr>
      <w:r>
        <w:rPr>
          <w:rFonts w:ascii="Arial" w:cs="Arial" w:eastAsia="Arial" w:hAnsi="Arial"/>
          <w:sz w:val="22"/>
          <w:szCs w:val="22"/>
          <w:color w:val="auto"/>
        </w:rPr>
        <w:t>Interests of vendors in inventory arising out of such inventory being subject to a “sale or return” arrangement with such vendor or any consignment by any third party of any inventory;</w:t>
      </w:r>
    </w:p>
    <w:p>
      <w:pPr>
        <w:spacing w:after="0" w:line="158" w:lineRule="exact"/>
        <w:rPr>
          <w:rFonts w:ascii="Arial" w:cs="Arial" w:eastAsia="Arial" w:hAnsi="Arial"/>
          <w:sz w:val="22"/>
          <w:szCs w:val="22"/>
          <w:color w:val="auto"/>
        </w:rPr>
      </w:pPr>
    </w:p>
    <w:p>
      <w:pPr>
        <w:ind w:firstLine="1305"/>
        <w:spacing w:after="0" w:line="232" w:lineRule="auto"/>
        <w:tabs>
          <w:tab w:leader="none" w:pos="1892" w:val="left"/>
        </w:tabs>
        <w:numPr>
          <w:ilvl w:val="0"/>
          <w:numId w:val="160"/>
        </w:numPr>
        <w:rPr>
          <w:rFonts w:ascii="Arial" w:cs="Arial" w:eastAsia="Arial" w:hAnsi="Arial"/>
          <w:sz w:val="22"/>
          <w:szCs w:val="22"/>
          <w:color w:val="auto"/>
        </w:rPr>
      </w:pPr>
      <w:r>
        <w:rPr>
          <w:rFonts w:ascii="Arial" w:cs="Arial" w:eastAsia="Arial" w:hAnsi="Arial"/>
          <w:sz w:val="22"/>
          <w:szCs w:val="22"/>
          <w:color w:val="auto"/>
        </w:rPr>
        <w:t>Liens arising under any retention of title, hire purchase or conditional sale arrangement or arrangements having similar effect in respect of goods supplied to Holdings and</w:t>
      </w:r>
    </w:p>
    <w:p>
      <w:pPr>
        <w:sectPr>
          <w:pgSz w:w="11900" w:h="16838" w:orient="portrait"/>
          <w:cols w:equalWidth="0" w:num="1">
            <w:col w:w="11160"/>
          </w:cols>
          <w:pgMar w:left="400" w:top="1401" w:right="339" w:bottom="1440" w:gutter="0" w:footer="0" w:header="0"/>
        </w:sectPr>
      </w:pPr>
    </w:p>
    <w:bookmarkStart w:id="151" w:name="page152"/>
    <w:bookmarkEnd w:id="151"/>
    <w:p>
      <w:pPr>
        <w:ind w:left="80"/>
        <w:spacing w:after="0"/>
        <w:rPr>
          <w:sz w:val="20"/>
          <w:szCs w:val="20"/>
          <w:color w:val="auto"/>
        </w:rPr>
      </w:pPr>
      <w:r>
        <w:rPr>
          <w:rFonts w:ascii="Arial" w:cs="Arial" w:eastAsia="Arial" w:hAnsi="Arial"/>
          <w:sz w:val="22"/>
          <w:szCs w:val="22"/>
          <w:color w:val="auto"/>
        </w:rPr>
        <w:t>its Restricted Subsidiaries in the ordinary course of trading and on the supplier’s standard or usual terms;</w:t>
      </w:r>
    </w:p>
    <w:p>
      <w:pPr>
        <w:spacing w:after="0" w:line="179" w:lineRule="exact"/>
        <w:rPr>
          <w:sz w:val="20"/>
          <w:szCs w:val="20"/>
          <w:color w:val="auto"/>
        </w:rPr>
      </w:pPr>
    </w:p>
    <w:p>
      <w:pPr>
        <w:ind w:left="1860" w:hanging="475"/>
        <w:spacing w:after="0"/>
        <w:tabs>
          <w:tab w:leader="none" w:pos="1860" w:val="left"/>
        </w:tabs>
        <w:numPr>
          <w:ilvl w:val="0"/>
          <w:numId w:val="161"/>
        </w:numPr>
        <w:rPr>
          <w:rFonts w:ascii="Arial" w:cs="Arial" w:eastAsia="Arial" w:hAnsi="Arial"/>
          <w:sz w:val="21"/>
          <w:szCs w:val="21"/>
          <w:color w:val="auto"/>
        </w:rPr>
      </w:pPr>
      <w:r>
        <w:rPr>
          <w:rFonts w:ascii="Arial" w:cs="Arial" w:eastAsia="Arial" w:hAnsi="Arial"/>
          <w:sz w:val="21"/>
          <w:szCs w:val="21"/>
          <w:color w:val="auto"/>
        </w:rPr>
        <w:t>other Liens securing obligations in an aggregate amount not to exceed the greater of $15,000,000.</w:t>
      </w:r>
    </w:p>
    <w:p>
      <w:pPr>
        <w:spacing w:after="0" w:line="19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Notwithstanding the foregoing, no Group Member shall permit any Lien on any of its Material IP securing any Indebtedness for borrowed money other than Liens described in </w:t>
      </w:r>
      <w:r>
        <w:rPr>
          <w:rFonts w:ascii="Arial" w:cs="Arial" w:eastAsia="Arial" w:hAnsi="Arial"/>
          <w:sz w:val="22"/>
          <w:szCs w:val="22"/>
          <w:u w:val="single" w:color="auto"/>
          <w:color w:val="auto"/>
        </w:rPr>
        <w:t>Sections 6.2(c), (m), (n), (r)</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(x)</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For purposes of determining compliance with this Section 6.2, (A) a Lien securing an item of Indebtedness need not be permitted solely by reference to one category of permitted Liens (or any portion thereof) described in Sections 6.2(a) through (x) but may be permitted in part under any combination thereof and (B) in the event that a Lien securing an item of Indebtedness (or any portion thereof) meets the criteria of one or more of the categories of permitted Liens (or any portion thereof) described in Sections 6.2(a) through (x), the Borrower may, in its sole discretion, divide, classify or reclassify such Lien securing such item of Indebtedness (or any portion thereof) in any manner that complies with this Section 6.2 and will be entitled to only include the amount and type of such Lien or such item of Indebtedness secured by such Lien (or any portion thereof) in one of the above clauses and such Lien securing such item of Indebtedness (or portion thereof) will be treated as being incurred or existing pursuant to only such clause or clauses (or any portion thereof); provided, that all Liens securing the Obligations pursuant to any Loan Document shall at all times be deemed to have been incurred pursuant to clause (n) of this Section 6.2; provided, further, that all Liens described in Schedule 6.2 shall be deemed outstanding under Section 6.2(b).</w:t>
      </w:r>
    </w:p>
    <w:p>
      <w:pPr>
        <w:spacing w:after="0" w:line="159"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21"/>
          <w:szCs w:val="21"/>
          <w:color w:val="auto"/>
        </w:rPr>
        <w:t xml:space="preserve">Section 6.3 </w:t>
      </w:r>
      <w:r>
        <w:rPr>
          <w:rFonts w:ascii="Arial" w:cs="Arial" w:eastAsia="Arial" w:hAnsi="Arial"/>
          <w:sz w:val="21"/>
          <w:szCs w:val="21"/>
          <w:u w:val="single" w:color="auto"/>
          <w:color w:val="auto"/>
        </w:rPr>
        <w:t>Fundamental Changes; Assets Sales; Changes in Business</w:t>
      </w:r>
      <w:r>
        <w:rPr>
          <w:rFonts w:ascii="Arial" w:cs="Arial" w:eastAsia="Arial" w:hAnsi="Arial"/>
          <w:sz w:val="21"/>
          <w:szCs w:val="21"/>
          <w:color w:val="auto"/>
        </w:rPr>
        <w:t>. (a) The Loan Parties will not, and will not permit any Restricted Subsidiary to, (x) merge into or consolidate with any other Person, or permit any other Person to merge into or consolidate with it, (y) sell, transfer, lease, enter into any sale-leaseback transactions with respect to, or otherwise dispose of (in one transaction or in a series of transactions) all or substantially all of the assets of Holdings and its Restricted Subsidiaries, taken as a whole, or (z) liquidate or dissolve, except that, if at the time thereof and immediately after giving effect thereto no Default or Event of Default shall have occurred and be continuing:</w:t>
      </w:r>
    </w:p>
    <w:p>
      <w:pPr>
        <w:spacing w:after="0" w:line="160" w:lineRule="exact"/>
        <w:rPr>
          <w:sz w:val="20"/>
          <w:szCs w:val="20"/>
          <w:color w:val="auto"/>
        </w:rPr>
      </w:pPr>
    </w:p>
    <w:p>
      <w:pPr>
        <w:jc w:val="both"/>
        <w:ind w:left="660" w:firstLine="644"/>
        <w:spacing w:after="0" w:line="220" w:lineRule="auto"/>
        <w:tabs>
          <w:tab w:leader="none" w:pos="1828" w:val="left"/>
        </w:tabs>
        <w:numPr>
          <w:ilvl w:val="0"/>
          <w:numId w:val="162"/>
        </w:numPr>
        <w:rPr>
          <w:rFonts w:ascii="Arial" w:cs="Arial" w:eastAsia="Arial" w:hAnsi="Arial"/>
          <w:sz w:val="21"/>
          <w:szCs w:val="21"/>
          <w:color w:val="auto"/>
        </w:rPr>
      </w:pPr>
      <w:r>
        <w:rPr>
          <w:rFonts w:ascii="Arial" w:cs="Arial" w:eastAsia="Arial" w:hAnsi="Arial"/>
          <w:sz w:val="21"/>
          <w:szCs w:val="21"/>
          <w:color w:val="auto"/>
        </w:rPr>
        <w:t xml:space="preserve">any Subsidiary or any other Person may merge into or consolidate with any Borrower in a transaction in which the surviving entity is (x) such Borrower or (y) a corporation organized and existing under the laws of the United States of America, any State thereof or the District of Columbia, which corporation shall expressly assume, by a written instrument in form and substance reasonably satisfactory to the Administrative Agent, all the obligations of such Borrower under the Loan Documents,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clause (y), such Person assuming all obligations of such Borrower shall have delivered to the Administrative Agent (A) all “know your customer” and similar information required under anti-money laundering rules and regulations that has been requested by the Administrative Agent or any Lender and a Beneficial Ownership Certification and (B) if requested by the Administrative Agent, an opinion of counsel to such Person to the effect that such merger or consolidation does not violate this Agreement or any other Loan Document;</w:t>
      </w:r>
    </w:p>
    <w:p>
      <w:pPr>
        <w:spacing w:after="0" w:line="162" w:lineRule="exact"/>
        <w:rPr>
          <w:rFonts w:ascii="Arial" w:cs="Arial" w:eastAsia="Arial" w:hAnsi="Arial"/>
          <w:sz w:val="21"/>
          <w:szCs w:val="21"/>
          <w:color w:val="auto"/>
        </w:rPr>
      </w:pPr>
    </w:p>
    <w:p>
      <w:pPr>
        <w:jc w:val="both"/>
        <w:ind w:left="660" w:firstLine="644"/>
        <w:spacing w:after="0" w:line="223" w:lineRule="auto"/>
        <w:tabs>
          <w:tab w:leader="none" w:pos="1873" w:val="left"/>
        </w:tabs>
        <w:numPr>
          <w:ilvl w:val="0"/>
          <w:numId w:val="162"/>
        </w:numPr>
        <w:rPr>
          <w:rFonts w:ascii="Arial" w:cs="Arial" w:eastAsia="Arial" w:hAnsi="Arial"/>
          <w:sz w:val="22"/>
          <w:szCs w:val="22"/>
          <w:color w:val="auto"/>
        </w:rPr>
      </w:pPr>
      <w:r>
        <w:rPr>
          <w:rFonts w:ascii="Arial" w:cs="Arial" w:eastAsia="Arial" w:hAnsi="Arial"/>
          <w:sz w:val="22"/>
          <w:szCs w:val="22"/>
          <w:color w:val="auto"/>
        </w:rPr>
        <w:t>any Person (other than any Borrower) may merge into or consolidate with any Restricted Subsidiary in a transaction in which the surviving entity is a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merger or consolidation involving a Guarantor must result in a Guarantor as the surviving entity);</w:t>
      </w:r>
    </w:p>
    <w:p>
      <w:pPr>
        <w:sectPr>
          <w:pgSz w:w="11900" w:h="16838" w:orient="portrait"/>
          <w:cols w:equalWidth="0" w:num="1">
            <w:col w:w="11240"/>
          </w:cols>
          <w:pgMar w:left="320" w:top="1401" w:right="339" w:bottom="1440" w:gutter="0" w:footer="0" w:header="0"/>
        </w:sectPr>
      </w:pPr>
    </w:p>
    <w:bookmarkStart w:id="152" w:name="page153"/>
    <w:bookmarkEnd w:id="152"/>
    <w:p>
      <w:pPr>
        <w:ind w:left="1840" w:hanging="536"/>
        <w:spacing w:after="0"/>
        <w:tabs>
          <w:tab w:leader="none" w:pos="1840" w:val="left"/>
        </w:tabs>
        <w:numPr>
          <w:ilvl w:val="0"/>
          <w:numId w:val="163"/>
        </w:numPr>
        <w:rPr>
          <w:rFonts w:ascii="Arial" w:cs="Arial" w:eastAsia="Arial" w:hAnsi="Arial"/>
          <w:sz w:val="21"/>
          <w:szCs w:val="21"/>
          <w:color w:val="auto"/>
        </w:rPr>
      </w:pPr>
      <w:r>
        <w:rPr>
          <w:rFonts w:ascii="Arial" w:cs="Arial" w:eastAsia="Arial" w:hAnsi="Arial"/>
          <w:sz w:val="21"/>
          <w:szCs w:val="21"/>
          <w:color w:val="auto"/>
        </w:rPr>
        <w:t>any Loan Party may sell, transfer, lease or otherwise dispose of its assets to any other Loan Party;</w:t>
      </w:r>
    </w:p>
    <w:p>
      <w:pPr>
        <w:spacing w:after="0" w:line="190" w:lineRule="exact"/>
        <w:rPr>
          <w:rFonts w:ascii="Arial" w:cs="Arial" w:eastAsia="Arial" w:hAnsi="Arial"/>
          <w:sz w:val="21"/>
          <w:szCs w:val="21"/>
          <w:color w:val="auto"/>
        </w:rPr>
      </w:pPr>
    </w:p>
    <w:p>
      <w:pPr>
        <w:jc w:val="both"/>
        <w:ind w:left="660" w:firstLine="644"/>
        <w:spacing w:after="0" w:line="218" w:lineRule="auto"/>
        <w:tabs>
          <w:tab w:leader="none" w:pos="1881" w:val="left"/>
        </w:tabs>
        <w:numPr>
          <w:ilvl w:val="0"/>
          <w:numId w:val="163"/>
        </w:numPr>
        <w:rPr>
          <w:rFonts w:ascii="Arial" w:cs="Arial" w:eastAsia="Arial" w:hAnsi="Arial"/>
          <w:sz w:val="22"/>
          <w:szCs w:val="22"/>
          <w:color w:val="auto"/>
        </w:rPr>
      </w:pPr>
      <w:r>
        <w:rPr>
          <w:rFonts w:ascii="Arial" w:cs="Arial" w:eastAsia="Arial" w:hAnsi="Arial"/>
          <w:sz w:val="22"/>
          <w:szCs w:val="22"/>
          <w:color w:val="auto"/>
        </w:rPr>
        <w:t>in connection with any Acquisition, any Restricted Subsidiary may merge into or with, or consolidate with any other Person, and any other Person may merge into such Restricted Subsidiary, so long as the Person surviving such merger or consolidation shall be a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merger or consolidation involving a Guarantor must result in a Guarantor as the surviving entity);</w:t>
      </w:r>
    </w:p>
    <w:p>
      <w:pPr>
        <w:spacing w:after="0" w:line="160" w:lineRule="exact"/>
        <w:rPr>
          <w:rFonts w:ascii="Arial" w:cs="Arial" w:eastAsia="Arial" w:hAnsi="Arial"/>
          <w:sz w:val="22"/>
          <w:szCs w:val="22"/>
          <w:color w:val="auto"/>
        </w:rPr>
      </w:pPr>
    </w:p>
    <w:p>
      <w:pPr>
        <w:jc w:val="both"/>
        <w:ind w:left="660" w:firstLine="644"/>
        <w:spacing w:after="0" w:line="223" w:lineRule="auto"/>
        <w:tabs>
          <w:tab w:leader="none" w:pos="1776" w:val="left"/>
        </w:tabs>
        <w:numPr>
          <w:ilvl w:val="0"/>
          <w:numId w:val="163"/>
        </w:numPr>
        <w:rPr>
          <w:rFonts w:ascii="Arial" w:cs="Arial" w:eastAsia="Arial" w:hAnsi="Arial"/>
          <w:sz w:val="22"/>
          <w:szCs w:val="22"/>
          <w:color w:val="auto"/>
        </w:rPr>
      </w:pPr>
      <w:r>
        <w:rPr>
          <w:rFonts w:ascii="Arial" w:cs="Arial" w:eastAsia="Arial" w:hAnsi="Arial"/>
          <w:sz w:val="22"/>
          <w:szCs w:val="22"/>
          <w:color w:val="auto"/>
        </w:rPr>
        <w:t>any Restricted Subsidiary may merge into or consolidate with any other Person in a transaction in which such Restricted Subsidiary ceases to be a direct or indirect Subsidiary of Holdings if such transaction is excluded from the definition of “Asset Sale”; and</w:t>
      </w:r>
    </w:p>
    <w:p>
      <w:pPr>
        <w:spacing w:after="0" w:line="158" w:lineRule="exact"/>
        <w:rPr>
          <w:rFonts w:ascii="Arial" w:cs="Arial" w:eastAsia="Arial" w:hAnsi="Arial"/>
          <w:sz w:val="22"/>
          <w:szCs w:val="22"/>
          <w:color w:val="auto"/>
        </w:rPr>
      </w:pPr>
    </w:p>
    <w:p>
      <w:pPr>
        <w:ind w:left="660" w:firstLine="644"/>
        <w:spacing w:after="0" w:line="298" w:lineRule="auto"/>
        <w:tabs>
          <w:tab w:leader="none" w:pos="1959" w:val="left"/>
        </w:tabs>
        <w:numPr>
          <w:ilvl w:val="0"/>
          <w:numId w:val="163"/>
        </w:numPr>
        <w:rPr>
          <w:rFonts w:ascii="Arial" w:cs="Arial" w:eastAsia="Arial" w:hAnsi="Arial"/>
          <w:sz w:val="19"/>
          <w:szCs w:val="19"/>
          <w:color w:val="auto"/>
        </w:rPr>
      </w:pPr>
      <w:r>
        <w:rPr>
          <w:rFonts w:ascii="Arial" w:cs="Arial" w:eastAsia="Arial" w:hAnsi="Arial"/>
          <w:sz w:val="19"/>
          <w:szCs w:val="19"/>
          <w:color w:val="auto"/>
        </w:rPr>
        <w:t>any Restricted Subsidiary may liquidate or dissolve if the Borrowers determine in good faith that such liquidation or dissolution is in the best interests of the Borrowers and is not materially disadvantageous to the Lenders.</w:t>
      </w:r>
    </w:p>
    <w:p>
      <w:pPr>
        <w:spacing w:after="0" w:line="105" w:lineRule="exact"/>
        <w:rPr>
          <w:rFonts w:ascii="Arial" w:cs="Arial" w:eastAsia="Arial" w:hAnsi="Arial"/>
          <w:sz w:val="19"/>
          <w:szCs w:val="19"/>
          <w:color w:val="auto"/>
        </w:rPr>
      </w:pPr>
    </w:p>
    <w:p>
      <w:pPr>
        <w:ind w:left="1900" w:hanging="515"/>
        <w:spacing w:after="0"/>
        <w:tabs>
          <w:tab w:leader="none" w:pos="1900" w:val="left"/>
        </w:tabs>
        <w:numPr>
          <w:ilvl w:val="1"/>
          <w:numId w:val="163"/>
        </w:numPr>
        <w:rPr>
          <w:rFonts w:ascii="Arial" w:cs="Arial" w:eastAsia="Arial" w:hAnsi="Arial"/>
          <w:sz w:val="19"/>
          <w:szCs w:val="19"/>
          <w:color w:val="auto"/>
        </w:rPr>
      </w:pPr>
      <w:r>
        <w:rPr>
          <w:rFonts w:ascii="Arial" w:cs="Arial" w:eastAsia="Arial" w:hAnsi="Arial"/>
          <w:sz w:val="19"/>
          <w:szCs w:val="19"/>
          <w:color w:val="auto"/>
        </w:rPr>
        <w:t>Each Loan Party will not, and will not permit any of its Restricted Subsidiaries to, consummate any Asset</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22"/>
          <w:szCs w:val="22"/>
          <w:color w:val="auto"/>
        </w:rPr>
        <w:t>Sale.</w:t>
      </w:r>
    </w:p>
    <w:p>
      <w:pPr>
        <w:spacing w:after="0" w:line="161" w:lineRule="exact"/>
        <w:rPr>
          <w:sz w:val="20"/>
          <w:szCs w:val="20"/>
          <w:color w:val="auto"/>
        </w:rPr>
      </w:pPr>
    </w:p>
    <w:p>
      <w:pPr>
        <w:jc w:val="both"/>
        <w:ind w:left="80" w:firstLine="1305"/>
        <w:spacing w:after="0" w:line="218" w:lineRule="auto"/>
        <w:tabs>
          <w:tab w:leader="none" w:pos="1885" w:val="left"/>
        </w:tabs>
        <w:numPr>
          <w:ilvl w:val="0"/>
          <w:numId w:val="164"/>
        </w:numPr>
        <w:rPr>
          <w:rFonts w:ascii="Arial" w:cs="Arial" w:eastAsia="Arial" w:hAnsi="Arial"/>
          <w:sz w:val="22"/>
          <w:szCs w:val="22"/>
          <w:color w:val="auto"/>
        </w:rPr>
      </w:pPr>
      <w:r>
        <w:rPr>
          <w:rFonts w:ascii="Arial" w:cs="Arial" w:eastAsia="Arial" w:hAnsi="Arial"/>
          <w:sz w:val="22"/>
          <w:szCs w:val="22"/>
          <w:color w:val="auto"/>
        </w:rPr>
        <w:t>Each Loan Party will not, and will not permit any of its Restricted Subsidiaries to, engage to any material extent in any business other than businesses of the type conducted by Holdings and its Restricted Subsidiaries on the Effective Date and businesses reasonably related, ancillary or complementary thereto (or a reasonable extension of the foregoing businesses).</w:t>
      </w:r>
    </w:p>
    <w:p>
      <w:pPr>
        <w:spacing w:after="0" w:line="161" w:lineRule="exact"/>
        <w:rPr>
          <w:sz w:val="20"/>
          <w:szCs w:val="20"/>
          <w:color w:val="auto"/>
        </w:rPr>
      </w:pPr>
    </w:p>
    <w:p>
      <w:pPr>
        <w:ind w:firstLine="1296"/>
        <w:spacing w:after="0" w:line="232" w:lineRule="auto"/>
        <w:rPr>
          <w:sz w:val="20"/>
          <w:szCs w:val="20"/>
          <w:color w:val="auto"/>
        </w:rPr>
      </w:pPr>
      <w:r>
        <w:rPr>
          <w:rFonts w:ascii="Arial" w:cs="Arial" w:eastAsia="Arial" w:hAnsi="Arial"/>
          <w:sz w:val="22"/>
          <w:szCs w:val="22"/>
          <w:color w:val="auto"/>
        </w:rPr>
        <w:t xml:space="preserve">Section 6.4 </w:t>
      </w:r>
      <w:r>
        <w:rPr>
          <w:rFonts w:ascii="Arial" w:cs="Arial" w:eastAsia="Arial" w:hAnsi="Arial"/>
          <w:sz w:val="22"/>
          <w:szCs w:val="22"/>
          <w:u w:val="single" w:color="auto"/>
          <w:color w:val="auto"/>
        </w:rPr>
        <w:t>Restricted Payments</w:t>
      </w:r>
      <w:r>
        <w:rPr>
          <w:rFonts w:ascii="Arial" w:cs="Arial" w:eastAsia="Arial" w:hAnsi="Arial"/>
          <w:sz w:val="22"/>
          <w:szCs w:val="22"/>
          <w:color w:val="auto"/>
        </w:rPr>
        <w:t>. Each Loan Party will not, and will not permit any of its Restricted Subsidiaries to, declare or make, directly or indirectly, any Restricted Payment except:</w:t>
      </w:r>
    </w:p>
    <w:p>
      <w:pPr>
        <w:spacing w:after="0" w:line="159" w:lineRule="exact"/>
        <w:rPr>
          <w:sz w:val="20"/>
          <w:szCs w:val="20"/>
          <w:color w:val="auto"/>
        </w:rPr>
      </w:pPr>
    </w:p>
    <w:p>
      <w:pPr>
        <w:jc w:val="both"/>
        <w:ind w:left="80" w:firstLine="1305"/>
        <w:spacing w:after="0" w:line="229" w:lineRule="auto"/>
        <w:tabs>
          <w:tab w:leader="none" w:pos="1988" w:val="left"/>
        </w:tabs>
        <w:numPr>
          <w:ilvl w:val="0"/>
          <w:numId w:val="165"/>
        </w:numPr>
        <w:rPr>
          <w:rFonts w:ascii="Arial" w:cs="Arial" w:eastAsia="Arial" w:hAnsi="Arial"/>
          <w:sz w:val="21"/>
          <w:szCs w:val="21"/>
          <w:color w:val="auto"/>
        </w:rPr>
      </w:pPr>
      <w:r>
        <w:rPr>
          <w:rFonts w:ascii="Arial" w:cs="Arial" w:eastAsia="Arial" w:hAnsi="Arial"/>
          <w:sz w:val="21"/>
          <w:szCs w:val="21"/>
          <w:color w:val="auto"/>
        </w:rPr>
        <w:t>so long as no Default or Event of Default has occurred and is continuing or would result therefrom, Restricted Payments in an aggregate amount with respect to all Restricted Payments made pursuant to this clause (a) not to exceed (i) prior to the consummation of a Qualifying IPO, $10,000,000 during any fiscal year and (ii) upon and after the consummation of a Qualifying IPO, 6% of Total Market Cap at the time such Restricted Payment is made;</w:t>
      </w:r>
    </w:p>
    <w:p>
      <w:pPr>
        <w:spacing w:after="0" w:line="158" w:lineRule="exact"/>
        <w:rPr>
          <w:rFonts w:ascii="Arial" w:cs="Arial" w:eastAsia="Arial" w:hAnsi="Arial"/>
          <w:sz w:val="21"/>
          <w:szCs w:val="21"/>
          <w:color w:val="auto"/>
        </w:rPr>
      </w:pPr>
    </w:p>
    <w:p>
      <w:pPr>
        <w:ind w:left="80" w:firstLine="1305"/>
        <w:spacing w:after="0" w:line="232" w:lineRule="auto"/>
        <w:tabs>
          <w:tab w:leader="none" w:pos="1906" w:val="left"/>
        </w:tabs>
        <w:numPr>
          <w:ilvl w:val="0"/>
          <w:numId w:val="165"/>
        </w:numPr>
        <w:rPr>
          <w:rFonts w:ascii="Arial" w:cs="Arial" w:eastAsia="Arial" w:hAnsi="Arial"/>
          <w:sz w:val="22"/>
          <w:szCs w:val="22"/>
          <w:color w:val="auto"/>
        </w:rPr>
      </w:pPr>
      <w:r>
        <w:rPr>
          <w:rFonts w:ascii="Arial" w:cs="Arial" w:eastAsia="Arial" w:hAnsi="Arial"/>
          <w:sz w:val="22"/>
          <w:szCs w:val="22"/>
          <w:color w:val="auto"/>
        </w:rPr>
        <w:t>any Restricted Subsidiary of Holdings may declare and pay dividends or make other Restricted Payments ratably to (i) its equity holders, (ii) any Borrower or (iii) any Guarantor;</w:t>
      </w:r>
    </w:p>
    <w:p>
      <w:pPr>
        <w:spacing w:after="0" w:line="158" w:lineRule="exact"/>
        <w:rPr>
          <w:rFonts w:ascii="Arial" w:cs="Arial" w:eastAsia="Arial" w:hAnsi="Arial"/>
          <w:sz w:val="22"/>
          <w:szCs w:val="22"/>
          <w:color w:val="auto"/>
        </w:rPr>
      </w:pPr>
    </w:p>
    <w:p>
      <w:pPr>
        <w:jc w:val="both"/>
        <w:ind w:left="80" w:firstLine="1305"/>
        <w:spacing w:after="0" w:line="224" w:lineRule="auto"/>
        <w:tabs>
          <w:tab w:leader="none" w:pos="1859" w:val="left"/>
        </w:tabs>
        <w:numPr>
          <w:ilvl w:val="0"/>
          <w:numId w:val="165"/>
        </w:numPr>
        <w:rPr>
          <w:rFonts w:ascii="Arial" w:cs="Arial" w:eastAsia="Arial" w:hAnsi="Arial"/>
          <w:sz w:val="21"/>
          <w:szCs w:val="21"/>
          <w:color w:val="auto"/>
        </w:rPr>
      </w:pPr>
      <w:r>
        <w:rPr>
          <w:rFonts w:ascii="Arial" w:cs="Arial" w:eastAsia="Arial" w:hAnsi="Arial"/>
          <w:sz w:val="21"/>
          <w:szCs w:val="21"/>
          <w:color w:val="auto"/>
        </w:rPr>
        <w:t xml:space="preserve">Holdings may make Restricted Payments to redeem in whole or in part any of its Equity Interest (including Disqualified Equity Interests) for another class of its Equity Interests or rights to acquire its Equity Interests (other than, in each case, Disqualified Equity Interests) or with proceeds from substantially concurrent equity contributions or issuances of new Equity Interests (other than Disqualified Equity Interests);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only consideration paid for any such redemption is Equity Interests of Holdings or the proceeds of any substantially concurrent equity contribution or issuance of Equity Interest (other than, in each case, Disqualified Equity Interests);</w:t>
      </w:r>
    </w:p>
    <w:p>
      <w:pPr>
        <w:spacing w:after="0" w:line="159" w:lineRule="exact"/>
        <w:rPr>
          <w:rFonts w:ascii="Arial" w:cs="Arial" w:eastAsia="Arial" w:hAnsi="Arial"/>
          <w:sz w:val="21"/>
          <w:szCs w:val="21"/>
          <w:color w:val="auto"/>
        </w:rPr>
      </w:pPr>
    </w:p>
    <w:p>
      <w:pPr>
        <w:ind w:left="80" w:firstLine="1305"/>
        <w:spacing w:after="0" w:line="232" w:lineRule="auto"/>
        <w:tabs>
          <w:tab w:leader="none" w:pos="1884" w:val="left"/>
        </w:tabs>
        <w:numPr>
          <w:ilvl w:val="0"/>
          <w:numId w:val="165"/>
        </w:numPr>
        <w:rPr>
          <w:rFonts w:ascii="Arial" w:cs="Arial" w:eastAsia="Arial" w:hAnsi="Arial"/>
          <w:sz w:val="22"/>
          <w:szCs w:val="22"/>
          <w:color w:val="auto"/>
        </w:rPr>
      </w:pPr>
      <w:r>
        <w:rPr>
          <w:rFonts w:ascii="Arial" w:cs="Arial" w:eastAsia="Arial" w:hAnsi="Arial"/>
          <w:sz w:val="22"/>
          <w:szCs w:val="22"/>
          <w:color w:val="auto"/>
        </w:rPr>
        <w:t>each Loan Party may purchase common stock or common stock options from present or former officers or employees of any Group Member upon the death, disability</w:t>
      </w:r>
    </w:p>
    <w:p>
      <w:pPr>
        <w:sectPr>
          <w:pgSz w:w="11900" w:h="16838" w:orient="portrait"/>
          <w:cols w:equalWidth="0" w:num="1">
            <w:col w:w="11240"/>
          </w:cols>
          <w:pgMar w:left="320" w:top="1401" w:right="339" w:bottom="1440" w:gutter="0" w:footer="0" w:header="0"/>
        </w:sectPr>
      </w:pPr>
    </w:p>
    <w:bookmarkStart w:id="153" w:name="page154"/>
    <w:bookmarkEnd w:id="153"/>
    <w:p>
      <w:pPr>
        <w:ind w:left="80"/>
        <w:spacing w:after="0" w:line="232" w:lineRule="auto"/>
        <w:rPr>
          <w:sz w:val="20"/>
          <w:szCs w:val="20"/>
          <w:color w:val="auto"/>
        </w:rPr>
      </w:pPr>
      <w:r>
        <w:rPr>
          <w:rFonts w:ascii="Arial" w:cs="Arial" w:eastAsia="Arial" w:hAnsi="Arial"/>
          <w:sz w:val="22"/>
          <w:szCs w:val="22"/>
          <w:color w:val="auto"/>
        </w:rPr>
        <w:t xml:space="preserve">or termination of employment of such officer or employee;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amount of payments made under this clause (d) shall not exceed $5,000,000 in any fiscal year;</w:t>
      </w:r>
    </w:p>
    <w:p>
      <w:pPr>
        <w:spacing w:after="0" w:line="159" w:lineRule="exact"/>
        <w:rPr>
          <w:sz w:val="20"/>
          <w:szCs w:val="20"/>
          <w:color w:val="auto"/>
        </w:rPr>
      </w:pPr>
    </w:p>
    <w:p>
      <w:pPr>
        <w:ind w:left="80" w:firstLine="1305"/>
        <w:spacing w:after="0" w:line="232" w:lineRule="auto"/>
        <w:tabs>
          <w:tab w:leader="none" w:pos="1845" w:val="left"/>
        </w:tabs>
        <w:numPr>
          <w:ilvl w:val="0"/>
          <w:numId w:val="166"/>
        </w:numPr>
        <w:rPr>
          <w:rFonts w:ascii="Arial" w:cs="Arial" w:eastAsia="Arial" w:hAnsi="Arial"/>
          <w:sz w:val="22"/>
          <w:szCs w:val="22"/>
          <w:color w:val="auto"/>
        </w:rPr>
      </w:pPr>
      <w:r>
        <w:rPr>
          <w:rFonts w:ascii="Arial" w:cs="Arial" w:eastAsia="Arial" w:hAnsi="Arial"/>
          <w:sz w:val="22"/>
          <w:szCs w:val="22"/>
          <w:color w:val="auto"/>
        </w:rPr>
        <w:t>Holdings may declare and make dividends payable solely in additional shares of Holdings’ Qualified Equity Interests and may exchange Equity Interests for its Qualified Equity Interests;</w:t>
      </w:r>
    </w:p>
    <w:p>
      <w:pPr>
        <w:spacing w:after="0" w:line="158" w:lineRule="exact"/>
        <w:rPr>
          <w:rFonts w:ascii="Arial" w:cs="Arial" w:eastAsia="Arial" w:hAnsi="Arial"/>
          <w:sz w:val="22"/>
          <w:szCs w:val="22"/>
          <w:color w:val="auto"/>
        </w:rPr>
      </w:pPr>
    </w:p>
    <w:p>
      <w:pPr>
        <w:jc w:val="both"/>
        <w:ind w:left="80" w:firstLine="1305"/>
        <w:spacing w:after="0" w:line="268" w:lineRule="auto"/>
        <w:tabs>
          <w:tab w:leader="none" w:pos="1824" w:val="left"/>
        </w:tabs>
        <w:numPr>
          <w:ilvl w:val="0"/>
          <w:numId w:val="166"/>
        </w:numPr>
        <w:rPr>
          <w:rFonts w:ascii="Arial" w:cs="Arial" w:eastAsia="Arial" w:hAnsi="Arial"/>
          <w:sz w:val="19"/>
          <w:szCs w:val="19"/>
          <w:color w:val="auto"/>
        </w:rPr>
      </w:pPr>
      <w:r>
        <w:rPr>
          <w:rFonts w:ascii="Arial" w:cs="Arial" w:eastAsia="Arial" w:hAnsi="Arial"/>
          <w:sz w:val="19"/>
          <w:szCs w:val="19"/>
          <w:color w:val="auto"/>
        </w:rPr>
        <w:t>upon and after the consummation of a Qualifying IPO, Holdings may make any Restricted Payment that has been declared by Holdings, so long as (A) such Restricted Payment would be otherwise permitted under clause (a) of this Section 6.4 at the time so declared and (B) such Restricted Payment is made within 60 days of such declaration;</w:t>
      </w:r>
    </w:p>
    <w:p>
      <w:pPr>
        <w:spacing w:after="0" w:line="132" w:lineRule="exact"/>
        <w:rPr>
          <w:rFonts w:ascii="Arial" w:cs="Arial" w:eastAsia="Arial" w:hAnsi="Arial"/>
          <w:sz w:val="19"/>
          <w:szCs w:val="19"/>
          <w:color w:val="auto"/>
        </w:rPr>
      </w:pPr>
    </w:p>
    <w:p>
      <w:pPr>
        <w:jc w:val="both"/>
        <w:ind w:left="80" w:firstLine="1305"/>
        <w:spacing w:after="0" w:line="218" w:lineRule="auto"/>
        <w:tabs>
          <w:tab w:leader="none" w:pos="2085" w:val="left"/>
        </w:tabs>
        <w:numPr>
          <w:ilvl w:val="0"/>
          <w:numId w:val="166"/>
        </w:numPr>
        <w:rPr>
          <w:rFonts w:ascii="Arial" w:cs="Arial" w:eastAsia="Arial" w:hAnsi="Arial"/>
          <w:sz w:val="22"/>
          <w:szCs w:val="22"/>
          <w:color w:val="auto"/>
        </w:rPr>
      </w:pPr>
      <w:r>
        <w:rPr>
          <w:rFonts w:ascii="Arial" w:cs="Arial" w:eastAsia="Arial" w:hAnsi="Arial"/>
          <w:sz w:val="22"/>
          <w:szCs w:val="22"/>
          <w:color w:val="auto"/>
        </w:rPr>
        <w:t xml:space="preserve">Holdings may repurchase Equity Interests pursuant to any accelerated stock repurchase or similar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payments made by Holdings with respect to such accelerated stock repurchase or similar agreement would be otherwise permitted under clause (a) of this </w:t>
      </w:r>
      <w:r>
        <w:rPr>
          <w:rFonts w:ascii="Arial" w:cs="Arial" w:eastAsia="Arial" w:hAnsi="Arial"/>
          <w:sz w:val="22"/>
          <w:szCs w:val="22"/>
          <w:u w:val="single" w:color="auto"/>
          <w:color w:val="auto"/>
        </w:rPr>
        <w:t>Section 6.4</w:t>
      </w:r>
      <w:r>
        <w:rPr>
          <w:rFonts w:ascii="Arial" w:cs="Arial" w:eastAsia="Arial" w:hAnsi="Arial"/>
          <w:sz w:val="22"/>
          <w:szCs w:val="22"/>
          <w:color w:val="auto"/>
        </w:rPr>
        <w:t xml:space="preserve"> at the time such agreement is entered into as if it were a Restricted Payment made by Holdings at such time;</w:t>
      </w:r>
    </w:p>
    <w:p>
      <w:pPr>
        <w:spacing w:after="0" w:line="160" w:lineRule="exact"/>
        <w:rPr>
          <w:rFonts w:ascii="Arial" w:cs="Arial" w:eastAsia="Arial" w:hAnsi="Arial"/>
          <w:sz w:val="22"/>
          <w:szCs w:val="22"/>
          <w:color w:val="auto"/>
        </w:rPr>
      </w:pPr>
    </w:p>
    <w:p>
      <w:pPr>
        <w:jc w:val="both"/>
        <w:ind w:left="80" w:firstLine="1305"/>
        <w:spacing w:after="0" w:line="218" w:lineRule="auto"/>
        <w:tabs>
          <w:tab w:leader="none" w:pos="2051" w:val="left"/>
        </w:tabs>
        <w:numPr>
          <w:ilvl w:val="0"/>
          <w:numId w:val="166"/>
        </w:numPr>
        <w:rPr>
          <w:rFonts w:ascii="Arial" w:cs="Arial" w:eastAsia="Arial" w:hAnsi="Arial"/>
          <w:sz w:val="22"/>
          <w:szCs w:val="22"/>
          <w:color w:val="auto"/>
        </w:rPr>
      </w:pPr>
      <w:r>
        <w:rPr>
          <w:rFonts w:ascii="Arial" w:cs="Arial" w:eastAsia="Arial" w:hAnsi="Arial"/>
          <w:sz w:val="22"/>
          <w:szCs w:val="22"/>
          <w:color w:val="auto"/>
        </w:rPr>
        <w:t>Holdings may repurchase Equity Interests or rights in respect thereof granted to directors, officers, employees or other providers of services to Holdings and the Subsidiaries at the original purchase price of such Equity Interests or rights in respect thereof pursuant to a right of repurchase set forth in equity compensation plans in connection with a cessation of service;</w:t>
      </w:r>
    </w:p>
    <w:p>
      <w:pPr>
        <w:spacing w:after="0" w:line="160" w:lineRule="exact"/>
        <w:rPr>
          <w:rFonts w:ascii="Arial" w:cs="Arial" w:eastAsia="Arial" w:hAnsi="Arial"/>
          <w:sz w:val="22"/>
          <w:szCs w:val="22"/>
          <w:color w:val="auto"/>
        </w:rPr>
      </w:pPr>
    </w:p>
    <w:p>
      <w:pPr>
        <w:jc w:val="both"/>
        <w:ind w:left="80" w:firstLine="1305"/>
        <w:spacing w:after="0" w:line="223" w:lineRule="auto"/>
        <w:tabs>
          <w:tab w:leader="none" w:pos="1822" w:val="left"/>
        </w:tabs>
        <w:numPr>
          <w:ilvl w:val="0"/>
          <w:numId w:val="166"/>
        </w:numPr>
        <w:rPr>
          <w:rFonts w:ascii="Arial" w:cs="Arial" w:eastAsia="Arial" w:hAnsi="Arial"/>
          <w:sz w:val="22"/>
          <w:szCs w:val="22"/>
          <w:color w:val="auto"/>
        </w:rPr>
      </w:pPr>
      <w:r>
        <w:rPr>
          <w:rFonts w:ascii="Arial" w:cs="Arial" w:eastAsia="Arial" w:hAnsi="Arial"/>
          <w:sz w:val="22"/>
          <w:szCs w:val="22"/>
          <w:color w:val="auto"/>
        </w:rPr>
        <w:t>Holdings may (x) repurchase fractional shares of its Equity Interests arising out of stock dividends, splits or combinations, business combinations or conversions of convertible securities or exercises of warrants or options or (y) “net exercise” or “net share settle” warrants or options;</w:t>
      </w:r>
    </w:p>
    <w:p>
      <w:pPr>
        <w:spacing w:after="0" w:line="158" w:lineRule="exact"/>
        <w:rPr>
          <w:rFonts w:ascii="Arial" w:cs="Arial" w:eastAsia="Arial" w:hAnsi="Arial"/>
          <w:sz w:val="22"/>
          <w:szCs w:val="22"/>
          <w:color w:val="auto"/>
        </w:rPr>
      </w:pPr>
    </w:p>
    <w:p>
      <w:pPr>
        <w:jc w:val="both"/>
        <w:ind w:left="80" w:firstLine="1305"/>
        <w:spacing w:after="0" w:line="218" w:lineRule="auto"/>
        <w:tabs>
          <w:tab w:leader="none" w:pos="1832" w:val="left"/>
        </w:tabs>
        <w:numPr>
          <w:ilvl w:val="0"/>
          <w:numId w:val="166"/>
        </w:numPr>
        <w:rPr>
          <w:rFonts w:ascii="Arial" w:cs="Arial" w:eastAsia="Arial" w:hAnsi="Arial"/>
          <w:sz w:val="22"/>
          <w:szCs w:val="22"/>
          <w:color w:val="auto"/>
        </w:rPr>
      </w:pPr>
      <w:r>
        <w:rPr>
          <w:rFonts w:ascii="Arial" w:cs="Arial" w:eastAsia="Arial" w:hAnsi="Arial"/>
          <w:sz w:val="22"/>
          <w:szCs w:val="22"/>
          <w:color w:val="auto"/>
        </w:rPr>
        <w:t>the receipt or acceptance by any Borrower or any Subsidiary of the return of Equity Interests issued by any Borrower or any Subsidiary to the seller of a Person, business or division as consideration for the purchase of such Person, business or division, which return is in settlement of indemnification claims owed by such seller in connection with such acquisition; and</w:t>
      </w:r>
    </w:p>
    <w:p>
      <w:pPr>
        <w:spacing w:after="0" w:line="160" w:lineRule="exact"/>
        <w:rPr>
          <w:rFonts w:ascii="Arial" w:cs="Arial" w:eastAsia="Arial" w:hAnsi="Arial"/>
          <w:sz w:val="22"/>
          <w:szCs w:val="22"/>
          <w:color w:val="auto"/>
        </w:rPr>
      </w:pPr>
    </w:p>
    <w:p>
      <w:pPr>
        <w:jc w:val="both"/>
        <w:ind w:left="80" w:firstLine="1305"/>
        <w:spacing w:after="0" w:line="223" w:lineRule="auto"/>
        <w:tabs>
          <w:tab w:leader="none" w:pos="1972" w:val="left"/>
        </w:tabs>
        <w:numPr>
          <w:ilvl w:val="0"/>
          <w:numId w:val="166"/>
        </w:numPr>
        <w:rPr>
          <w:rFonts w:ascii="Arial" w:cs="Arial" w:eastAsia="Arial" w:hAnsi="Arial"/>
          <w:sz w:val="22"/>
          <w:szCs w:val="22"/>
          <w:color w:val="auto"/>
        </w:rPr>
      </w:pPr>
      <w:r>
        <w:rPr>
          <w:rFonts w:ascii="Arial" w:cs="Arial" w:eastAsia="Arial" w:hAnsi="Arial"/>
          <w:sz w:val="22"/>
          <w:szCs w:val="22"/>
          <w:color w:val="auto"/>
        </w:rPr>
        <w:t>upon and after the consummation of a Qualifying IPO, so long as no Default or Event of Default has occurred and is continuing or would result therefrom, Holdings may purchase, redeem or otherwise acquire its Equity Interests for aggregate consideration not in excess of $25,000,000 in any fiscal year.</w:t>
      </w:r>
    </w:p>
    <w:p>
      <w:pPr>
        <w:spacing w:after="0" w:line="15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 xml:space="preserve">Section 6.5 </w:t>
      </w:r>
      <w:r>
        <w:rPr>
          <w:rFonts w:ascii="Arial" w:cs="Arial" w:eastAsia="Arial" w:hAnsi="Arial"/>
          <w:sz w:val="19"/>
          <w:szCs w:val="19"/>
          <w:u w:val="single" w:color="auto"/>
          <w:color w:val="auto"/>
        </w:rPr>
        <w:t>Restrictive Agreements</w:t>
      </w:r>
      <w:r>
        <w:rPr>
          <w:rFonts w:ascii="Arial" w:cs="Arial" w:eastAsia="Arial" w:hAnsi="Arial"/>
          <w:sz w:val="19"/>
          <w:szCs w:val="19"/>
          <w:color w:val="auto"/>
        </w:rPr>
        <w:t xml:space="preserve">. Each Loan Party will not, and will not permit any of its Restricted Subsidiaries to, directly or indirectly, enter into, incur or permit to exist any agreement or other arrangement that prohibits, restricts or imposes any condition upon (a) the ability of an Loan Party to create, incur or permit to exist any Lien upon any Collateral to secure the Obligations, or (b) the ability of any Restricted Subsidiary to pay dividends or other distributions with respect to any shares of its capital stock or to make or repay loans or advances to any Borrower or any other Restricted Subsidiary or of any Restricted Subsidiary to Guarantee Indebtedness of any Borrower or any other Restricted Subsidiary under the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foregoing shall not apply to restrictions and conditions imposed by law or by this Agreement or any other Loan Document, (ii) the foregoing shall not apply to restrictions and conditions existing on the Effective Date identified on </w:t>
      </w:r>
      <w:r>
        <w:rPr>
          <w:rFonts w:ascii="Arial" w:cs="Arial" w:eastAsia="Arial" w:hAnsi="Arial"/>
          <w:sz w:val="19"/>
          <w:szCs w:val="19"/>
          <w:u w:val="single" w:color="auto"/>
          <w:color w:val="auto"/>
        </w:rPr>
        <w:t>Schedule 6.5</w:t>
      </w:r>
      <w:r>
        <w:rPr>
          <w:rFonts w:ascii="Arial" w:cs="Arial" w:eastAsia="Arial" w:hAnsi="Arial"/>
          <w:sz w:val="19"/>
          <w:szCs w:val="19"/>
          <w:color w:val="auto"/>
        </w:rPr>
        <w:t xml:space="preserve"> (and shall apply to any extension or renewal of, or any amendment or modification materially expanding the scope of, any such restrictions or conditions taken as a whole), (iii) the foregoing shall not apply to customary restrictions and conditions contained in agreements relating to the sale of a Restricted</w:t>
      </w:r>
    </w:p>
    <w:p>
      <w:pPr>
        <w:sectPr>
          <w:pgSz w:w="11900" w:h="16838" w:orient="portrait"/>
          <w:cols w:equalWidth="0" w:num="1">
            <w:col w:w="11240"/>
          </w:cols>
          <w:pgMar w:left="320" w:top="1401" w:right="339" w:bottom="1440" w:gutter="0" w:footer="0" w:header="0"/>
        </w:sectPr>
      </w:pPr>
    </w:p>
    <w:bookmarkStart w:id="154" w:name="page155"/>
    <w:bookmarkEnd w:id="154"/>
    <w:p>
      <w:pPr>
        <w:jc w:val="both"/>
        <w:spacing w:after="0"/>
        <w:rPr>
          <w:sz w:val="20"/>
          <w:szCs w:val="20"/>
          <w:color w:val="auto"/>
        </w:rPr>
      </w:pPr>
      <w:r>
        <w:rPr>
          <w:rFonts w:ascii="Arial" w:cs="Arial" w:eastAsia="Arial" w:hAnsi="Arial"/>
          <w:sz w:val="19"/>
          <w:szCs w:val="19"/>
          <w:color w:val="auto"/>
        </w:rPr>
        <w:t xml:space="preserve">Subsidiary or assets of any Borrower or any Restricted Subsidiary pending such sale,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restrictions and conditions apply only to the Restricted Subsidiary or assets to be sold and such sale is not prohibited hereunder, (iv) the foregoing shall not apply to any agreement or restriction or condition in effect at the time any Person becomes a Restricted Subsidiary, so long as such agreement was not entered into solely in contemplation of such Person becoming a Restricted Subsidiary, (v) the foregoing shall not apply to customary provisions in joint venture agreements and other similar agreements applicable to Joint Ventures, (vi) the foregoing shall not apply to restrictions or conditions imposed by any agreement relating to secured Indebtedness permitted by this Agreement if such restrictions or conditions apply only to the property or assets securing such Indebtedness, (vii) the foregoing shall not apply to customary provisions in leases, licenses, sub-leases and sub-licenses and other contracts restricting the assignment thereof or restricting the grant of Liens in such lease, license, sub-lease, sub-license or other contract, (viii) the foregoing shall not apply to restrictions or conditions set forth in any agreement governing Indebtedness not prohibited by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restrictions and conditions are customary for such Indebtedness as determined in the good faith judgment of Holdings, (ix) the foregoing shall not apply to restrictions on cash or other deposits (including escrowed funds) imposed under contracts entered into in the ordinary course of business, (x) the foregoing shall not apply to restrictions existing under or by reason of applicable law, regulation or order, (xi) the foregoing shall not apply to restrictions on cash or other deposits or net worth imposed by suppliers, customers or landlords under contracts entered into in the ordinary course of business, (xii) the foregoing shall not apply to any restrictions imposed by any amendments, modifications, restatements, renewals, increases, supplements, refundings, replacements or refinancings of the contracts, agreements, instruments or obligations referred to in this Section 6.5; provided that, as determined by Holdings in good faith, such amendments, modifications, restatements, renewals, increases, supplements, refundings, replacements or refinancings are not materially more restrictive with respect to such restrictions than those prior to such amendments, modifications, restatements, renewals, increases, supplements, refundings, replacements or refinancings and (xiii) clause (b) of the foregoing shall not apply to any other instrument or agreement entered into after the Effective Date that contains encumbrances and restrictions that, as determined by Holdings in good faith, will not materially adversely affect the Borrowers’ ability to make payments on the Loans.</w:t>
      </w:r>
    </w:p>
    <w:p>
      <w:pPr>
        <w:spacing w:after="0" w:line="159"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19"/>
          <w:szCs w:val="19"/>
          <w:color w:val="auto"/>
        </w:rPr>
        <w:t xml:space="preserve">Section 6.6 </w:t>
      </w: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 xml:space="preserve">. Each Loan Party will not, and will not permit any of its Restricted Subsidiaries to, sell, lease or otherwise transfer any property or assets to, or purchase, lease or otherwise acquire any property or assets from, or otherwise engage in any other transactions with, any of its Affiliates (other than between or among any Loan Party and its Restricted Subsidiaries and not involving any other Affiliate except as otherwise permitted hereunder), except (a) on terms and conditions not less favorable to such Loan Party or such Restricted Subsidiary than could be obtained on an arm’s-length basis from unrelated third parties as determined in good faith by the independent directors of the Board of Directors, (b) payment of customary directors’ fees, customary out-of-pocket expense reimbursement, indemnities (including the provision of directors and officers insurance) and compensation and benefit arrangements for members of the board of directors, officers or other employees of Holdings or any of its Restricted Subsidiaries, (c) any transaction involving amounts less than $500,000 individually or $5,000,000 in the aggregate in any fiscal year, (d) any Restricted Payment permitted by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or Investment permitted by </w:t>
      </w:r>
      <w:r>
        <w:rPr>
          <w:rFonts w:ascii="Arial" w:cs="Arial" w:eastAsia="Arial" w:hAnsi="Arial"/>
          <w:sz w:val="19"/>
          <w:szCs w:val="19"/>
          <w:u w:val="single" w:color="auto"/>
          <w:color w:val="auto"/>
        </w:rPr>
        <w:t>Section 6.7</w:t>
      </w:r>
      <w:r>
        <w:rPr>
          <w:rFonts w:ascii="Arial" w:cs="Arial" w:eastAsia="Arial" w:hAnsi="Arial"/>
          <w:sz w:val="19"/>
          <w:szCs w:val="19"/>
          <w:color w:val="auto"/>
        </w:rPr>
        <w:t xml:space="preserve">, (e) (i) any agreement or arrangement in effect on the Effective Date and, to the extent involving aggregate consideration for all such agreements or arrangements collectively in excess of $5,000,000, set forth in </w:t>
      </w:r>
      <w:r>
        <w:rPr>
          <w:rFonts w:ascii="Arial" w:cs="Arial" w:eastAsia="Arial" w:hAnsi="Arial"/>
          <w:sz w:val="19"/>
          <w:szCs w:val="19"/>
          <w:u w:val="single" w:color="auto"/>
          <w:color w:val="auto"/>
        </w:rPr>
        <w:t>Schedule 6.6</w:t>
      </w:r>
      <w:r>
        <w:rPr>
          <w:rFonts w:ascii="Arial" w:cs="Arial" w:eastAsia="Arial" w:hAnsi="Arial"/>
          <w:sz w:val="19"/>
          <w:szCs w:val="19"/>
          <w:color w:val="auto"/>
        </w:rPr>
        <w:t>,</w:t>
      </w:r>
    </w:p>
    <w:p>
      <w:pPr>
        <w:spacing w:after="0" w:line="10" w:lineRule="exact"/>
        <w:rPr>
          <w:sz w:val="20"/>
          <w:szCs w:val="20"/>
          <w:color w:val="auto"/>
        </w:rPr>
      </w:pPr>
    </w:p>
    <w:p>
      <w:pPr>
        <w:jc w:val="both"/>
        <w:ind w:firstLine="8"/>
        <w:spacing w:after="0" w:line="212" w:lineRule="auto"/>
        <w:tabs>
          <w:tab w:leader="none" w:pos="349" w:val="left"/>
        </w:tabs>
        <w:numPr>
          <w:ilvl w:val="0"/>
          <w:numId w:val="167"/>
        </w:numPr>
        <w:rPr>
          <w:rFonts w:ascii="Arial" w:cs="Arial" w:eastAsia="Arial" w:hAnsi="Arial"/>
          <w:sz w:val="22"/>
          <w:szCs w:val="22"/>
          <w:color w:val="auto"/>
        </w:rPr>
      </w:pPr>
      <w:r>
        <w:rPr>
          <w:rFonts w:ascii="Arial" w:cs="Arial" w:eastAsia="Arial" w:hAnsi="Arial"/>
          <w:sz w:val="22"/>
          <w:szCs w:val="22"/>
          <w:color w:val="auto"/>
        </w:rPr>
        <w:t>any amendment or replacement thereof that is not more disadvantageous to the Lenders in any material respect than the agreement or arrangement in effect on the Effective Date, as determined in good faith by Holdings or (iii) any transaction pursuant to any agreement or arrangement described in the foregoing clause (i) or (ii) of this clause (e), (f) any transaction with a Joint Venture or similar entity which would be subject to this Section 6.6 solely because a Loan Party or a Restricted Subsidiary owns an Equity Interest in</w:t>
      </w:r>
    </w:p>
    <w:p>
      <w:pPr>
        <w:sectPr>
          <w:pgSz w:w="11900" w:h="16838" w:orient="portrait"/>
          <w:cols w:equalWidth="0" w:num="1">
            <w:col w:w="11240"/>
          </w:cols>
          <w:pgMar w:left="320" w:top="1401" w:right="339" w:bottom="1440" w:gutter="0" w:footer="0" w:header="0"/>
        </w:sectPr>
      </w:pPr>
    </w:p>
    <w:bookmarkStart w:id="155" w:name="page156"/>
    <w:bookmarkEnd w:id="155"/>
    <w:p>
      <w:pPr>
        <w:jc w:val="both"/>
        <w:spacing w:after="0" w:line="218" w:lineRule="auto"/>
        <w:rPr>
          <w:sz w:val="20"/>
          <w:szCs w:val="20"/>
          <w:color w:val="auto"/>
        </w:rPr>
      </w:pPr>
      <w:r>
        <w:rPr>
          <w:rFonts w:ascii="Arial" w:cs="Arial" w:eastAsia="Arial" w:hAnsi="Arial"/>
          <w:sz w:val="22"/>
          <w:szCs w:val="22"/>
          <w:color w:val="auto"/>
        </w:rPr>
        <w:t>or otherwise controls such Joint Venture or similar entity, (g) any transaction entered into by a Person prior to the time such Person becomes a Restricted Subsidiary or is merged or consolidated with or into a Loan Party or a Restricted Subsidiary, (h) any transaction with an Affiliate where the only consideration paid by any Loan Party or Restricted Subsidiary is Qualified Equity Interests, (i) the issuance or sale of any Qualified Equity Interests.</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Section 6.7 </w:t>
      </w:r>
      <w:r>
        <w:rPr>
          <w:rFonts w:ascii="Arial" w:cs="Arial" w:eastAsia="Arial" w:hAnsi="Arial"/>
          <w:sz w:val="22"/>
          <w:szCs w:val="22"/>
          <w:u w:val="single" w:color="auto"/>
          <w:color w:val="auto"/>
        </w:rPr>
        <w:t>Investments</w:t>
      </w:r>
      <w:r>
        <w:rPr>
          <w:rFonts w:ascii="Arial" w:cs="Arial" w:eastAsia="Arial" w:hAnsi="Arial"/>
          <w:sz w:val="22"/>
          <w:szCs w:val="22"/>
          <w:color w:val="auto"/>
        </w:rPr>
        <w:t>. No Loan Party shall, nor shall it permit any of its Restricted Subsidiaries to, directly or indirectly, make or own any Investment in any Person, including any Joint Venture, except:</w:t>
      </w:r>
    </w:p>
    <w:p>
      <w:pPr>
        <w:spacing w:after="0" w:line="159" w:lineRule="exact"/>
        <w:rPr>
          <w:sz w:val="20"/>
          <w:szCs w:val="20"/>
          <w:color w:val="auto"/>
        </w:rPr>
      </w:pPr>
    </w:p>
    <w:p>
      <w:pPr>
        <w:ind w:left="1840" w:hanging="455"/>
        <w:spacing w:after="0"/>
        <w:tabs>
          <w:tab w:leader="none" w:pos="184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Investments in cash and Cash Equivalents and Investments that were in Cash Equivalents when made;</w:t>
      </w:r>
    </w:p>
    <w:p>
      <w:pPr>
        <w:spacing w:after="0" w:line="213" w:lineRule="exact"/>
        <w:rPr>
          <w:rFonts w:ascii="Arial" w:cs="Arial" w:eastAsia="Arial" w:hAnsi="Arial"/>
          <w:sz w:val="19"/>
          <w:szCs w:val="19"/>
          <w:color w:val="auto"/>
        </w:rPr>
      </w:pPr>
    </w:p>
    <w:p>
      <w:pPr>
        <w:ind w:left="80" w:firstLine="1305"/>
        <w:spacing w:after="0" w:line="232" w:lineRule="auto"/>
        <w:tabs>
          <w:tab w:leader="none" w:pos="1923" w:val="left"/>
        </w:tabs>
        <w:numPr>
          <w:ilvl w:val="0"/>
          <w:numId w:val="168"/>
        </w:numPr>
        <w:rPr>
          <w:rFonts w:ascii="Arial" w:cs="Arial" w:eastAsia="Arial" w:hAnsi="Arial"/>
          <w:sz w:val="22"/>
          <w:szCs w:val="22"/>
          <w:color w:val="auto"/>
        </w:rPr>
      </w:pPr>
      <w:r>
        <w:rPr>
          <w:rFonts w:ascii="Arial" w:cs="Arial" w:eastAsia="Arial" w:hAnsi="Arial"/>
          <w:sz w:val="22"/>
          <w:szCs w:val="22"/>
          <w:color w:val="auto"/>
        </w:rPr>
        <w:t>Investments owned as of the Effective Date in any Restricted Subsidiary and Investments made after the Effective Date in any Borrower and any wholly owned Restricted Subsidiary which is a Loan Party;</w:t>
      </w:r>
    </w:p>
    <w:p>
      <w:pPr>
        <w:spacing w:after="0" w:line="158" w:lineRule="exact"/>
        <w:rPr>
          <w:rFonts w:ascii="Arial" w:cs="Arial" w:eastAsia="Arial" w:hAnsi="Arial"/>
          <w:sz w:val="22"/>
          <w:szCs w:val="22"/>
          <w:color w:val="auto"/>
        </w:rPr>
      </w:pPr>
    </w:p>
    <w:p>
      <w:pPr>
        <w:ind w:left="80" w:firstLine="1305"/>
        <w:spacing w:after="0" w:line="232" w:lineRule="auto"/>
        <w:tabs>
          <w:tab w:leader="none" w:pos="1967" w:val="left"/>
        </w:tabs>
        <w:numPr>
          <w:ilvl w:val="0"/>
          <w:numId w:val="168"/>
        </w:numPr>
        <w:rPr>
          <w:rFonts w:ascii="Arial" w:cs="Arial" w:eastAsia="Arial" w:hAnsi="Arial"/>
          <w:sz w:val="22"/>
          <w:szCs w:val="22"/>
          <w:color w:val="auto"/>
        </w:rPr>
      </w:pPr>
      <w:r>
        <w:rPr>
          <w:rFonts w:ascii="Arial" w:cs="Arial" w:eastAsia="Arial" w:hAnsi="Arial"/>
          <w:sz w:val="22"/>
          <w:szCs w:val="22"/>
          <w:color w:val="auto"/>
        </w:rPr>
        <w:t xml:space="preserve">Investments in Unrestricted Subsidiaries and Joint Ventures;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Investments (including through intercompany loans) shall not exceed at any time an aggregate amount equal to $50,000,000;</w:t>
      </w:r>
    </w:p>
    <w:p>
      <w:pPr>
        <w:spacing w:after="0" w:line="158" w:lineRule="exact"/>
        <w:rPr>
          <w:rFonts w:ascii="Arial" w:cs="Arial" w:eastAsia="Arial" w:hAnsi="Arial"/>
          <w:sz w:val="22"/>
          <w:szCs w:val="22"/>
          <w:color w:val="auto"/>
        </w:rPr>
      </w:pPr>
    </w:p>
    <w:p>
      <w:pPr>
        <w:jc w:val="both"/>
        <w:ind w:left="80" w:firstLine="1305"/>
        <w:spacing w:after="0" w:line="268" w:lineRule="auto"/>
        <w:tabs>
          <w:tab w:leader="none" w:pos="1885"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intercompany loans in accordance with </w:t>
      </w:r>
      <w:r>
        <w:rPr>
          <w:rFonts w:ascii="Arial" w:cs="Arial" w:eastAsia="Arial" w:hAnsi="Arial"/>
          <w:sz w:val="19"/>
          <w:szCs w:val="19"/>
          <w:u w:val="single" w:color="auto"/>
          <w:color w:val="auto"/>
        </w:rPr>
        <w:t>Section 6.1(d)</w:t>
      </w:r>
      <w:r>
        <w:rPr>
          <w:rFonts w:ascii="Arial" w:cs="Arial" w:eastAsia="Arial" w:hAnsi="Arial"/>
          <w:sz w:val="19"/>
          <w:szCs w:val="19"/>
          <w:color w:val="auto"/>
        </w:rPr>
        <w:t xml:space="preserve"> to, and other Investments in, Restricted Subsidiaries which are not Guarantors;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of all such Investments (including through such intercompany loans and any Acquisition) shall not exceed, at the time any such Investment is made, $100,000,000;</w:t>
      </w:r>
    </w:p>
    <w:p>
      <w:pPr>
        <w:spacing w:after="0" w:line="132" w:lineRule="exact"/>
        <w:rPr>
          <w:rFonts w:ascii="Arial" w:cs="Arial" w:eastAsia="Arial" w:hAnsi="Arial"/>
          <w:sz w:val="19"/>
          <w:szCs w:val="19"/>
          <w:color w:val="auto"/>
        </w:rPr>
      </w:pPr>
    </w:p>
    <w:p>
      <w:pPr>
        <w:ind w:left="80" w:firstLine="1305"/>
        <w:spacing w:after="0" w:line="232" w:lineRule="auto"/>
        <w:tabs>
          <w:tab w:leader="none" w:pos="185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loans and advances to employees of Holdings and its Restricted Subsidiaries made in the ordinary course of business in an aggregate principal amount not to exceed $3,000,000;</w:t>
      </w:r>
    </w:p>
    <w:p>
      <w:pPr>
        <w:spacing w:after="0" w:line="158" w:lineRule="exact"/>
        <w:rPr>
          <w:rFonts w:ascii="Arial" w:cs="Arial" w:eastAsia="Arial" w:hAnsi="Arial"/>
          <w:sz w:val="22"/>
          <w:szCs w:val="22"/>
          <w:color w:val="auto"/>
        </w:rPr>
      </w:pPr>
    </w:p>
    <w:p>
      <w:pPr>
        <w:ind w:left="1820" w:hanging="435"/>
        <w:spacing w:after="0"/>
        <w:tabs>
          <w:tab w:leader="none" w:pos="182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 xml:space="preserve">Investments described in </w:t>
      </w:r>
      <w:r>
        <w:rPr>
          <w:rFonts w:ascii="Arial" w:cs="Arial" w:eastAsia="Arial" w:hAnsi="Arial"/>
          <w:sz w:val="22"/>
          <w:szCs w:val="22"/>
          <w:u w:val="single" w:color="auto"/>
          <w:color w:val="auto"/>
        </w:rPr>
        <w:t>Schedule 6.7</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80" w:firstLine="1305"/>
        <w:spacing w:after="0" w:line="232" w:lineRule="auto"/>
        <w:tabs>
          <w:tab w:leader="none" w:pos="1914" w:val="left"/>
        </w:tabs>
        <w:numPr>
          <w:ilvl w:val="0"/>
          <w:numId w:val="168"/>
        </w:numPr>
        <w:rPr>
          <w:rFonts w:ascii="Arial" w:cs="Arial" w:eastAsia="Arial" w:hAnsi="Arial"/>
          <w:sz w:val="22"/>
          <w:szCs w:val="22"/>
          <w:color w:val="auto"/>
        </w:rPr>
      </w:pPr>
      <w:r>
        <w:rPr>
          <w:rFonts w:ascii="Arial" w:cs="Arial" w:eastAsia="Arial" w:hAnsi="Arial"/>
          <w:sz w:val="22"/>
          <w:szCs w:val="22"/>
          <w:color w:val="auto"/>
        </w:rPr>
        <w:t>Swap Agreements (including the purchase of any Permitted Call Spread Transaction by Holdings and the performance of its obligations thereunder) which constitute Investments;</w:t>
      </w:r>
    </w:p>
    <w:p>
      <w:pPr>
        <w:spacing w:after="0" w:line="158" w:lineRule="exact"/>
        <w:rPr>
          <w:rFonts w:ascii="Arial" w:cs="Arial" w:eastAsia="Arial" w:hAnsi="Arial"/>
          <w:sz w:val="22"/>
          <w:szCs w:val="22"/>
          <w:color w:val="auto"/>
        </w:rPr>
      </w:pPr>
    </w:p>
    <w:p>
      <w:pPr>
        <w:ind w:left="1860" w:hanging="475"/>
        <w:spacing w:after="0"/>
        <w:tabs>
          <w:tab w:leader="none" w:pos="186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trade receivables in the ordinary course of business;</w:t>
      </w:r>
    </w:p>
    <w:p>
      <w:pPr>
        <w:spacing w:after="0" w:line="179" w:lineRule="exact"/>
        <w:rPr>
          <w:rFonts w:ascii="Arial" w:cs="Arial" w:eastAsia="Arial" w:hAnsi="Arial"/>
          <w:sz w:val="22"/>
          <w:szCs w:val="22"/>
          <w:color w:val="auto"/>
        </w:rPr>
      </w:pPr>
    </w:p>
    <w:p>
      <w:pPr>
        <w:ind w:left="80" w:firstLine="1305"/>
        <w:spacing w:after="0" w:line="232" w:lineRule="auto"/>
        <w:tabs>
          <w:tab w:leader="none" w:pos="1912" w:val="left"/>
        </w:tabs>
        <w:numPr>
          <w:ilvl w:val="0"/>
          <w:numId w:val="168"/>
        </w:numPr>
        <w:rPr>
          <w:rFonts w:ascii="Arial" w:cs="Arial" w:eastAsia="Arial" w:hAnsi="Arial"/>
          <w:sz w:val="22"/>
          <w:szCs w:val="22"/>
          <w:color w:val="auto"/>
        </w:rPr>
      </w:pPr>
      <w:r>
        <w:rPr>
          <w:rFonts w:ascii="Arial" w:cs="Arial" w:eastAsia="Arial" w:hAnsi="Arial"/>
          <w:sz w:val="22"/>
          <w:szCs w:val="22"/>
          <w:color w:val="auto"/>
        </w:rPr>
        <w:t>guarantees to insurers required in connection with worker’s compensation and other insurance coverage arranged in the ordinary course of business;</w:t>
      </w:r>
    </w:p>
    <w:p>
      <w:pPr>
        <w:spacing w:after="0" w:line="158" w:lineRule="exact"/>
        <w:rPr>
          <w:rFonts w:ascii="Arial" w:cs="Arial" w:eastAsia="Arial" w:hAnsi="Arial"/>
          <w:sz w:val="22"/>
          <w:szCs w:val="22"/>
          <w:color w:val="auto"/>
        </w:rPr>
      </w:pPr>
    </w:p>
    <w:p>
      <w:pPr>
        <w:jc w:val="both"/>
        <w:ind w:left="80" w:firstLine="1305"/>
        <w:spacing w:after="0" w:line="223" w:lineRule="auto"/>
        <w:tabs>
          <w:tab w:leader="none" w:pos="1891" w:val="left"/>
        </w:tabs>
        <w:numPr>
          <w:ilvl w:val="0"/>
          <w:numId w:val="168"/>
        </w:numPr>
        <w:rPr>
          <w:rFonts w:ascii="Arial" w:cs="Arial" w:eastAsia="Arial" w:hAnsi="Arial"/>
          <w:sz w:val="22"/>
          <w:szCs w:val="22"/>
          <w:color w:val="auto"/>
        </w:rPr>
      </w:pPr>
      <w:r>
        <w:rPr>
          <w:rFonts w:ascii="Arial" w:cs="Arial" w:eastAsia="Arial" w:hAnsi="Arial"/>
          <w:sz w:val="22"/>
          <w:szCs w:val="22"/>
          <w:color w:val="auto"/>
        </w:rPr>
        <w:t>Investments (including debt obligations) received in connection with the bankruptcy or reorganization of suppliers and customers and in good faith settlement of delinquent obligations of, and other disputes with, customers and suppliers arising in the ordinary course of business;</w:t>
      </w:r>
    </w:p>
    <w:p>
      <w:pPr>
        <w:spacing w:after="0" w:line="158" w:lineRule="exact"/>
        <w:rPr>
          <w:rFonts w:ascii="Arial" w:cs="Arial" w:eastAsia="Arial" w:hAnsi="Arial"/>
          <w:sz w:val="22"/>
          <w:szCs w:val="22"/>
          <w:color w:val="auto"/>
        </w:rPr>
      </w:pPr>
    </w:p>
    <w:p>
      <w:pPr>
        <w:ind w:left="1900" w:hanging="515"/>
        <w:spacing w:after="0"/>
        <w:tabs>
          <w:tab w:leader="none" w:pos="190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intercompany Investments by any Subsidiary that is not a Loan Party in any other Subsidiary that is not a</w:t>
      </w:r>
    </w:p>
    <w:p>
      <w:pPr>
        <w:spacing w:after="0" w:line="15" w:lineRule="exact"/>
        <w:rPr>
          <w:rFonts w:ascii="Arial" w:cs="Arial" w:eastAsia="Arial" w:hAnsi="Arial"/>
          <w:sz w:val="19"/>
          <w:szCs w:val="19"/>
          <w:color w:val="auto"/>
        </w:rPr>
      </w:pPr>
    </w:p>
    <w:p>
      <w:pPr>
        <w:ind w:left="80"/>
        <w:spacing w:after="0"/>
        <w:rPr>
          <w:rFonts w:ascii="Arial" w:cs="Arial" w:eastAsia="Arial" w:hAnsi="Arial"/>
          <w:sz w:val="19"/>
          <w:szCs w:val="19"/>
          <w:color w:val="auto"/>
        </w:rPr>
      </w:pPr>
      <w:r>
        <w:rPr>
          <w:rFonts w:ascii="Arial" w:cs="Arial" w:eastAsia="Arial" w:hAnsi="Arial"/>
          <w:sz w:val="22"/>
          <w:szCs w:val="22"/>
          <w:color w:val="auto"/>
        </w:rPr>
        <w:t>Loan Party;</w:t>
      </w:r>
    </w:p>
    <w:p>
      <w:pPr>
        <w:spacing w:after="0" w:line="161" w:lineRule="exact"/>
        <w:rPr>
          <w:rFonts w:ascii="Arial" w:cs="Arial" w:eastAsia="Arial" w:hAnsi="Arial"/>
          <w:sz w:val="19"/>
          <w:szCs w:val="19"/>
          <w:color w:val="auto"/>
        </w:rPr>
      </w:pPr>
    </w:p>
    <w:p>
      <w:pPr>
        <w:ind w:left="1800" w:hanging="415"/>
        <w:spacing w:after="0"/>
        <w:tabs>
          <w:tab w:leader="none" w:pos="180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lease, utility and other similar deposits in the ordinary course of business;</w:t>
      </w:r>
    </w:p>
    <w:p>
      <w:pPr>
        <w:spacing w:after="0" w:line="179" w:lineRule="exact"/>
        <w:rPr>
          <w:rFonts w:ascii="Arial" w:cs="Arial" w:eastAsia="Arial" w:hAnsi="Arial"/>
          <w:sz w:val="22"/>
          <w:szCs w:val="22"/>
          <w:color w:val="auto"/>
        </w:rPr>
      </w:pPr>
    </w:p>
    <w:p>
      <w:pPr>
        <w:ind w:left="80" w:firstLine="1305"/>
        <w:spacing w:after="0" w:line="298" w:lineRule="auto"/>
        <w:tabs>
          <w:tab w:leader="none" w:pos="1937"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Investments of any Person in existence at the time such Person becomes a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Investment was not made in connection with or anticipation of such Person becoming a Restricted Subsidiary;</w:t>
      </w:r>
    </w:p>
    <w:p>
      <w:pPr>
        <w:sectPr>
          <w:pgSz w:w="11900" w:h="16838" w:orient="portrait"/>
          <w:cols w:equalWidth="0" w:num="1">
            <w:col w:w="11240"/>
          </w:cols>
          <w:pgMar w:left="320" w:top="1401" w:right="339" w:bottom="1440" w:gutter="0" w:footer="0" w:header="0"/>
        </w:sectPr>
      </w:pPr>
    </w:p>
    <w:bookmarkStart w:id="156" w:name="page157"/>
    <w:bookmarkEnd w:id="156"/>
    <w:p>
      <w:pPr>
        <w:jc w:val="both"/>
        <w:ind w:left="-1040" w:firstLine="1305"/>
        <w:spacing w:after="0" w:line="218" w:lineRule="auto"/>
        <w:tabs>
          <w:tab w:leader="none" w:pos="814" w:val="left"/>
        </w:tabs>
        <w:numPr>
          <w:ilvl w:val="1"/>
          <w:numId w:val="169"/>
        </w:numPr>
        <w:rPr>
          <w:rFonts w:ascii="Arial" w:cs="Arial" w:eastAsia="Arial" w:hAnsi="Arial"/>
          <w:sz w:val="22"/>
          <w:szCs w:val="22"/>
          <w:color w:val="auto"/>
        </w:rPr>
      </w:pPr>
      <w:r>
        <w:rPr>
          <w:rFonts w:ascii="Arial" w:cs="Arial" w:eastAsia="Arial" w:hAnsi="Arial"/>
          <w:sz w:val="22"/>
          <w:szCs w:val="22"/>
          <w:color w:val="auto"/>
        </w:rPr>
        <w:t>purchases or other acquisitions by any Group Member of the Equity Interests in a Person that, upon the consummation thereof, will be a Restricted Subsidiary (including as a result of a merger or consolidation) or all or substantially all of the assets of, or assets constituting one or more business units of, any Person (each, a “</w:t>
      </w:r>
      <w:r>
        <w:rPr>
          <w:rFonts w:ascii="Arial" w:cs="Arial" w:eastAsia="Arial" w:hAnsi="Arial"/>
          <w:sz w:val="22"/>
          <w:szCs w:val="22"/>
          <w:u w:val="single" w:color="auto"/>
          <w:color w:val="auto"/>
        </w:rPr>
        <w:t>Permitted Acquisition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with respect to each such purchase or other acquisition:</w:t>
      </w:r>
    </w:p>
    <w:p>
      <w:pPr>
        <w:spacing w:after="0" w:line="160" w:lineRule="exact"/>
        <w:rPr>
          <w:rFonts w:ascii="Arial" w:cs="Arial" w:eastAsia="Arial" w:hAnsi="Arial"/>
          <w:sz w:val="22"/>
          <w:szCs w:val="22"/>
          <w:color w:val="auto"/>
        </w:rPr>
      </w:pPr>
    </w:p>
    <w:p>
      <w:pPr>
        <w:jc w:val="both"/>
        <w:ind w:left="-460" w:firstLine="644"/>
        <w:spacing w:after="0" w:line="223" w:lineRule="auto"/>
        <w:tabs>
          <w:tab w:leader="none" w:pos="681" w:val="left"/>
        </w:tabs>
        <w:numPr>
          <w:ilvl w:val="0"/>
          <w:numId w:val="170"/>
        </w:numPr>
        <w:rPr>
          <w:rFonts w:ascii="Arial" w:cs="Arial" w:eastAsia="Arial" w:hAnsi="Arial"/>
          <w:sz w:val="22"/>
          <w:szCs w:val="22"/>
          <w:color w:val="auto"/>
        </w:rPr>
      </w:pPr>
      <w:r>
        <w:rPr>
          <w:rFonts w:ascii="Arial" w:cs="Arial" w:eastAsia="Arial" w:hAnsi="Arial"/>
          <w:sz w:val="22"/>
          <w:szCs w:val="22"/>
          <w:color w:val="auto"/>
        </w:rPr>
        <w:t>the newly-created or acquired Restricted Subsidiary (or assets acquired in connection with such asset sale) shall be (x) in the same or a related line of business as that conducted by the Borrowers on the date hereof, or (y) in a business that is permitted by Section 6.3(c);</w:t>
      </w:r>
    </w:p>
    <w:p>
      <w:pPr>
        <w:spacing w:after="0" w:line="158" w:lineRule="exact"/>
        <w:rPr>
          <w:rFonts w:ascii="Arial" w:cs="Arial" w:eastAsia="Arial" w:hAnsi="Arial"/>
          <w:sz w:val="22"/>
          <w:szCs w:val="22"/>
          <w:color w:val="auto"/>
        </w:rPr>
      </w:pPr>
    </w:p>
    <w:p>
      <w:pPr>
        <w:ind w:left="-460" w:firstLine="644"/>
        <w:spacing w:after="0" w:line="232" w:lineRule="auto"/>
        <w:tabs>
          <w:tab w:leader="none" w:pos="791" w:val="left"/>
        </w:tabs>
        <w:numPr>
          <w:ilvl w:val="0"/>
          <w:numId w:val="170"/>
        </w:numPr>
        <w:rPr>
          <w:rFonts w:ascii="Arial" w:cs="Arial" w:eastAsia="Arial" w:hAnsi="Arial"/>
          <w:sz w:val="22"/>
          <w:szCs w:val="22"/>
          <w:color w:val="auto"/>
        </w:rPr>
      </w:pPr>
      <w:r>
        <w:rPr>
          <w:rFonts w:ascii="Arial" w:cs="Arial" w:eastAsia="Arial" w:hAnsi="Arial"/>
          <w:sz w:val="22"/>
          <w:szCs w:val="22"/>
          <w:color w:val="auto"/>
        </w:rPr>
        <w:t>all transactions related to such purchase or acquisition shall be consummated in all material respects in accordance with all applicable law;</w:t>
      </w:r>
    </w:p>
    <w:p>
      <w:pPr>
        <w:spacing w:after="0" w:line="158" w:lineRule="exact"/>
        <w:rPr>
          <w:rFonts w:ascii="Arial" w:cs="Arial" w:eastAsia="Arial" w:hAnsi="Arial"/>
          <w:sz w:val="22"/>
          <w:szCs w:val="22"/>
          <w:color w:val="auto"/>
        </w:rPr>
      </w:pPr>
    </w:p>
    <w:p>
      <w:pPr>
        <w:jc w:val="both"/>
        <w:ind w:left="-460" w:firstLine="644"/>
        <w:spacing w:after="0" w:line="218" w:lineRule="auto"/>
        <w:tabs>
          <w:tab w:leader="none" w:pos="773" w:val="left"/>
        </w:tabs>
        <w:numPr>
          <w:ilvl w:val="0"/>
          <w:numId w:val="170"/>
        </w:numPr>
        <w:rPr>
          <w:rFonts w:ascii="Arial" w:cs="Arial" w:eastAsia="Arial" w:hAnsi="Arial"/>
          <w:sz w:val="22"/>
          <w:szCs w:val="22"/>
          <w:color w:val="auto"/>
        </w:rPr>
      </w:pPr>
      <w:r>
        <w:rPr>
          <w:rFonts w:ascii="Arial" w:cs="Arial" w:eastAsia="Arial" w:hAnsi="Arial"/>
          <w:sz w:val="22"/>
          <w:szCs w:val="22"/>
          <w:color w:val="auto"/>
        </w:rPr>
        <w:t>no Loan Party shall, as a result of or in connection with any such purchase or acquisition, assume or incur any direct or contingent liabilities (whether relating to environmental, tax, litigation or other matters) that, as of the date of such purchase or acquisition, would reasonably be expected to result in the existence or incurrence of a Material Adverse Effect, as determined by Holdings in good faith;</w:t>
      </w:r>
    </w:p>
    <w:p>
      <w:pPr>
        <w:spacing w:after="0" w:line="160" w:lineRule="exact"/>
        <w:rPr>
          <w:rFonts w:ascii="Arial" w:cs="Arial" w:eastAsia="Arial" w:hAnsi="Arial"/>
          <w:sz w:val="22"/>
          <w:szCs w:val="22"/>
          <w:color w:val="auto"/>
        </w:rPr>
      </w:pPr>
    </w:p>
    <w:p>
      <w:pPr>
        <w:ind w:left="-460" w:firstLine="644"/>
        <w:spacing w:after="0" w:line="232" w:lineRule="auto"/>
        <w:tabs>
          <w:tab w:leader="none" w:pos="743" w:val="left"/>
        </w:tabs>
        <w:numPr>
          <w:ilvl w:val="0"/>
          <w:numId w:val="170"/>
        </w:numPr>
        <w:rPr>
          <w:rFonts w:ascii="Arial" w:cs="Arial" w:eastAsia="Arial" w:hAnsi="Arial"/>
          <w:sz w:val="22"/>
          <w:szCs w:val="22"/>
          <w:color w:val="auto"/>
        </w:rPr>
      </w:pPr>
      <w:r>
        <w:rPr>
          <w:rFonts w:ascii="Arial" w:cs="Arial" w:eastAsia="Arial" w:hAnsi="Arial"/>
          <w:sz w:val="22"/>
          <w:szCs w:val="22"/>
          <w:color w:val="auto"/>
        </w:rPr>
        <w:t>the Borrower shall give the Administrative Agent written notice of any such purchase or acquisition at least ten (10) Business Days prior to the closing thereof;</w:t>
      </w:r>
    </w:p>
    <w:p>
      <w:pPr>
        <w:spacing w:after="0" w:line="158" w:lineRule="exact"/>
        <w:rPr>
          <w:rFonts w:ascii="Arial" w:cs="Arial" w:eastAsia="Arial" w:hAnsi="Arial"/>
          <w:sz w:val="22"/>
          <w:szCs w:val="22"/>
          <w:color w:val="auto"/>
        </w:rPr>
      </w:pPr>
    </w:p>
    <w:p>
      <w:pPr>
        <w:jc w:val="both"/>
        <w:ind w:left="-460" w:firstLine="644"/>
        <w:spacing w:after="0" w:line="223" w:lineRule="auto"/>
        <w:tabs>
          <w:tab w:leader="none" w:pos="711" w:val="left"/>
        </w:tabs>
        <w:numPr>
          <w:ilvl w:val="0"/>
          <w:numId w:val="170"/>
        </w:numPr>
        <w:rPr>
          <w:rFonts w:ascii="Arial" w:cs="Arial" w:eastAsia="Arial" w:hAnsi="Arial"/>
          <w:sz w:val="22"/>
          <w:szCs w:val="22"/>
          <w:color w:val="auto"/>
        </w:rPr>
      </w:pPr>
      <w:r>
        <w:rPr>
          <w:rFonts w:ascii="Arial" w:cs="Arial" w:eastAsia="Arial" w:hAnsi="Arial"/>
          <w:sz w:val="22"/>
          <w:szCs w:val="22"/>
          <w:color w:val="auto"/>
        </w:rPr>
        <w:t>the Borrower shall provide to the Administrative Agent as soon as available but in any event not later than five (5) Business Days after the execution thereof, a copy of any executed purchase agreement or similar agreement with respect to any such purchase or acquisition;</w:t>
      </w:r>
    </w:p>
    <w:p>
      <w:pPr>
        <w:spacing w:after="0" w:line="158" w:lineRule="exact"/>
        <w:rPr>
          <w:rFonts w:ascii="Arial" w:cs="Arial" w:eastAsia="Arial" w:hAnsi="Arial"/>
          <w:sz w:val="22"/>
          <w:szCs w:val="22"/>
          <w:color w:val="auto"/>
        </w:rPr>
      </w:pPr>
    </w:p>
    <w:p>
      <w:pPr>
        <w:ind w:left="-460" w:firstLine="644"/>
        <w:spacing w:after="0" w:line="232" w:lineRule="auto"/>
        <w:tabs>
          <w:tab w:leader="none" w:pos="747" w:val="left"/>
        </w:tabs>
        <w:numPr>
          <w:ilvl w:val="0"/>
          <w:numId w:val="170"/>
        </w:numPr>
        <w:rPr>
          <w:rFonts w:ascii="Arial" w:cs="Arial" w:eastAsia="Arial" w:hAnsi="Arial"/>
          <w:sz w:val="22"/>
          <w:szCs w:val="22"/>
          <w:color w:val="auto"/>
        </w:rPr>
      </w:pPr>
      <w:r>
        <w:rPr>
          <w:rFonts w:ascii="Arial" w:cs="Arial" w:eastAsia="Arial" w:hAnsi="Arial"/>
          <w:sz w:val="22"/>
          <w:szCs w:val="22"/>
          <w:color w:val="auto"/>
        </w:rPr>
        <w:t>any such newly-created or acquired Restricted Subsidiary, or the Loan Party that is the acquirer of assets in connection with an asset acquisition, shall comply with the requirements of Section 5.10;</w:t>
      </w:r>
    </w:p>
    <w:p>
      <w:pPr>
        <w:spacing w:after="0" w:line="158" w:lineRule="exact"/>
        <w:rPr>
          <w:rFonts w:ascii="Arial" w:cs="Arial" w:eastAsia="Arial" w:hAnsi="Arial"/>
          <w:sz w:val="22"/>
          <w:szCs w:val="22"/>
          <w:color w:val="auto"/>
        </w:rPr>
      </w:pPr>
    </w:p>
    <w:p>
      <w:pPr>
        <w:jc w:val="both"/>
        <w:ind w:left="-460" w:firstLine="644"/>
        <w:spacing w:after="0" w:line="216" w:lineRule="auto"/>
        <w:tabs>
          <w:tab w:leader="none" w:pos="816" w:val="left"/>
        </w:tabs>
        <w:numPr>
          <w:ilvl w:val="0"/>
          <w:numId w:val="170"/>
        </w:numPr>
        <w:rPr>
          <w:rFonts w:ascii="Arial" w:cs="Arial" w:eastAsia="Arial" w:hAnsi="Arial"/>
          <w:sz w:val="22"/>
          <w:szCs w:val="22"/>
          <w:color w:val="auto"/>
        </w:rPr>
      </w:pPr>
      <w:r>
        <w:rPr>
          <w:rFonts w:ascii="Arial" w:cs="Arial" w:eastAsia="Arial" w:hAnsi="Arial"/>
          <w:sz w:val="22"/>
          <w:szCs w:val="22"/>
          <w:color w:val="auto"/>
        </w:rPr>
        <w:t>subject to Section 1.8, (x) immediately before and immediately after giving effect to any such purchase or other acquisition, no Default or Event of Default shall have occurred and be continuing and (y) immediately after giving effect to such purchase or other acquisition, Holdings and its Subsidiaries shall be in compliance with each of the covenants set forth in Section 6.9, based upon financial statements delivered to the Administrative Agent which give effect, on a pro forma basis, to such acquisition or other purchase;</w:t>
      </w:r>
    </w:p>
    <w:p>
      <w:pPr>
        <w:spacing w:after="0" w:line="157" w:lineRule="exact"/>
        <w:rPr>
          <w:rFonts w:ascii="Arial" w:cs="Arial" w:eastAsia="Arial" w:hAnsi="Arial"/>
          <w:sz w:val="22"/>
          <w:szCs w:val="22"/>
          <w:color w:val="auto"/>
        </w:rPr>
      </w:pPr>
    </w:p>
    <w:p>
      <w:pPr>
        <w:ind w:left="840" w:hanging="656"/>
        <w:spacing w:after="0"/>
        <w:tabs>
          <w:tab w:leader="none" w:pos="84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such purchase or acquisition shall not constitute an Unfriendly Acquisition;</w:t>
      </w:r>
    </w:p>
    <w:p>
      <w:pPr>
        <w:spacing w:after="0" w:line="179" w:lineRule="exact"/>
        <w:rPr>
          <w:rFonts w:ascii="Arial" w:cs="Arial" w:eastAsia="Arial" w:hAnsi="Arial"/>
          <w:sz w:val="22"/>
          <w:szCs w:val="22"/>
          <w:color w:val="auto"/>
        </w:rPr>
      </w:pPr>
    </w:p>
    <w:p>
      <w:pPr>
        <w:ind w:left="-460" w:firstLine="644"/>
        <w:spacing w:after="0" w:line="232" w:lineRule="auto"/>
        <w:tabs>
          <w:tab w:leader="none" w:pos="801" w:val="left"/>
        </w:tabs>
        <w:numPr>
          <w:ilvl w:val="0"/>
          <w:numId w:val="170"/>
        </w:numPr>
        <w:rPr>
          <w:rFonts w:ascii="Arial" w:cs="Arial" w:eastAsia="Arial" w:hAnsi="Arial"/>
          <w:sz w:val="22"/>
          <w:szCs w:val="22"/>
          <w:color w:val="auto"/>
        </w:rPr>
      </w:pPr>
      <w:r>
        <w:rPr>
          <w:rFonts w:ascii="Arial" w:cs="Arial" w:eastAsia="Arial" w:hAnsi="Arial"/>
          <w:sz w:val="22"/>
          <w:szCs w:val="22"/>
          <w:color w:val="auto"/>
        </w:rPr>
        <w:t>the aggregate amount of such Investments in assets that do not become owned by the Loan Parties or in Equity Interests of Persons that do not become Loan Parties shall not exceed $50,000,000; and</w:t>
      </w:r>
    </w:p>
    <w:p>
      <w:pPr>
        <w:spacing w:after="0" w:line="158" w:lineRule="exact"/>
        <w:rPr>
          <w:rFonts w:ascii="Arial" w:cs="Arial" w:eastAsia="Arial" w:hAnsi="Arial"/>
          <w:sz w:val="22"/>
          <w:szCs w:val="22"/>
          <w:color w:val="auto"/>
        </w:rPr>
      </w:pPr>
    </w:p>
    <w:p>
      <w:pPr>
        <w:jc w:val="both"/>
        <w:ind w:left="-460" w:firstLine="644"/>
        <w:spacing w:after="0" w:line="226" w:lineRule="auto"/>
        <w:tabs>
          <w:tab w:leader="none" w:pos="761" w:val="left"/>
        </w:tabs>
        <w:numPr>
          <w:ilvl w:val="0"/>
          <w:numId w:val="170"/>
        </w:numPr>
        <w:rPr>
          <w:rFonts w:ascii="Arial" w:cs="Arial" w:eastAsia="Arial" w:hAnsi="Arial"/>
          <w:sz w:val="21"/>
          <w:szCs w:val="21"/>
          <w:color w:val="auto"/>
        </w:rPr>
      </w:pPr>
      <w:r>
        <w:rPr>
          <w:rFonts w:ascii="Arial" w:cs="Arial" w:eastAsia="Arial" w:hAnsi="Arial"/>
          <w:sz w:val="21"/>
          <w:szCs w:val="21"/>
          <w:color w:val="auto"/>
        </w:rPr>
        <w:t>Holdings shall have delivered to the Administrative Agent, at least 5 Business Days prior to the date on which any such purchase or other acquisition is to be consummated (or such later date as is agreed by the Administrative Agent in its sole discretion), a certificate of a Responsible Officer, in form and substance reasonably satisfactory to the Administrative Agent, certifying that all of the requirements set forth in this definition have been satisfied or will be satisfied on or prior to the consummation of such purchase or other acquisition;</w:t>
      </w:r>
    </w:p>
    <w:p>
      <w:pPr>
        <w:sectPr>
          <w:pgSz w:w="11900" w:h="16838" w:orient="portrait"/>
          <w:cols w:equalWidth="0" w:num="1">
            <w:col w:w="10120"/>
          </w:cols>
          <w:pgMar w:left="1440" w:top="1401" w:right="339" w:bottom="1440" w:gutter="0" w:footer="0" w:header="0"/>
        </w:sectPr>
      </w:pPr>
    </w:p>
    <w:bookmarkStart w:id="157" w:name="page158"/>
    <w:bookmarkEnd w:id="157"/>
    <w:p>
      <w:pPr>
        <w:ind w:left="80" w:firstLine="1305"/>
        <w:spacing w:after="0" w:line="232" w:lineRule="auto"/>
        <w:tabs>
          <w:tab w:leader="none" w:pos="2061" w:val="left"/>
        </w:tabs>
        <w:numPr>
          <w:ilvl w:val="0"/>
          <w:numId w:val="171"/>
        </w:numPr>
        <w:rPr>
          <w:rFonts w:ascii="Arial" w:cs="Arial" w:eastAsia="Arial" w:hAnsi="Arial"/>
          <w:sz w:val="22"/>
          <w:szCs w:val="22"/>
          <w:color w:val="auto"/>
        </w:rPr>
      </w:pPr>
      <w:r>
        <w:rPr>
          <w:rFonts w:ascii="Arial" w:cs="Arial" w:eastAsia="Arial" w:hAnsi="Arial"/>
          <w:sz w:val="22"/>
          <w:szCs w:val="22"/>
          <w:color w:val="auto"/>
        </w:rPr>
        <w:t>Investments consisting of (i) the Guaranteed Obligations and (ii) any Guarantee of obligations not prohibited by Section 6.1;</w:t>
      </w:r>
    </w:p>
    <w:p>
      <w:pPr>
        <w:spacing w:after="0" w:line="158" w:lineRule="exact"/>
        <w:rPr>
          <w:rFonts w:ascii="Arial" w:cs="Arial" w:eastAsia="Arial" w:hAnsi="Arial"/>
          <w:sz w:val="22"/>
          <w:szCs w:val="22"/>
          <w:color w:val="auto"/>
        </w:rPr>
      </w:pPr>
    </w:p>
    <w:p>
      <w:pPr>
        <w:ind w:left="80" w:firstLine="1305"/>
        <w:spacing w:after="0" w:line="298" w:lineRule="auto"/>
        <w:tabs>
          <w:tab w:leader="none" w:pos="1932" w:val="left"/>
        </w:tabs>
        <w:numPr>
          <w:ilvl w:val="0"/>
          <w:numId w:val="171"/>
        </w:numPr>
        <w:rPr>
          <w:rFonts w:ascii="Arial" w:cs="Arial" w:eastAsia="Arial" w:hAnsi="Arial"/>
          <w:sz w:val="19"/>
          <w:szCs w:val="19"/>
          <w:color w:val="auto"/>
        </w:rPr>
      </w:pPr>
      <w:r>
        <w:rPr>
          <w:rFonts w:ascii="Arial" w:cs="Arial" w:eastAsia="Arial" w:hAnsi="Arial"/>
          <w:sz w:val="19"/>
          <w:szCs w:val="19"/>
          <w:color w:val="auto"/>
        </w:rPr>
        <w:t>Guarantees of operating leases (other than Capital Lease Obligations) or of other obligations that do not constitute Indebtedness, in each case entered into by a Loan Party or Restricted Subsidiary in the ordinary course of business;</w:t>
      </w:r>
    </w:p>
    <w:p>
      <w:pPr>
        <w:spacing w:after="0" w:line="105" w:lineRule="exact"/>
        <w:rPr>
          <w:rFonts w:ascii="Arial" w:cs="Arial" w:eastAsia="Arial" w:hAnsi="Arial"/>
          <w:sz w:val="19"/>
          <w:szCs w:val="19"/>
          <w:color w:val="auto"/>
        </w:rPr>
      </w:pPr>
    </w:p>
    <w:p>
      <w:pPr>
        <w:ind w:left="80" w:firstLine="1305"/>
        <w:spacing w:after="0" w:line="232" w:lineRule="auto"/>
        <w:tabs>
          <w:tab w:leader="none" w:pos="1893" w:val="left"/>
        </w:tabs>
        <w:numPr>
          <w:ilvl w:val="0"/>
          <w:numId w:val="171"/>
        </w:numPr>
        <w:rPr>
          <w:rFonts w:ascii="Arial" w:cs="Arial" w:eastAsia="Arial" w:hAnsi="Arial"/>
          <w:sz w:val="22"/>
          <w:szCs w:val="22"/>
          <w:color w:val="auto"/>
        </w:rPr>
      </w:pPr>
      <w:r>
        <w:rPr>
          <w:rFonts w:ascii="Arial" w:cs="Arial" w:eastAsia="Arial" w:hAnsi="Arial"/>
          <w:sz w:val="22"/>
          <w:szCs w:val="22"/>
          <w:color w:val="auto"/>
        </w:rPr>
        <w:t>Investments arising out of the receipt by a Loan Party or a Restricted Subsidiary of noncash consideration for the sale of assets permitted under Section 6.3(b);</w:t>
      </w:r>
    </w:p>
    <w:p>
      <w:pPr>
        <w:spacing w:after="0" w:line="158" w:lineRule="exact"/>
        <w:rPr>
          <w:rFonts w:ascii="Arial" w:cs="Arial" w:eastAsia="Arial" w:hAnsi="Arial"/>
          <w:sz w:val="22"/>
          <w:szCs w:val="22"/>
          <w:color w:val="auto"/>
        </w:rPr>
      </w:pPr>
    </w:p>
    <w:p>
      <w:pPr>
        <w:ind w:left="1860" w:hanging="475"/>
        <w:spacing w:after="0"/>
        <w:tabs>
          <w:tab w:leader="none" w:pos="186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Investments to the extent that payment for such Investments is made with Qualified Equity Interests of the</w:t>
      </w:r>
    </w:p>
    <w:p>
      <w:pPr>
        <w:spacing w:after="0" w:line="15" w:lineRule="exact"/>
        <w:rPr>
          <w:rFonts w:ascii="Arial" w:cs="Arial" w:eastAsia="Arial" w:hAnsi="Arial"/>
          <w:sz w:val="19"/>
          <w:szCs w:val="19"/>
          <w:color w:val="auto"/>
        </w:rPr>
      </w:pPr>
    </w:p>
    <w:p>
      <w:pPr>
        <w:ind w:left="80"/>
        <w:spacing w:after="0"/>
        <w:rPr>
          <w:rFonts w:ascii="Arial" w:cs="Arial" w:eastAsia="Arial" w:hAnsi="Arial"/>
          <w:sz w:val="19"/>
          <w:szCs w:val="19"/>
          <w:color w:val="auto"/>
        </w:rPr>
      </w:pPr>
      <w:r>
        <w:rPr>
          <w:rFonts w:ascii="Arial" w:cs="Arial" w:eastAsia="Arial" w:hAnsi="Arial"/>
          <w:sz w:val="22"/>
          <w:szCs w:val="22"/>
          <w:color w:val="auto"/>
        </w:rPr>
        <w:t>Borrower;</w:t>
      </w:r>
    </w:p>
    <w:p>
      <w:pPr>
        <w:spacing w:after="0" w:line="161" w:lineRule="exact"/>
        <w:rPr>
          <w:rFonts w:ascii="Arial" w:cs="Arial" w:eastAsia="Arial" w:hAnsi="Arial"/>
          <w:sz w:val="19"/>
          <w:szCs w:val="19"/>
          <w:color w:val="auto"/>
        </w:rPr>
      </w:pPr>
    </w:p>
    <w:p>
      <w:pPr>
        <w:ind w:left="80" w:firstLine="1305"/>
        <w:spacing w:after="0" w:line="298" w:lineRule="auto"/>
        <w:tabs>
          <w:tab w:leader="none" w:pos="2057" w:val="left"/>
        </w:tabs>
        <w:numPr>
          <w:ilvl w:val="0"/>
          <w:numId w:val="171"/>
        </w:numPr>
        <w:rPr>
          <w:rFonts w:ascii="Arial" w:cs="Arial" w:eastAsia="Arial" w:hAnsi="Arial"/>
          <w:sz w:val="19"/>
          <w:szCs w:val="19"/>
          <w:color w:val="auto"/>
        </w:rPr>
      </w:pPr>
      <w:r>
        <w:rPr>
          <w:rFonts w:ascii="Arial" w:cs="Arial" w:eastAsia="Arial" w:hAnsi="Arial"/>
          <w:sz w:val="19"/>
          <w:szCs w:val="19"/>
          <w:color w:val="auto"/>
        </w:rPr>
        <w:t>Investments in the ordinary course of business consisting of Uniform Commercial Code Article 3 endorsements for collection or deposit and Uniform Commercial Code Article 4 customary trade arrangements with customers;</w:t>
      </w:r>
    </w:p>
    <w:p>
      <w:pPr>
        <w:spacing w:after="0" w:line="105" w:lineRule="exact"/>
        <w:rPr>
          <w:rFonts w:ascii="Arial" w:cs="Arial" w:eastAsia="Arial" w:hAnsi="Arial"/>
          <w:sz w:val="19"/>
          <w:szCs w:val="19"/>
          <w:color w:val="auto"/>
        </w:rPr>
      </w:pPr>
    </w:p>
    <w:p>
      <w:pPr>
        <w:ind w:left="80" w:firstLine="1305"/>
        <w:spacing w:after="0" w:line="232" w:lineRule="auto"/>
        <w:tabs>
          <w:tab w:leader="none" w:pos="1855" w:val="left"/>
        </w:tabs>
        <w:numPr>
          <w:ilvl w:val="0"/>
          <w:numId w:val="171"/>
        </w:numPr>
        <w:rPr>
          <w:rFonts w:ascii="Arial" w:cs="Arial" w:eastAsia="Arial" w:hAnsi="Arial"/>
          <w:sz w:val="22"/>
          <w:szCs w:val="22"/>
          <w:color w:val="auto"/>
        </w:rPr>
      </w:pPr>
      <w:r>
        <w:rPr>
          <w:rFonts w:ascii="Arial" w:cs="Arial" w:eastAsia="Arial" w:hAnsi="Arial"/>
          <w:sz w:val="22"/>
          <w:szCs w:val="22"/>
          <w:color w:val="auto"/>
        </w:rPr>
        <w:t>advances in the form of a prepayment of expenses, so long as such expenses are being paid in accordance with customary trade terms of the Borrower or such Subsidiary;</w:t>
      </w:r>
    </w:p>
    <w:p>
      <w:pPr>
        <w:spacing w:after="0" w:line="158" w:lineRule="exact"/>
        <w:rPr>
          <w:rFonts w:ascii="Arial" w:cs="Arial" w:eastAsia="Arial" w:hAnsi="Arial"/>
          <w:sz w:val="22"/>
          <w:szCs w:val="22"/>
          <w:color w:val="auto"/>
        </w:rPr>
      </w:pPr>
    </w:p>
    <w:p>
      <w:pPr>
        <w:ind w:left="80" w:firstLine="1305"/>
        <w:spacing w:after="0" w:line="232" w:lineRule="auto"/>
        <w:tabs>
          <w:tab w:leader="none" w:pos="1897" w:val="left"/>
        </w:tabs>
        <w:numPr>
          <w:ilvl w:val="0"/>
          <w:numId w:val="171"/>
        </w:numPr>
        <w:rPr>
          <w:rFonts w:ascii="Arial" w:cs="Arial" w:eastAsia="Arial" w:hAnsi="Arial"/>
          <w:sz w:val="22"/>
          <w:szCs w:val="22"/>
          <w:color w:val="auto"/>
        </w:rPr>
      </w:pPr>
      <w:r>
        <w:rPr>
          <w:rFonts w:ascii="Arial" w:cs="Arial" w:eastAsia="Arial" w:hAnsi="Arial"/>
          <w:sz w:val="22"/>
          <w:szCs w:val="22"/>
          <w:color w:val="auto"/>
        </w:rPr>
        <w:t>Investments consisting of the licensing or contribution of Intellectual Property pursuant to joint marketing or other similar arrangements with other persons in the ordinary course of business;</w:t>
      </w:r>
    </w:p>
    <w:p>
      <w:pPr>
        <w:spacing w:after="0" w:line="158" w:lineRule="exact"/>
        <w:rPr>
          <w:rFonts w:ascii="Arial" w:cs="Arial" w:eastAsia="Arial" w:hAnsi="Arial"/>
          <w:sz w:val="22"/>
          <w:szCs w:val="22"/>
          <w:color w:val="auto"/>
        </w:rPr>
      </w:pPr>
    </w:p>
    <w:p>
      <w:pPr>
        <w:jc w:val="both"/>
        <w:ind w:left="80" w:firstLine="1305"/>
        <w:spacing w:after="0" w:line="223" w:lineRule="auto"/>
        <w:tabs>
          <w:tab w:leader="none" w:pos="1982"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to the extent constituting Investments, purchases and acquisitions of inventory, supplies, materials and equipment or purchases of contract rights or licenses or leases of Intellectual Property in each case in the ordinary course of business;</w:t>
      </w:r>
    </w:p>
    <w:p>
      <w:pPr>
        <w:spacing w:after="0" w:line="158" w:lineRule="exact"/>
        <w:rPr>
          <w:rFonts w:ascii="Arial" w:cs="Arial" w:eastAsia="Arial" w:hAnsi="Arial"/>
          <w:sz w:val="22"/>
          <w:szCs w:val="22"/>
          <w:color w:val="auto"/>
        </w:rPr>
      </w:pPr>
    </w:p>
    <w:p>
      <w:pPr>
        <w:jc w:val="both"/>
        <w:ind w:left="80" w:firstLine="1305"/>
        <w:spacing w:after="0" w:line="218" w:lineRule="auto"/>
        <w:tabs>
          <w:tab w:leader="none" w:pos="1982" w:val="left"/>
        </w:tabs>
        <w:numPr>
          <w:ilvl w:val="0"/>
          <w:numId w:val="171"/>
        </w:numPr>
        <w:rPr>
          <w:rFonts w:ascii="Arial" w:cs="Arial" w:eastAsia="Arial" w:hAnsi="Arial"/>
          <w:sz w:val="22"/>
          <w:szCs w:val="22"/>
          <w:color w:val="auto"/>
        </w:rPr>
      </w:pPr>
      <w:r>
        <w:rPr>
          <w:rFonts w:ascii="Arial" w:cs="Arial" w:eastAsia="Arial" w:hAnsi="Arial"/>
          <w:sz w:val="22"/>
          <w:szCs w:val="22"/>
          <w:color w:val="auto"/>
        </w:rPr>
        <w:t>Investments by any Loan Party or Restricted Subsidiary, if a Restricted Payment in such amount would otherwise be permitted under Section 6.4(a) in such amount; provided that the amount of any such Investment shall be deemed to be a Restricted Payment under Section 6.4(a) and shall reduce the amount available under Section 6.4(a) for all purposes under this Agreement; and</w:t>
      </w:r>
    </w:p>
    <w:p>
      <w:pPr>
        <w:spacing w:after="0" w:line="160" w:lineRule="exact"/>
        <w:rPr>
          <w:rFonts w:ascii="Arial" w:cs="Arial" w:eastAsia="Arial" w:hAnsi="Arial"/>
          <w:sz w:val="22"/>
          <w:szCs w:val="22"/>
          <w:color w:val="auto"/>
        </w:rPr>
      </w:pPr>
    </w:p>
    <w:p>
      <w:pPr>
        <w:jc w:val="both"/>
        <w:ind w:left="80" w:firstLine="1305"/>
        <w:spacing w:after="0" w:line="218" w:lineRule="auto"/>
        <w:tabs>
          <w:tab w:leader="none" w:pos="2008" w:val="left"/>
        </w:tabs>
        <w:numPr>
          <w:ilvl w:val="0"/>
          <w:numId w:val="171"/>
        </w:numPr>
        <w:rPr>
          <w:rFonts w:ascii="Arial" w:cs="Arial" w:eastAsia="Arial" w:hAnsi="Arial"/>
          <w:sz w:val="22"/>
          <w:szCs w:val="22"/>
          <w:color w:val="auto"/>
        </w:rPr>
      </w:pPr>
      <w:r>
        <w:rPr>
          <w:rFonts w:ascii="Arial" w:cs="Arial" w:eastAsia="Arial" w:hAnsi="Arial"/>
          <w:sz w:val="22"/>
          <w:szCs w:val="22"/>
          <w:color w:val="auto"/>
        </w:rPr>
        <w:t xml:space="preserve">other Investments not otherwise permitted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amount of all such Investments shall not exceed the greater of, at the time any such Investment is made, $35,000,000 and 10% of Consolidated Total Assets as of the last day of the most recently ended fiscal quarter for which financial statements have been or are required to be delivered pursuant to </w:t>
      </w:r>
      <w:r>
        <w:rPr>
          <w:rFonts w:ascii="Arial" w:cs="Arial" w:eastAsia="Arial" w:hAnsi="Arial"/>
          <w:sz w:val="22"/>
          <w:szCs w:val="22"/>
          <w:u w:val="single" w:color="auto"/>
          <w:color w:val="auto"/>
        </w:rPr>
        <w:t>Section 5.1(a)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in any fiscal year.</w:t>
      </w:r>
    </w:p>
    <w:p>
      <w:pPr>
        <w:spacing w:after="0" w:line="161"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 xml:space="preserve">For purposes of covenant compliance with this </w:t>
      </w:r>
      <w:r>
        <w:rPr>
          <w:rFonts w:ascii="Arial" w:cs="Arial" w:eastAsia="Arial" w:hAnsi="Arial"/>
          <w:sz w:val="21"/>
          <w:szCs w:val="21"/>
          <w:u w:val="single" w:color="auto"/>
          <w:color w:val="auto"/>
        </w:rPr>
        <w:t>Section 6.7</w:t>
      </w:r>
      <w:r>
        <w:rPr>
          <w:rFonts w:ascii="Arial" w:cs="Arial" w:eastAsia="Arial" w:hAnsi="Arial"/>
          <w:sz w:val="21"/>
          <w:szCs w:val="21"/>
          <w:color w:val="auto"/>
        </w:rPr>
        <w:t>, the amount of any Investment shall be the amount actually invested, without adjustment for subsequent increases or decreases in the value of such Investment, less any amount paid, repaid, returned, distributed or otherwise received in cash in respect of such Investment.</w:t>
      </w:r>
    </w:p>
    <w:p>
      <w:pPr>
        <w:spacing w:after="0" w:line="158"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For purposes of determining compliance with this Section 6.7, (A) an Investment need not be permitted solely by reference to one category of permitted Investments (or any portion thereof) described in Sections 6.7(a) through (x) but may be permitted in part under any relevant combination thereof and (B) in the event that an Investment (or any portion thereof) meets the criteria of one or more of the categories of permitted Investments (or any portion thereof) described in Sections 6.7(a) through (x), the Borrowers may, in their sole discretion, divide, classify or reclassify such Investment (or any portion thereof) in any manner that complies with this Section 6.7 and will be entitled to only include the amount and type of such</w:t>
      </w:r>
    </w:p>
    <w:p>
      <w:pPr>
        <w:sectPr>
          <w:pgSz w:w="11900" w:h="16838" w:orient="portrait"/>
          <w:cols w:equalWidth="0" w:num="1">
            <w:col w:w="11240"/>
          </w:cols>
          <w:pgMar w:left="320" w:top="1401" w:right="339" w:bottom="1440" w:gutter="0" w:footer="0" w:header="0"/>
        </w:sectPr>
      </w:pPr>
    </w:p>
    <w:bookmarkStart w:id="158" w:name="page159"/>
    <w:bookmarkEnd w:id="158"/>
    <w:p>
      <w:pPr>
        <w:jc w:val="both"/>
        <w:spacing w:after="0" w:line="249" w:lineRule="auto"/>
        <w:rPr>
          <w:sz w:val="20"/>
          <w:szCs w:val="20"/>
          <w:color w:val="auto"/>
        </w:rPr>
      </w:pPr>
      <w:r>
        <w:rPr>
          <w:rFonts w:ascii="Arial" w:cs="Arial" w:eastAsia="Arial" w:hAnsi="Arial"/>
          <w:sz w:val="19"/>
          <w:szCs w:val="19"/>
          <w:color w:val="auto"/>
        </w:rPr>
        <w:t>Investment (or any portion thereof) in one or more (as relevant) of the above clauses (or any portion thereof) and such Investment (or any portion thereof) shall be treated as having been made or existing pursuant to only such clause or clauses (or any portion thereof); provided, that all Investments described in Schedule 6.7 shall be deemed outstanding under Section 6.7(f). Any Investment in any person other than a Loan Party that is otherwise permitted by this Section 6.7 may be made through intermediate Investments in Subsidiaries that are not Loan Parties and such intermediate Investments shall be disregarded for purposes of determining the outstanding amount of Investments pursuant to any clause set forth above.</w:t>
      </w:r>
    </w:p>
    <w:p>
      <w:pPr>
        <w:spacing w:after="0" w:line="152"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auto"/>
        </w:rPr>
        <w:t xml:space="preserve">Section 6.8 </w:t>
      </w:r>
      <w:r>
        <w:rPr>
          <w:rFonts w:ascii="Arial" w:cs="Arial" w:eastAsia="Arial" w:hAnsi="Arial"/>
          <w:sz w:val="21"/>
          <w:szCs w:val="21"/>
          <w:u w:val="single" w:color="auto"/>
          <w:color w:val="auto"/>
        </w:rPr>
        <w:t>Certain Restrictions</w:t>
      </w:r>
      <w:r>
        <w:rPr>
          <w:rFonts w:ascii="Arial" w:cs="Arial" w:eastAsia="Arial" w:hAnsi="Arial"/>
          <w:sz w:val="21"/>
          <w:szCs w:val="21"/>
          <w:color w:val="auto"/>
        </w:rPr>
        <w:t>. Notwithstanding anything in this Agreement or any other Loan Document to the contrary, (a) no Loan Party shall, nor shall it permit any of its Restricted Subsidiaries to, sell, lease (as lessor or sublessor), enter into a sale and leaseback arrangement, exclusively license (as licensor or sublicensor), exchange, transfer or otherwise dispose of Specified Material IP to any Affiliate other than a Loan Party, or otherwise allow or cause any Specified Material IP to be owned by any Person other than a Loan Party or (b) with respect to Material IP other than Specified Material IP, no Loan Party shall, nor shall it permit any of its Restricted Subsidiaries to, sell, lease (as lessor or sublessor), enter into a sale and leaseback arrangement, exclusively license (as licensor or sublicensor), exchange, transfer or otherwise dispose of such Material IP to any Affiliate other than Holdings or any Restricted Subsidiary, or otherwise allow or cause any such Material IP to be owned by any Person other than Holdings or any Restricted Subsidiary, in each case except for (i) the non-exclusive licensing or other use of Patents, Trademarks, Copyrights, and other Intellectual Property rights in the ordinary course of business and (ii) licensing of Patents, Trademarks, Copyrights, and other Intellectual Property rights customary for companies of similar size and in the same industry as Borrower which would not result in a legal transfer of title of such licensed Intellectual Property, but that may be exclusive.</w:t>
      </w:r>
    </w:p>
    <w:p>
      <w:pPr>
        <w:spacing w:after="0" w:line="140"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22"/>
          <w:szCs w:val="22"/>
          <w:color w:val="auto"/>
        </w:rPr>
        <w:t>Section 6.9</w:t>
      </w:r>
      <w:r>
        <w:rPr>
          <w:sz w:val="20"/>
          <w:szCs w:val="20"/>
          <w:color w:val="auto"/>
        </w:rPr>
        <w:tab/>
      </w:r>
      <w:r>
        <w:rPr>
          <w:rFonts w:ascii="Arial" w:cs="Arial" w:eastAsia="Arial" w:hAnsi="Arial"/>
          <w:sz w:val="19"/>
          <w:szCs w:val="19"/>
          <w:u w:val="single" w:color="auto"/>
          <w:color w:val="auto"/>
        </w:rPr>
        <w:t>Financial Covenants</w:t>
      </w:r>
      <w:r>
        <w:rPr>
          <w:rFonts w:ascii="Arial" w:cs="Arial" w:eastAsia="Arial" w:hAnsi="Arial"/>
          <w:sz w:val="19"/>
          <w:szCs w:val="19"/>
          <w:color w:val="auto"/>
        </w:rPr>
        <w:t>. Each Loan Party will not, and will not permit any of its Restricted Subsidiaries</w:t>
      </w:r>
    </w:p>
    <w:p>
      <w:pPr>
        <w:spacing w:after="0"/>
        <w:rPr>
          <w:sz w:val="20"/>
          <w:szCs w:val="20"/>
          <w:color w:val="auto"/>
        </w:rPr>
      </w:pPr>
      <w:r>
        <w:rPr>
          <w:rFonts w:ascii="Arial" w:cs="Arial" w:eastAsia="Arial" w:hAnsi="Arial"/>
          <w:sz w:val="22"/>
          <w:szCs w:val="22"/>
          <w:color w:val="auto"/>
        </w:rPr>
        <w:t>to:</w:t>
      </w:r>
    </w:p>
    <w:p>
      <w:pPr>
        <w:spacing w:after="0" w:line="161" w:lineRule="exact"/>
        <w:rPr>
          <w:sz w:val="20"/>
          <w:szCs w:val="20"/>
          <w:color w:val="auto"/>
        </w:rPr>
      </w:pPr>
    </w:p>
    <w:p>
      <w:pPr>
        <w:ind w:left="80" w:firstLine="1305"/>
        <w:spacing w:after="0" w:line="232" w:lineRule="auto"/>
        <w:tabs>
          <w:tab w:leader="none" w:pos="1862" w:val="left"/>
        </w:tabs>
        <w:numPr>
          <w:ilvl w:val="0"/>
          <w:numId w:val="172"/>
        </w:numPr>
        <w:rPr>
          <w:rFonts w:ascii="Arial" w:cs="Arial" w:eastAsia="Arial" w:hAnsi="Arial"/>
          <w:sz w:val="22"/>
          <w:szCs w:val="22"/>
          <w:color w:val="auto"/>
        </w:rPr>
      </w:pPr>
      <w:r>
        <w:rPr>
          <w:rFonts w:ascii="Arial" w:cs="Arial" w:eastAsia="Arial" w:hAnsi="Arial"/>
          <w:sz w:val="22"/>
          <w:szCs w:val="22"/>
          <w:u w:val="single" w:color="auto"/>
          <w:color w:val="auto"/>
        </w:rPr>
        <w:t>Minimum Adjusted Quick Ratio</w:t>
      </w:r>
      <w:r>
        <w:rPr>
          <w:rFonts w:ascii="Arial" w:cs="Arial" w:eastAsia="Arial" w:hAnsi="Arial"/>
          <w:sz w:val="22"/>
          <w:szCs w:val="22"/>
          <w:color w:val="auto"/>
        </w:rPr>
        <w:t>. Permit the Adjusted Quick Ratio as of the last day of any fiscal quarter to be less than 1.50:1.00.</w:t>
      </w:r>
    </w:p>
    <w:p>
      <w:pPr>
        <w:spacing w:after="0" w:line="158" w:lineRule="exact"/>
        <w:rPr>
          <w:rFonts w:ascii="Arial" w:cs="Arial" w:eastAsia="Arial" w:hAnsi="Arial"/>
          <w:sz w:val="22"/>
          <w:szCs w:val="22"/>
          <w:color w:val="auto"/>
        </w:rPr>
      </w:pPr>
    </w:p>
    <w:p>
      <w:pPr>
        <w:jc w:val="both"/>
        <w:ind w:left="80" w:firstLine="1305"/>
        <w:spacing w:after="0" w:line="223" w:lineRule="auto"/>
        <w:tabs>
          <w:tab w:leader="none" w:pos="2046" w:val="left"/>
        </w:tabs>
        <w:numPr>
          <w:ilvl w:val="0"/>
          <w:numId w:val="172"/>
        </w:numPr>
        <w:rPr>
          <w:rFonts w:ascii="Arial" w:cs="Arial" w:eastAsia="Arial" w:hAnsi="Arial"/>
          <w:sz w:val="22"/>
          <w:szCs w:val="22"/>
          <w:color w:val="auto"/>
        </w:rPr>
      </w:pPr>
      <w:r>
        <w:rPr>
          <w:rFonts w:ascii="Arial" w:cs="Arial" w:eastAsia="Arial" w:hAnsi="Arial"/>
          <w:sz w:val="22"/>
          <w:szCs w:val="22"/>
          <w:u w:val="single" w:color="auto"/>
          <w:color w:val="auto"/>
        </w:rPr>
        <w:t>Minimum Consolidated Adjusted EBITDA</w:t>
      </w:r>
      <w:r>
        <w:rPr>
          <w:rFonts w:ascii="Arial" w:cs="Arial" w:eastAsia="Arial" w:hAnsi="Arial"/>
          <w:sz w:val="22"/>
          <w:szCs w:val="22"/>
          <w:color w:val="auto"/>
        </w:rPr>
        <w:t>. Prior to the consummation of a Qualifying IPO, permit Consolidated Adjusted EBITDA for any period of twelve consecutive trailing months set forth below to be less than the correlative amount specified below opposite such fiscal quarter:</w:t>
      </w:r>
    </w:p>
    <w:p>
      <w:pPr>
        <w:sectPr>
          <w:pgSz w:w="11900" w:h="16838" w:orient="portrait"/>
          <w:cols w:equalWidth="0" w:num="1">
            <w:col w:w="11240"/>
          </w:cols>
          <w:pgMar w:left="320" w:top="1401" w:right="339" w:bottom="1440" w:gutter="0" w:footer="0" w:header="0"/>
        </w:sectPr>
      </w:pPr>
    </w:p>
    <w:bookmarkStart w:id="159" w:name="page160"/>
    <w:bookmarkEnd w:id="159"/>
    <w:p>
      <w:pPr>
        <w:spacing w:after="0" w:line="3" w:lineRule="exact"/>
        <w:rPr>
          <w:sz w:val="20"/>
          <w:szCs w:val="20"/>
          <w:color w:val="auto"/>
        </w:rPr>
      </w:pPr>
    </w:p>
    <w:tbl>
      <w:tblPr>
        <w:tblLayout w:type="fixed"/>
        <w:tblInd w:w="1770" w:type="dxa"/>
        <w:tblCellMar>
          <w:top w:w="0" w:type="dxa"/>
          <w:left w:w="0" w:type="dxa"/>
          <w:bottom w:w="0" w:type="dxa"/>
          <w:right w:w="0" w:type="dxa"/>
        </w:tblCellMar>
      </w:tblPr>
      <w:tr>
        <w:trPr>
          <w:trHeight w:val="284"/>
        </w:trPr>
        <w:tc>
          <w:tcPr>
            <w:tcW w:w="3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Quarter Ending</w:t>
            </w:r>
          </w:p>
        </w:tc>
        <w:tc>
          <w:tcPr>
            <w:tcW w:w="3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Minimum Consolidated Adjusted</w:t>
            </w:r>
          </w:p>
        </w:tc>
      </w:tr>
      <w:tr>
        <w:trPr>
          <w:trHeight w:val="263"/>
        </w:trPr>
        <w:tc>
          <w:tcPr>
            <w:tcW w:w="3220" w:type="dxa"/>
            <w:vAlign w:val="bottom"/>
            <w:tcBorders>
              <w:left w:val="single" w:sz="8" w:color="auto"/>
              <w:bottom w:val="single" w:sz="8" w:color="auto"/>
              <w:right w:val="single" w:sz="8" w:color="auto"/>
            </w:tcBorders>
          </w:tcPr>
          <w:p>
            <w:pPr>
              <w:spacing w:after="0"/>
              <w:rPr>
                <w:sz w:val="22"/>
                <w:szCs w:val="22"/>
                <w:color w:val="auto"/>
              </w:rPr>
            </w:pP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EBITDA</w:t>
            </w:r>
          </w:p>
        </w:tc>
      </w:tr>
      <w:tr>
        <w:trPr>
          <w:trHeight w:val="264"/>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September 30, 2021</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$(45,000,000)</w:t>
            </w:r>
          </w:p>
        </w:tc>
      </w:tr>
      <w:tr>
        <w:trPr>
          <w:trHeight w:val="263"/>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December 31, 2021</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$(55,000,000)</w:t>
            </w:r>
          </w:p>
        </w:tc>
      </w:tr>
      <w:tr>
        <w:trPr>
          <w:trHeight w:val="264"/>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March 31, 2022</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$(60,000,000)</w:t>
            </w:r>
          </w:p>
        </w:tc>
      </w:tr>
      <w:tr>
        <w:trPr>
          <w:trHeight w:val="263"/>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June 30, 2022</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$(70,000,000)</w:t>
            </w:r>
          </w:p>
        </w:tc>
      </w:tr>
      <w:tr>
        <w:trPr>
          <w:trHeight w:val="263"/>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September 30, 2022</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$(65,000,000)</w:t>
            </w:r>
          </w:p>
        </w:tc>
      </w:tr>
      <w:tr>
        <w:trPr>
          <w:trHeight w:val="264"/>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December 31, 2022</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$(55,000,000)</w:t>
            </w:r>
          </w:p>
        </w:tc>
      </w:tr>
      <w:tr>
        <w:trPr>
          <w:trHeight w:val="263"/>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March 31, 2023</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$(45,000,000)</w:t>
            </w:r>
          </w:p>
        </w:tc>
      </w:tr>
      <w:tr>
        <w:trPr>
          <w:trHeight w:val="264"/>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June 30, 2023</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$(35,000,000)</w:t>
            </w:r>
          </w:p>
        </w:tc>
      </w:tr>
      <w:tr>
        <w:trPr>
          <w:trHeight w:val="263"/>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September 30, 2023</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$(25,000,000)</w:t>
            </w:r>
          </w:p>
        </w:tc>
      </w:tr>
      <w:tr>
        <w:trPr>
          <w:trHeight w:val="263"/>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December 31, 2023</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$(15,000,000)</w:t>
            </w:r>
          </w:p>
        </w:tc>
      </w:tr>
      <w:tr>
        <w:trPr>
          <w:trHeight w:val="264"/>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March 31, 2024</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$(5,000,000)</w:t>
            </w:r>
          </w:p>
        </w:tc>
      </w:tr>
      <w:tr>
        <w:trPr>
          <w:trHeight w:val="263"/>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June 30, 2024</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$(4,000,000)</w:t>
            </w:r>
          </w:p>
        </w:tc>
      </w:tr>
      <w:tr>
        <w:trPr>
          <w:trHeight w:val="264"/>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September 30, 2024</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$0</w:t>
            </w:r>
          </w:p>
        </w:tc>
      </w:tr>
      <w:tr>
        <w:trPr>
          <w:trHeight w:val="263"/>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December 31, 2024</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$0</w:t>
            </w:r>
          </w:p>
        </w:tc>
      </w:tr>
      <w:tr>
        <w:trPr>
          <w:trHeight w:val="263"/>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March 31, 2025</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$2,500,000</w:t>
            </w:r>
          </w:p>
        </w:tc>
      </w:tr>
      <w:tr>
        <w:trPr>
          <w:trHeight w:val="264"/>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June 30, 2025</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$5,000,000</w:t>
            </w:r>
          </w:p>
        </w:tc>
      </w:tr>
      <w:tr>
        <w:trPr>
          <w:trHeight w:val="263"/>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September 30, 2025</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$7,500,000</w:t>
            </w:r>
          </w:p>
        </w:tc>
      </w:tr>
      <w:tr>
        <w:trPr>
          <w:trHeight w:val="263"/>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December 31, 2025</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$10,000,000</w:t>
            </w:r>
          </w:p>
        </w:tc>
      </w:tr>
      <w:tr>
        <w:trPr>
          <w:trHeight w:val="264"/>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March 31, 2026</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$15,000,000</w:t>
            </w:r>
          </w:p>
        </w:tc>
      </w:tr>
      <w:tr>
        <w:trPr>
          <w:trHeight w:val="263"/>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June 30, 2026</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$20,000,000</w:t>
            </w:r>
          </w:p>
        </w:tc>
      </w:tr>
    </w:tbl>
    <w:p>
      <w:pPr>
        <w:spacing w:after="0" w:line="200" w:lineRule="exact"/>
        <w:rPr>
          <w:sz w:val="20"/>
          <w:szCs w:val="20"/>
          <w:color w:val="auto"/>
        </w:rPr>
      </w:pPr>
    </w:p>
    <w:p>
      <w:pPr>
        <w:spacing w:after="0" w:line="319" w:lineRule="exact"/>
        <w:rPr>
          <w:sz w:val="20"/>
          <w:szCs w:val="20"/>
          <w:color w:val="auto"/>
        </w:rPr>
      </w:pPr>
    </w:p>
    <w:p>
      <w:pPr>
        <w:ind w:left="80" w:firstLine="1305"/>
        <w:spacing w:after="0" w:line="232" w:lineRule="auto"/>
        <w:tabs>
          <w:tab w:leader="none" w:pos="1871" w:val="left"/>
        </w:tabs>
        <w:numPr>
          <w:ilvl w:val="0"/>
          <w:numId w:val="173"/>
        </w:numPr>
        <w:rPr>
          <w:rFonts w:ascii="Arial" w:cs="Arial" w:eastAsia="Arial" w:hAnsi="Arial"/>
          <w:sz w:val="22"/>
          <w:szCs w:val="22"/>
          <w:color w:val="auto"/>
        </w:rPr>
      </w:pPr>
      <w:r>
        <w:rPr>
          <w:rFonts w:ascii="Arial" w:cs="Arial" w:eastAsia="Arial" w:hAnsi="Arial"/>
          <w:sz w:val="22"/>
          <w:szCs w:val="22"/>
          <w:u w:val="single" w:color="auto"/>
          <w:color w:val="auto"/>
        </w:rPr>
        <w:t>Minimum Liquidity</w:t>
      </w:r>
      <w:r>
        <w:rPr>
          <w:rFonts w:ascii="Arial" w:cs="Arial" w:eastAsia="Arial" w:hAnsi="Arial"/>
          <w:sz w:val="22"/>
          <w:szCs w:val="22"/>
          <w:color w:val="auto"/>
        </w:rPr>
        <w:t>. Upon and after the consummation of a Qualifying IPO, permit Liquidity as of the last day of any fiscal quarter to be less than $100,000,000 on a consolidated basis.</w:t>
      </w:r>
    </w:p>
    <w:p>
      <w:pPr>
        <w:spacing w:after="0" w:line="159"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ARTICLE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3898900</wp:posOffset>
            </wp:positionH>
            <wp:positionV relativeFrom="paragraph">
              <wp:posOffset>-17780</wp:posOffset>
            </wp:positionV>
            <wp:extent cx="137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ind w:left="5020"/>
        <w:spacing w:after="0"/>
        <w:rPr>
          <w:sz w:val="20"/>
          <w:szCs w:val="20"/>
          <w:color w:val="auto"/>
        </w:rPr>
      </w:pPr>
      <w:r>
        <w:rPr>
          <w:rFonts w:ascii="Arial" w:cs="Arial" w:eastAsia="Arial" w:hAnsi="Arial"/>
          <w:sz w:val="22"/>
          <w:szCs w:val="22"/>
          <w:u w:val="single" w:color="auto"/>
          <w:color w:val="auto"/>
        </w:rPr>
        <w:t>GUARANTY</w:t>
      </w:r>
    </w:p>
    <w:p>
      <w:pPr>
        <w:spacing w:after="0" w:line="17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 xml:space="preserve">Section 7.1 </w:t>
      </w:r>
      <w:r>
        <w:rPr>
          <w:rFonts w:ascii="Arial" w:cs="Arial" w:eastAsia="Arial" w:hAnsi="Arial"/>
          <w:sz w:val="19"/>
          <w:szCs w:val="19"/>
          <w:u w:val="single" w:color="auto"/>
          <w:color w:val="auto"/>
        </w:rPr>
        <w:t>Guaranty of the Obligations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 the Guarantors jointly and severally hereby irrevocably and unconditionally guaranty the due and punctual payment in full of all Obligations when the same shall become due, whether at stated maturity, by required prepayment, declaration, acceleration, demand or otherwise (including amounts that would become due but for the operation of the automatic stay under Section 362(a) of the Bankruptcy Code, 11 U.S.C. § 362(a)) (collectively, the “</w:t>
      </w:r>
      <w:r>
        <w:rPr>
          <w:rFonts w:ascii="Arial" w:cs="Arial" w:eastAsia="Arial" w:hAnsi="Arial"/>
          <w:sz w:val="19"/>
          <w:szCs w:val="19"/>
          <w:u w:val="single" w:color="auto"/>
          <w:color w:val="auto"/>
        </w:rPr>
        <w:t>Guaranteed Obligations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Guaranteed Obligations of each Borrower in its capacity as a Guarantor shall exclude any Direct Borrower Obligations of such Borrower.</w:t>
      </w:r>
    </w:p>
    <w:p>
      <w:pPr>
        <w:spacing w:after="0" w:line="152"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 xml:space="preserve">Section 7.2 </w:t>
      </w:r>
      <w:r>
        <w:rPr>
          <w:rFonts w:ascii="Arial" w:cs="Arial" w:eastAsia="Arial" w:hAnsi="Arial"/>
          <w:sz w:val="19"/>
          <w:szCs w:val="19"/>
          <w:u w:val="single" w:color="auto"/>
          <w:color w:val="auto"/>
        </w:rPr>
        <w:t>Payment by Guarantors</w:t>
      </w:r>
      <w:r>
        <w:rPr>
          <w:rFonts w:ascii="Arial" w:cs="Arial" w:eastAsia="Arial" w:hAnsi="Arial"/>
          <w:sz w:val="19"/>
          <w:szCs w:val="19"/>
          <w:color w:val="auto"/>
        </w:rPr>
        <w:t>. The Guarantors hereby jointly and severally agree, in furtherance of the foregoing and not in limitation of any other right which any Beneficiary may have at law or in equity against any Guarantor by virtue hereof, that upon the failure of any Borrower or any other Person to pay any of the Guaranteed Obligations when and as the same shall become due, whether at stated maturity, by required prepayment, declaration, acceleration, demand or otherwise, Guarantors will upon demand pay, or cause to be paid, in cash, to the Administrative Agent for the ratable benefit of the Beneficiaries, an amount equal to the sum of the unpaid principal amount of all Guaranteed Obligations then due as aforesaid, accrued and unpaid interest on such Guaranteed Obligations (including interest which, but for</w:t>
      </w:r>
    </w:p>
    <w:p>
      <w:pPr>
        <w:sectPr>
          <w:pgSz w:w="11900" w:h="16838" w:orient="portrait"/>
          <w:cols w:equalWidth="0" w:num="1">
            <w:col w:w="11240"/>
          </w:cols>
          <w:pgMar w:left="320" w:top="1440" w:right="339" w:bottom="1440" w:gutter="0" w:footer="0" w:header="0"/>
        </w:sectPr>
      </w:pPr>
    </w:p>
    <w:bookmarkStart w:id="160" w:name="page161"/>
    <w:bookmarkEnd w:id="160"/>
    <w:p>
      <w:pPr>
        <w:jc w:val="both"/>
        <w:spacing w:after="0" w:line="223" w:lineRule="auto"/>
        <w:rPr>
          <w:sz w:val="20"/>
          <w:szCs w:val="20"/>
          <w:color w:val="auto"/>
        </w:rPr>
      </w:pPr>
      <w:r>
        <w:rPr>
          <w:rFonts w:ascii="Arial" w:cs="Arial" w:eastAsia="Arial" w:hAnsi="Arial"/>
          <w:sz w:val="22"/>
          <w:szCs w:val="22"/>
          <w:color w:val="auto"/>
        </w:rPr>
        <w:t>any Borrower’s becoming the subject of a case under the Bankruptcy Code, would have accrued on such Guaranteed Obligations, whether or not a claim is allowed against any Borrower for such interest in the related bankruptcy case) and all other Guaranteed Obligations then owed to the Beneficiaries as aforesaid.</w:t>
      </w:r>
    </w:p>
    <w:p>
      <w:pPr>
        <w:spacing w:after="0" w:line="15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Section 7.3 </w:t>
      </w:r>
      <w:r>
        <w:rPr>
          <w:rFonts w:ascii="Arial" w:cs="Arial" w:eastAsia="Arial" w:hAnsi="Arial"/>
          <w:sz w:val="19"/>
          <w:szCs w:val="19"/>
          <w:u w:val="single" w:color="auto"/>
          <w:color w:val="auto"/>
        </w:rPr>
        <w:t>Liability of Guarantors Absolute</w:t>
      </w:r>
      <w:r>
        <w:rPr>
          <w:rFonts w:ascii="Arial" w:cs="Arial" w:eastAsia="Arial" w:hAnsi="Arial"/>
          <w:sz w:val="19"/>
          <w:szCs w:val="19"/>
          <w:color w:val="auto"/>
        </w:rPr>
        <w:t>. Subject to Section 10.17, each Guarantor agrees that its obligations hereunder are irrevocable, absolute, independent and unconditional and shall not be affected by any circumstance which constitutes a legal or equitable discharge of a guarantor or surety other than payment in full of the Guaranteed Obligations. In furtherance of the foregoing and without limiting the generality thereof, each Guarantor agrees as follows:</w:t>
      </w:r>
    </w:p>
    <w:p>
      <w:pPr>
        <w:spacing w:after="0" w:line="144" w:lineRule="exact"/>
        <w:rPr>
          <w:sz w:val="20"/>
          <w:szCs w:val="20"/>
          <w:color w:val="auto"/>
        </w:rPr>
      </w:pPr>
    </w:p>
    <w:p>
      <w:pPr>
        <w:ind w:left="80" w:firstLine="1305"/>
        <w:spacing w:after="0" w:line="232" w:lineRule="auto"/>
        <w:tabs>
          <w:tab w:leader="none" w:pos="1898"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this Guaranty is a guaranty of payment when due and not of collectability and this Guaranty is a primary obligation of each Guarantor and not merely a contract of surety;</w:t>
      </w:r>
    </w:p>
    <w:p>
      <w:pPr>
        <w:spacing w:after="0" w:line="158" w:lineRule="exact"/>
        <w:rPr>
          <w:rFonts w:ascii="Arial" w:cs="Arial" w:eastAsia="Arial" w:hAnsi="Arial"/>
          <w:sz w:val="22"/>
          <w:szCs w:val="22"/>
          <w:color w:val="auto"/>
        </w:rPr>
      </w:pPr>
    </w:p>
    <w:p>
      <w:pPr>
        <w:jc w:val="both"/>
        <w:ind w:left="80" w:firstLine="1305"/>
        <w:spacing w:after="0" w:line="223" w:lineRule="auto"/>
        <w:tabs>
          <w:tab w:leader="none" w:pos="2024"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 Administrative Agent may enforce this Guaranty during the continuation of an Event of Default notwithstanding the existence of any dispute between any Borrower and any Beneficiary with respect to the existence of such Event of Default;</w:t>
      </w:r>
    </w:p>
    <w:p>
      <w:pPr>
        <w:spacing w:after="0" w:line="158" w:lineRule="exact"/>
        <w:rPr>
          <w:rFonts w:ascii="Arial" w:cs="Arial" w:eastAsia="Arial" w:hAnsi="Arial"/>
          <w:sz w:val="22"/>
          <w:szCs w:val="22"/>
          <w:color w:val="auto"/>
        </w:rPr>
      </w:pPr>
    </w:p>
    <w:p>
      <w:pPr>
        <w:jc w:val="both"/>
        <w:ind w:left="80" w:firstLine="1305"/>
        <w:spacing w:after="0" w:line="216" w:lineRule="auto"/>
        <w:tabs>
          <w:tab w:leader="none" w:pos="1923"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 obligations of each Guarantor hereunder are independent of the obligations of any Borrower and the obligations of any other guarantor (including any other Guarantor) of the obligations of any Borrower, and a separate action or actions may be brought and prosecuted against such Guarantor whether or not any action is brought against any Borrower, any such other guarantor or any other Person and whether or not any Borrower, any such other guarantor or any other Person is joined in any such action or actions;</w:t>
      </w:r>
    </w:p>
    <w:p>
      <w:pPr>
        <w:spacing w:after="0" w:line="157" w:lineRule="exact"/>
        <w:rPr>
          <w:rFonts w:ascii="Arial" w:cs="Arial" w:eastAsia="Arial" w:hAnsi="Arial"/>
          <w:sz w:val="22"/>
          <w:szCs w:val="22"/>
          <w:color w:val="auto"/>
        </w:rPr>
      </w:pPr>
    </w:p>
    <w:p>
      <w:pPr>
        <w:jc w:val="both"/>
        <w:ind w:left="80" w:firstLine="1305"/>
        <w:spacing w:after="0" w:line="222" w:lineRule="auto"/>
        <w:tabs>
          <w:tab w:leader="none" w:pos="1922" w:val="left"/>
        </w:tabs>
        <w:numPr>
          <w:ilvl w:val="0"/>
          <w:numId w:val="174"/>
        </w:numPr>
        <w:rPr>
          <w:rFonts w:ascii="Arial" w:cs="Arial" w:eastAsia="Arial" w:hAnsi="Arial"/>
          <w:sz w:val="21"/>
          <w:szCs w:val="21"/>
          <w:color w:val="auto"/>
        </w:rPr>
      </w:pPr>
      <w:r>
        <w:rPr>
          <w:rFonts w:ascii="Arial" w:cs="Arial" w:eastAsia="Arial" w:hAnsi="Arial"/>
          <w:sz w:val="21"/>
          <w:szCs w:val="21"/>
          <w:color w:val="auto"/>
        </w:rPr>
        <w:t>payment by any Guarantor of a portion, but not all, of the Guaranteed Obligations shall in no way limit, affect, modify or abridge any Guarantor’s liability for any portion of the Guaranteed Obligations which has not been paid. Without limiting the generality of the foregoing, if the Administrative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Guaranteed Obligations;</w:t>
      </w:r>
    </w:p>
    <w:p>
      <w:pPr>
        <w:spacing w:after="0" w:line="164" w:lineRule="exact"/>
        <w:rPr>
          <w:rFonts w:ascii="Arial" w:cs="Arial" w:eastAsia="Arial" w:hAnsi="Arial"/>
          <w:sz w:val="21"/>
          <w:szCs w:val="21"/>
          <w:color w:val="auto"/>
        </w:rPr>
      </w:pPr>
    </w:p>
    <w:p>
      <w:pPr>
        <w:jc w:val="both"/>
        <w:ind w:left="80" w:firstLine="1305"/>
        <w:spacing w:after="0" w:line="242" w:lineRule="auto"/>
        <w:tabs>
          <w:tab w:leader="none" w:pos="1845" w:val="left"/>
        </w:tabs>
        <w:numPr>
          <w:ilvl w:val="0"/>
          <w:numId w:val="174"/>
        </w:numPr>
        <w:rPr>
          <w:rFonts w:ascii="Arial" w:cs="Arial" w:eastAsia="Arial" w:hAnsi="Arial"/>
          <w:sz w:val="19"/>
          <w:szCs w:val="19"/>
          <w:color w:val="auto"/>
        </w:rPr>
      </w:pPr>
      <w:r>
        <w:rPr>
          <w:rFonts w:ascii="Arial" w:cs="Arial" w:eastAsia="Arial" w:hAnsi="Arial"/>
          <w:sz w:val="19"/>
          <w:szCs w:val="19"/>
          <w:color w:val="auto"/>
        </w:rPr>
        <w:t>any Beneficiary, upon such terms as it deems appropriate under the relevant Loan Document, Secured Swap Agreement or Secured Cash Management Services Agreement,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any agreement relating thereto and/or subordinate the payment of the same to the payment of any other obligations; (iii) request and accept other guaranties of the Guaranteed Obligations and take and hold security for the payment hereof or the Guaranteed Obligations; (iv)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 (v) enforce and apply any security now or hereafter held by or for the benefit of such Beneficiary in respect hereof or the Guaranteed Obligations and direct the order or manner of sale thereof, or exercise any other right or remedy that such Beneficiary may have against any such security, in each case as such</w:t>
      </w:r>
    </w:p>
    <w:p>
      <w:pPr>
        <w:sectPr>
          <w:pgSz w:w="11900" w:h="16838" w:orient="portrait"/>
          <w:cols w:equalWidth="0" w:num="1">
            <w:col w:w="11240"/>
          </w:cols>
          <w:pgMar w:left="320" w:top="1401" w:right="339" w:bottom="1440" w:gutter="0" w:footer="0" w:header="0"/>
        </w:sectPr>
      </w:pPr>
    </w:p>
    <w:bookmarkStart w:id="161" w:name="page162"/>
    <w:bookmarkEnd w:id="161"/>
    <w:p>
      <w:pPr>
        <w:jc w:val="both"/>
        <w:ind w:left="80"/>
        <w:spacing w:after="0" w:line="212" w:lineRule="auto"/>
        <w:rPr>
          <w:sz w:val="20"/>
          <w:szCs w:val="20"/>
          <w:color w:val="auto"/>
        </w:rPr>
      </w:pPr>
      <w:r>
        <w:rPr>
          <w:rFonts w:ascii="Arial" w:cs="Arial" w:eastAsia="Arial" w:hAnsi="Arial"/>
          <w:sz w:val="22"/>
          <w:szCs w:val="22"/>
          <w:color w:val="auto"/>
        </w:rPr>
        <w:t>Beneficiary in its discretion may determine consistent herewith or any applicable Secured Swap Agreement or Secured Cash Management Services Agreement and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Guarantor against any other Loan Party or any security for the Guaranteed Obligations; and (vi) exercise any other rights available to it under the Loan Documents or any Secured Swap Agreement or Secured Cash Management Services Agreement; and</w:t>
      </w:r>
    </w:p>
    <w:p>
      <w:pPr>
        <w:spacing w:after="0" w:line="164" w:lineRule="exact"/>
        <w:rPr>
          <w:sz w:val="20"/>
          <w:szCs w:val="20"/>
          <w:color w:val="auto"/>
        </w:rPr>
      </w:pPr>
    </w:p>
    <w:p>
      <w:pPr>
        <w:jc w:val="both"/>
        <w:ind w:left="80" w:firstLine="1305"/>
        <w:spacing w:after="0" w:line="239" w:lineRule="auto"/>
        <w:tabs>
          <w:tab w:leader="none" w:pos="1812"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this Guaranty and the obligations of the Guarantors hereunder shall be valid and enforceable and shall not be subject to any reduction, limitation, impairment, discharge or termination for any reason (other than the occurrence of the Termination Date or release pursuant to Section 10.17), including the occurrence of any of the following, whether or not any Guarantor shall have had notice or knowledge of any of them: (i)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Loan Documents, any Secured Swap Agreements, any Secured Cash Management Services Agreements, at law, in equity or otherwise) with respect to the Guaranteed Obligations or any agreement relating thereto, or with respect to any other guaranty of or security for the payment of the Guaranteed Obligations; (ii) any rescission, waiver, amendment or modification of, or any consent to departure from, any of the terms or provisions (including provisions relating to events of default) hereof, any of the other Loan Documents, any Secured Swap Agreements, any Secured Cash Management Services Agreements or any agreement or instrument executed pursuant thereto, or of any other guaranty or security for the Guaranteed Obligations, in each case whether or not in accordance with the terms hereof or such Loan Document, such Secured Swap Agreement, such Secured Cash Management Services Agreement or any agreement relating to such other guaranty or security; (iii) the Guaranteed Obligations, or any agreement relating thereto, at any time being found to be illegal, invalid or unenforceable in any respect; (iv) the application of payments received from any source (other than payments received pursuant to the other Loan Documents, any Secured Swap Agreements or any Secured Cash Management Services Agreements or from the proceeds of any security for the Guaranteed Obligations, except to the extent such security also serves as collateral for indebtedness other than the Guaranteed Obligations) to the payment of indebtedness other than the Guaranteed Obligations, even though any Beneficiary might have elected to apply such payment to any part or all of the Guaranteed Obligations; (v) the change, reorganization or termination of the corporate structure or existence of any Borrower or any of its Restricted Subsidiaries and to any corresponding restructuring of the Guaranteed Obligations, whether or not consented to by any Beneficiary; (vi) any failure to perfect or continue perfection of a security interest in any collateral which secures any of the Guaranteed Obligations; (vii) any defenses, set offs or counterclaims which any Borrower or any other Person may allege or assert against any Beneficiary in respect of the Guaranteed Obligations, including failure of consideration, breach of warranty, payment, statute of frauds, statute of limitations, accord and satisfaction and usury; and (viii) any other act or thing or omission, or delay to do any other act or thing, which may or might in any manner or to any extent vary the risk of any Guarantor as an obligor in respect of the Guaranteed Obligations.</w:t>
      </w:r>
    </w:p>
    <w:p>
      <w:pPr>
        <w:spacing w:after="0" w:line="173"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 xml:space="preserve">Anything contained in this Agreement to the contrary notwithstanding, the obligations of each Guarantor in respect of its Guaranty shall be limited to an aggregate amount equal to the largest amount that would not render its obligations under this Agreement subject to avoidance as a fraudulent transfer or conveyance under Section 548 of the Bankruptcy Code of the United States or any comparable provisions of any similar federal or state law; </w:t>
      </w:r>
      <w:r>
        <w:rPr>
          <w:rFonts w:ascii="Arial" w:cs="Arial" w:eastAsia="Arial" w:hAnsi="Arial"/>
          <w:sz w:val="21"/>
          <w:szCs w:val="21"/>
          <w:u w:val="single" w:color="auto"/>
          <w:color w:val="auto"/>
        </w:rPr>
        <w:t>provided</w:t>
      </w:r>
      <w:r>
        <w:rPr>
          <w:rFonts w:ascii="Arial" w:cs="Arial" w:eastAsia="Arial" w:hAnsi="Arial"/>
          <w:sz w:val="21"/>
          <w:szCs w:val="21"/>
          <w:color w:val="auto"/>
        </w:rPr>
        <w:t>,</w:t>
      </w:r>
    </w:p>
    <w:p>
      <w:pPr>
        <w:sectPr>
          <w:pgSz w:w="11900" w:h="16838" w:orient="portrait"/>
          <w:cols w:equalWidth="0" w:num="1">
            <w:col w:w="11240"/>
          </w:cols>
          <w:pgMar w:left="320" w:top="1401" w:right="339" w:bottom="1440" w:gutter="0" w:footer="0" w:header="0"/>
        </w:sectPr>
      </w:pPr>
    </w:p>
    <w:bookmarkStart w:id="162" w:name="page163"/>
    <w:bookmarkEnd w:id="162"/>
    <w:p>
      <w:pPr>
        <w:spacing w:after="0"/>
        <w:rPr>
          <w:sz w:val="20"/>
          <w:szCs w:val="20"/>
          <w:color w:val="auto"/>
        </w:rPr>
      </w:pPr>
      <w:r>
        <w:rPr>
          <w:rFonts w:ascii="Arial" w:cs="Arial" w:eastAsia="Arial" w:hAnsi="Arial"/>
          <w:sz w:val="22"/>
          <w:szCs w:val="22"/>
          <w:u w:val="single" w:color="auto"/>
          <w:color w:val="auto"/>
        </w:rPr>
        <w:t>however</w:t>
      </w:r>
      <w:r>
        <w:rPr>
          <w:rFonts w:ascii="Arial" w:cs="Arial" w:eastAsia="Arial" w:hAnsi="Arial"/>
          <w:sz w:val="22"/>
          <w:szCs w:val="22"/>
          <w:color w:val="auto"/>
        </w:rPr>
        <w:t>, that this limitation shall not apply to any Borrower with respect to its Direct Borrower Obligations.</w:t>
      </w:r>
    </w:p>
    <w:p>
      <w:pPr>
        <w:spacing w:after="0" w:line="179"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19"/>
          <w:szCs w:val="19"/>
          <w:color w:val="auto"/>
        </w:rPr>
        <w:t xml:space="preserve">Section 7.4 </w:t>
      </w:r>
      <w:r>
        <w:rPr>
          <w:rFonts w:ascii="Arial" w:cs="Arial" w:eastAsia="Arial" w:hAnsi="Arial"/>
          <w:sz w:val="19"/>
          <w:szCs w:val="19"/>
          <w:u w:val="single" w:color="auto"/>
          <w:color w:val="auto"/>
        </w:rPr>
        <w:t>Waivers by Guarantors</w:t>
      </w:r>
      <w:r>
        <w:rPr>
          <w:rFonts w:ascii="Arial" w:cs="Arial" w:eastAsia="Arial" w:hAnsi="Arial"/>
          <w:sz w:val="19"/>
          <w:szCs w:val="19"/>
          <w:color w:val="auto"/>
        </w:rPr>
        <w:t>. Each Guarantor hereby waives, for the benefit of the Beneficiaries: (a) any right to require any Beneficiary, as a condition of payment or performance by such Guarantor, to (1) proceed against any Borrower, any other guarantor (including any other Guarantor) of the Guaranteed Obligations or any other Person, (2) proceed against or exhaust any security held from any Borrower, any such other guarantor or any other Person, (3) proceed against or have resort to any balance of any deposit account or credit on the books of any Beneficiary in favor of any Loan Party or any other Person, or (4) pursue any other remedy in the power of any Beneficiary whatsoever; (b) any defense arising by reason of the incapacity, lack of authority or any disability or other defense of any Borrower or any other Guarantor including any defense based on or arising out of the lack of validity or the unenforceability of the Guaranteed Obligations or any agreement or instrument relating thereto or by reason of the cessation of the liability of any Borrower or any other Guarantor from any cause other than payment in full of the Guaranteed Obligations; (c) any defense based upon any statute or rule of law which provides that the obligation of a surety must be neither larger in amount nor in other respects more burdensome than that of the principal;</w:t>
      </w:r>
    </w:p>
    <w:p>
      <w:pPr>
        <w:spacing w:after="0" w:line="1" w:lineRule="exact"/>
        <w:rPr>
          <w:sz w:val="20"/>
          <w:szCs w:val="20"/>
          <w:color w:val="auto"/>
        </w:rPr>
      </w:pPr>
    </w:p>
    <w:p>
      <w:pPr>
        <w:jc w:val="both"/>
        <w:ind w:firstLine="8"/>
        <w:spacing w:after="0"/>
        <w:tabs>
          <w:tab w:leader="none" w:pos="33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 xml:space="preserve">any defense based upon any Beneficiary’s errors or omissions in the administration of the Guaranteed Obligations, except behavior which amounts to bad faith, gross negligence or willful misconduct;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 offs, recoupments and counterclaims, (iv) promptness, diligence and any requirement that any Beneficiary protect, secure, perfect or insure any security interest or lien or any property subject thereto, and (v) notices, demands, presentments, protests, notices of protest, notices of dishonor and notices of any action or inaction, including acceptance hereof, notices of default hereunder, the Secured Swap Agreements, the Secured Cash Management Services Agreements or any agreement or instrument related thereto, notices of any renewal, extension or modification of the Guaranteed Obligations or any agreement related thereto, notices of any extension of credit to any Borrower and notices of any of the matters referred to in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and any right to consent to any thereof; and (f) any defenses or benefits that may be derived from or afforded by law which limit the liability of or exonerate guarantors or sureties, or which may conflict with the terms hereof, in each case other than the indefeasible payment in full of the Guaranteed Obligations.</w:t>
      </w:r>
    </w:p>
    <w:p>
      <w:pPr>
        <w:spacing w:after="0" w:line="166"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 xml:space="preserve">Section 7.5 </w:t>
      </w:r>
      <w:r>
        <w:rPr>
          <w:rFonts w:ascii="Arial" w:cs="Arial" w:eastAsia="Arial" w:hAnsi="Arial"/>
          <w:sz w:val="19"/>
          <w:szCs w:val="19"/>
          <w:u w:val="single" w:color="auto"/>
          <w:color w:val="auto"/>
        </w:rPr>
        <w:t>Guarantors’ Rights of Subrogation, Contribution, Etc</w:t>
      </w:r>
      <w:r>
        <w:rPr>
          <w:rFonts w:ascii="Arial" w:cs="Arial" w:eastAsia="Arial" w:hAnsi="Arial"/>
          <w:sz w:val="19"/>
          <w:szCs w:val="19"/>
          <w:color w:val="auto"/>
        </w:rPr>
        <w:t>. Until the Guaranteed Obligations shall have been paid in full (other than contingent indemnification obligations for which no claim has been made and Obligations under or in respect of Secured Swap Agreements or Secured Cash Management Services) and the Commitments shall have terminated, each Guarantor hereby waives any claim, right or remedy, direct or indirect, that such Guarantor now has or may hereafter have against any Borrower or any other Guarantor or any of its assets in connection with this Guaranty or the performance by such Guarantor of its obligations hereunder, in each case whether such claim, right or remedy arises in equity, under contract, by statute, under common law or otherwise and including, (i) any right of subrogation, reimbursement or indemnification that such Guarantor now has or may hereafter have against any Borrower with respect to the Guaranteed Obligations, (ii) any right to enforce, or to participate in, any claim, right or remedy that any Beneficiary now has or may hereafter have against any Borrower, and (iii) any benefit of, and any right to participate in, any collateral or security now or hereafter held by any Beneficiary. In addition, until the Termination Date shall have occurred, each Guarantor shall withhold exercise of any right of contribution such Guarantor may have against any other guarantor (including any other Guarantor) of the Guaranteed Obligations. Each Guarantor further agrees that, to the extent the waiver or agreement to withhold the exercise of its rights of subrogation, reimbursement, indemnification</w:t>
      </w:r>
    </w:p>
    <w:p>
      <w:pPr>
        <w:sectPr>
          <w:pgSz w:w="11900" w:h="16838" w:orient="portrait"/>
          <w:cols w:equalWidth="0" w:num="1">
            <w:col w:w="11240"/>
          </w:cols>
          <w:pgMar w:left="320" w:top="1401" w:right="339" w:bottom="1440" w:gutter="0" w:footer="0" w:header="0"/>
        </w:sectPr>
      </w:pPr>
    </w:p>
    <w:bookmarkStart w:id="163" w:name="page164"/>
    <w:bookmarkEnd w:id="163"/>
    <w:p>
      <w:pPr>
        <w:jc w:val="both"/>
        <w:spacing w:after="0" w:line="241" w:lineRule="auto"/>
        <w:rPr>
          <w:sz w:val="20"/>
          <w:szCs w:val="20"/>
          <w:color w:val="auto"/>
        </w:rPr>
      </w:pPr>
      <w:r>
        <w:rPr>
          <w:rFonts w:ascii="Arial" w:cs="Arial" w:eastAsia="Arial" w:hAnsi="Arial"/>
          <w:sz w:val="19"/>
          <w:szCs w:val="19"/>
          <w:color w:val="auto"/>
        </w:rPr>
        <w:t>and contribution as set forth herein is found by a court of competent jurisdiction to be void or voidable for any reason, any rights of subrogation, reimbursement or indemnification such Guarantor may have against any Borrower or against any collateral or security, and any rights of contribution such Guarantor may have against any such other guarantor, shall be junior and subordinate to any rights any Beneficiary may have against any Borrower, to all right, title and interest any Beneficiary may have in any such collateral or security, and to any right any Beneficiary may have against such other guarantor. If any amount shall be paid to any Guarantor on account of any such subrogation, reimbursement, indemnification or contribution rights at any time when all Guaranteed Obligations (other than contingent indemnification obligations for which no claim has been made and Obligations under or in respect of Secured Swap Agreements or Secured Cash Management Services) shall not have been paid in full, such amount shall be held in trust for the Administrative Agent on behalf of the Beneficiaries and shall forthwith be paid over to the Administrative Agent for the benefit of the Beneficiaries to be credited and applied against the Guaranteed Obligations, whether matured or unmatured, in accordance with the terms hereof. Notwithstanding the foregoing, to the extent that any Guarantor’s right to indemnification or contribution arises from a payment or sale of Collateral made to satisfy Obligations constituting Swap Obligations, only those Loan Parties for whom such Swap Obligations do not constitute Excluded Swap Obligations shall indemnify and/or contribute to such Guarantor with respect to such Swap Obligations and the amount of any indemnity or contribution shall be adjusted accordingly.</w:t>
      </w:r>
    </w:p>
    <w:p>
      <w:pPr>
        <w:spacing w:after="0" w:line="384" w:lineRule="exact"/>
        <w:rPr>
          <w:sz w:val="20"/>
          <w:szCs w:val="20"/>
          <w:color w:val="auto"/>
        </w:rPr>
      </w:pPr>
    </w:p>
    <w:p>
      <w:pPr>
        <w:jc w:val="both"/>
        <w:ind w:firstLine="1296"/>
        <w:spacing w:after="0" w:line="212" w:lineRule="auto"/>
        <w:rPr>
          <w:sz w:val="20"/>
          <w:szCs w:val="20"/>
          <w:color w:val="auto"/>
        </w:rPr>
      </w:pPr>
      <w:r>
        <w:rPr>
          <w:rFonts w:ascii="Arial" w:cs="Arial" w:eastAsia="Arial" w:hAnsi="Arial"/>
          <w:sz w:val="22"/>
          <w:szCs w:val="22"/>
          <w:color w:val="auto"/>
        </w:rPr>
        <w:t xml:space="preserve">Section 7.6 </w:t>
      </w:r>
      <w:r>
        <w:rPr>
          <w:rFonts w:ascii="Arial" w:cs="Arial" w:eastAsia="Arial" w:hAnsi="Arial"/>
          <w:sz w:val="22"/>
          <w:szCs w:val="22"/>
          <w:u w:val="single" w:color="auto"/>
          <w:color w:val="auto"/>
        </w:rPr>
        <w:t>Subrogation of Other Obligations</w:t>
      </w:r>
      <w:r>
        <w:rPr>
          <w:rFonts w:ascii="Arial" w:cs="Arial" w:eastAsia="Arial" w:hAnsi="Arial"/>
          <w:sz w:val="22"/>
          <w:szCs w:val="22"/>
          <w:color w:val="auto"/>
        </w:rPr>
        <w:t>. Any Indebtedness of any Borrower or any Guarantor now or hereafter held by any Guarantor (the “</w:t>
      </w:r>
      <w:r>
        <w:rPr>
          <w:rFonts w:ascii="Arial" w:cs="Arial" w:eastAsia="Arial" w:hAnsi="Arial"/>
          <w:sz w:val="22"/>
          <w:szCs w:val="22"/>
          <w:u w:val="single" w:color="auto"/>
          <w:color w:val="auto"/>
        </w:rPr>
        <w:t>Obligee Guarantor</w:t>
      </w:r>
      <w:r>
        <w:rPr>
          <w:rFonts w:ascii="Arial" w:cs="Arial" w:eastAsia="Arial" w:hAnsi="Arial"/>
          <w:sz w:val="22"/>
          <w:szCs w:val="22"/>
          <w:color w:val="auto"/>
        </w:rPr>
        <w:t>”) is hereby subordinated in right of payment to the Guaranteed Obligations, and any such Indebtedness collected or received by the Obligee Guarantor after an Event of Default has occurred and is continuing shall be held in trust for the Administrative Agent on behalf of the Beneficiaries and shall forthwith be paid over to the Administrative Agent for the benefit of the Beneficiaries to be credited and applied against the Guaranteed Obligations but without affecting, impairing or limiting in any manner the liability of the Obligee Guarantor under any other provision hereof.</w:t>
      </w:r>
    </w:p>
    <w:p>
      <w:pPr>
        <w:spacing w:after="0" w:line="16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Section 7.7 </w:t>
      </w:r>
      <w:r>
        <w:rPr>
          <w:rFonts w:ascii="Arial" w:cs="Arial" w:eastAsia="Arial" w:hAnsi="Arial"/>
          <w:sz w:val="22"/>
          <w:szCs w:val="22"/>
          <w:u w:val="single" w:color="auto"/>
          <w:color w:val="auto"/>
        </w:rPr>
        <w:t>Continuing Guaranty</w:t>
      </w:r>
      <w:r>
        <w:rPr>
          <w:rFonts w:ascii="Arial" w:cs="Arial" w:eastAsia="Arial" w:hAnsi="Arial"/>
          <w:sz w:val="22"/>
          <w:szCs w:val="22"/>
          <w:color w:val="auto"/>
        </w:rPr>
        <w:t>. Subject to Section 10.17, this Guaranty is a continuing guaranty and shall remain in effect until the Termination Date. Each Guarantor hereby irrevocably waives any right to revoke this Guaranty as to future transactions giving rise to any Guaranteed Obligations.</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Section 7.8 </w:t>
      </w:r>
      <w:r>
        <w:rPr>
          <w:rFonts w:ascii="Arial" w:cs="Arial" w:eastAsia="Arial" w:hAnsi="Arial"/>
          <w:sz w:val="22"/>
          <w:szCs w:val="22"/>
          <w:u w:val="single" w:color="auto"/>
          <w:color w:val="auto"/>
        </w:rPr>
        <w:t>Authority of Guarantors or Borrowers</w:t>
      </w:r>
      <w:r>
        <w:rPr>
          <w:rFonts w:ascii="Arial" w:cs="Arial" w:eastAsia="Arial" w:hAnsi="Arial"/>
          <w:sz w:val="22"/>
          <w:szCs w:val="22"/>
          <w:color w:val="auto"/>
        </w:rPr>
        <w:t xml:space="preserve"> . It is not necessary for any Beneficiary to inquire into the capacity or powers of any Guarantor or any Borrower or the officers, directors or any agents acting or purporting to act on behalf of any of them.</w:t>
      </w:r>
    </w:p>
    <w:p>
      <w:pPr>
        <w:spacing w:after="0" w:line="15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 xml:space="preserve">Section 7.9 </w:t>
      </w:r>
      <w:r>
        <w:rPr>
          <w:rFonts w:ascii="Arial" w:cs="Arial" w:eastAsia="Arial" w:hAnsi="Arial"/>
          <w:sz w:val="19"/>
          <w:szCs w:val="19"/>
          <w:u w:val="single" w:color="auto"/>
          <w:color w:val="auto"/>
        </w:rPr>
        <w:t>Financial Condition of the Borrowers</w:t>
      </w:r>
      <w:r>
        <w:rPr>
          <w:rFonts w:ascii="Arial" w:cs="Arial" w:eastAsia="Arial" w:hAnsi="Arial"/>
          <w:sz w:val="19"/>
          <w:szCs w:val="19"/>
          <w:color w:val="auto"/>
        </w:rPr>
        <w:t>. Any Loan may be made to the Borrowers or continued from time to time and any Secured Swap Agreement or Secured Cash Management Services Agreement may be entered into from time to time, in each case without notice to or authorization from any Guarantor regardless of the financial or other condition of any Borrower or any other Loan Party at the time of any such grant or continuation or at the time such Secured Swap Agreement or Secured Cash Management Services Agreement is entered into, as the case may be. No Beneficiary shall have any obligation to disclose or discuss with any Guarantor its assessment, or any Guarantor’s assessment, of the financial condition of any Borrower or any other Loan Party. Each Guarantor has adequate means to obtain information from the Borrowers and the other Loan Parties on a continuing basis concerning the financial condition of the Borrowers and the other Loan Parties and their respective ability to perform their obligations under the Loan Documents and the Secured Swap Agreements and Secured Cash Management Services Agreements, and each Guarantor assumes the responsibility for being and keeping informed of the financial condition of each Borrower</w:t>
      </w:r>
    </w:p>
    <w:p>
      <w:pPr>
        <w:sectPr>
          <w:pgSz w:w="11900" w:h="16838" w:orient="portrait"/>
          <w:cols w:equalWidth="0" w:num="1">
            <w:col w:w="11240"/>
          </w:cols>
          <w:pgMar w:left="320" w:top="1401" w:right="339" w:bottom="1440" w:gutter="0" w:footer="0" w:header="0"/>
        </w:sectPr>
      </w:pPr>
    </w:p>
    <w:bookmarkStart w:id="164" w:name="page165"/>
    <w:bookmarkEnd w:id="164"/>
    <w:p>
      <w:pPr>
        <w:jc w:val="both"/>
        <w:spacing w:after="0" w:line="218" w:lineRule="auto"/>
        <w:rPr>
          <w:sz w:val="20"/>
          <w:szCs w:val="20"/>
          <w:color w:val="auto"/>
        </w:rPr>
      </w:pPr>
      <w:r>
        <w:rPr>
          <w:rFonts w:ascii="Arial" w:cs="Arial" w:eastAsia="Arial" w:hAnsi="Arial"/>
          <w:sz w:val="22"/>
          <w:szCs w:val="22"/>
          <w:color w:val="auto"/>
        </w:rPr>
        <w:t>and each other Loan Party and of all circumstances bearing upon the risk of nonpayment of the Guaranteed Obligations. Each Guarantor hereby waives and relinquishes any duty on the part of any Beneficiary to disclose any matter, fact or thing relating to the business, operations or conditions of any Borrower or any other Loan Party now known or hereafter known by any Beneficiary.</w:t>
      </w:r>
    </w:p>
    <w:p>
      <w:pPr>
        <w:spacing w:after="0" w:line="161"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 xml:space="preserve">Section 7.10 </w:t>
      </w:r>
      <w:r>
        <w:rPr>
          <w:rFonts w:ascii="Arial" w:cs="Arial" w:eastAsia="Arial" w:hAnsi="Arial"/>
          <w:sz w:val="21"/>
          <w:szCs w:val="21"/>
          <w:u w:val="single" w:color="auto"/>
          <w:color w:val="auto"/>
        </w:rPr>
        <w:t>Bankruptcy, Etc</w:t>
      </w:r>
      <w:r>
        <w:rPr>
          <w:rFonts w:ascii="Arial" w:cs="Arial" w:eastAsia="Arial" w:hAnsi="Arial"/>
          <w:sz w:val="21"/>
          <w:szCs w:val="21"/>
          <w:color w:val="auto"/>
        </w:rPr>
        <w:t>. (a) So long as any Guaranteed Obligations remain outstanding, no Guarantor shall, without the prior written consent of the Administrative Agent acting pursuant to the instructions of Required Lenders, commence or join with any other Person in commencing any bankruptcy, reorganization or insolvency case or proceeding of or against any Borrower or any other Loan Party. The obligations of the Guarantors hereunder shall not be reduced, limited, impaired, discharged, deferred, suspended or terminated by any case or proceeding, voluntary or involuntary, involving the bankruptcy, insolvency, receivership, reorganization, liquidation or arrangement of any Borrower or any other Loan Party or by any defense which any Borrower or any other Loan Party may have by reason of the order, decree or decision of any court or administrative body resulting from any such proceeding.</w:t>
      </w:r>
    </w:p>
    <w:p>
      <w:pPr>
        <w:spacing w:after="0" w:line="165" w:lineRule="exact"/>
        <w:rPr>
          <w:sz w:val="20"/>
          <w:szCs w:val="20"/>
          <w:color w:val="auto"/>
        </w:rPr>
      </w:pPr>
    </w:p>
    <w:p>
      <w:pPr>
        <w:jc w:val="both"/>
        <w:ind w:left="80" w:firstLine="1305"/>
        <w:spacing w:after="0" w:line="244" w:lineRule="auto"/>
        <w:tabs>
          <w:tab w:leader="none" w:pos="1925" w:val="left"/>
        </w:tabs>
        <w:numPr>
          <w:ilvl w:val="0"/>
          <w:numId w:val="177"/>
        </w:numPr>
        <w:rPr>
          <w:rFonts w:ascii="Arial" w:cs="Arial" w:eastAsia="Arial" w:hAnsi="Arial"/>
          <w:sz w:val="19"/>
          <w:szCs w:val="19"/>
          <w:color w:val="auto"/>
        </w:rPr>
      </w:pPr>
      <w:r>
        <w:rPr>
          <w:rFonts w:ascii="Arial" w:cs="Arial" w:eastAsia="Arial" w:hAnsi="Arial"/>
          <w:sz w:val="19"/>
          <w:szCs w:val="19"/>
          <w:color w:val="auto"/>
        </w:rPr>
        <w:t>Each Guarantor acknowledges and agrees that any interest on any portion of the Guaranteed Obligations which accrues after the commencement of any case or proceeding referred to in clause (a)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and the Beneficiaries that the Guaranteed Obligations which are guaranteed by Guarantors pursuant hereto should be determined without regard to any rule of law or order which may relieve any Borrower or any other Loan Party of any portion of such Guaranteed Obligations. Guarantors will permit any trustee in bankruptcy, receiver, debtor in possession, assignee for the benefit of creditors or similar Person to pay the Administrative Agent, or allow the claim of the Administrative Agent in respect of, any such interest accruing after the date on which such case or proceeding is commenced.</w:t>
      </w:r>
    </w:p>
    <w:p>
      <w:pPr>
        <w:spacing w:after="0" w:line="154" w:lineRule="exact"/>
        <w:rPr>
          <w:rFonts w:ascii="Arial" w:cs="Arial" w:eastAsia="Arial" w:hAnsi="Arial"/>
          <w:sz w:val="19"/>
          <w:szCs w:val="19"/>
          <w:color w:val="auto"/>
        </w:rPr>
      </w:pPr>
    </w:p>
    <w:p>
      <w:pPr>
        <w:jc w:val="both"/>
        <w:ind w:left="80" w:firstLine="1305"/>
        <w:spacing w:after="0" w:line="216" w:lineRule="auto"/>
        <w:tabs>
          <w:tab w:leader="none" w:pos="2001" w:val="left"/>
        </w:tabs>
        <w:numPr>
          <w:ilvl w:val="0"/>
          <w:numId w:val="177"/>
        </w:numPr>
        <w:rPr>
          <w:rFonts w:ascii="Arial" w:cs="Arial" w:eastAsia="Arial" w:hAnsi="Arial"/>
          <w:sz w:val="22"/>
          <w:szCs w:val="22"/>
          <w:color w:val="auto"/>
        </w:rPr>
      </w:pPr>
      <w:r>
        <w:rPr>
          <w:rFonts w:ascii="Arial" w:cs="Arial" w:eastAsia="Arial" w:hAnsi="Arial"/>
          <w:sz w:val="22"/>
          <w:szCs w:val="22"/>
          <w:color w:val="auto"/>
        </w:rPr>
        <w:t>In the event that all or any portion of the Guaranteed Obligations are paid by any Borrower or any Subsidiary, the obligations of Guarantors hereunder shall continue and remain in full force and effect or be reinstated, as the case may be, in the event that all or any part of such payment(s) are rescinded or recovered directly or indirectly from any Beneficiary as a preference, fraudulent transfer or otherwise, and any such payments which are so rescinded or recovered shall constitute Guaranteed Obligations for all purposes hereunder.</w:t>
      </w:r>
    </w:p>
    <w:p>
      <w:pPr>
        <w:spacing w:after="0" w:line="158"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auto"/>
        </w:rPr>
        <w:t xml:space="preserve">Section 7.11 </w:t>
      </w:r>
      <w:r>
        <w:rPr>
          <w:rFonts w:ascii="Arial" w:cs="Arial" w:eastAsia="Arial" w:hAnsi="Arial"/>
          <w:sz w:val="21"/>
          <w:szCs w:val="21"/>
          <w:u w:val="single" w:color="auto"/>
          <w:color w:val="auto"/>
        </w:rPr>
        <w:t>Excluded Swap Obligations</w:t>
      </w:r>
      <w:r>
        <w:rPr>
          <w:rFonts w:ascii="Arial" w:cs="Arial" w:eastAsia="Arial" w:hAnsi="Arial"/>
          <w:sz w:val="21"/>
          <w:szCs w:val="21"/>
          <w:color w:val="auto"/>
        </w:rPr>
        <w:t>. (a) Notwithstanding any provision of this Agreement or any other Loan Document, no Guaranty by any Guarantor under any Loan Document shall include a guaranty of any Obligation and no Guaranteed Obligations shall include any Obligation that, as to such Guarantor, is an Excluded Swap Obligation, and no Collateral provided by any Guarantor shall secure any Obligation and no Secured Obligations shall include any Obligation that, as to such Guarantor, is an Excluded Swap Obligation. In the event that any payment is made pursuant to any Guaranty by any Guarantor, or any amount is realized from Collateral of any Guarantor, as to which any Guaranteed Obligations or Secured Obligations, as applicable, are Excluded Swap Obligations, such payment or amount shall be applied to pay the Guaranteed Obligations or Secured Obligations, as applicable, of such Guarantor as otherwise provided herein and in the other Loan Documents without giving effect to such Excluded Swap Obligations, with payments from Guarantors of all Obligations, on the one hand, and Guarantors who cannot guarantee Excluded Swap Obligations, on the other hand, being distributed in such manner (but without applying payments from Guarantors who cannot guarantee Excluded Swap Obligations to such obligations) so as to ensure, as nearly as</w:t>
      </w:r>
    </w:p>
    <w:p>
      <w:pPr>
        <w:sectPr>
          <w:pgSz w:w="11900" w:h="16838" w:orient="portrait"/>
          <w:cols w:equalWidth="0" w:num="1">
            <w:col w:w="11240"/>
          </w:cols>
          <w:pgMar w:left="320" w:top="1401" w:right="339" w:bottom="1440" w:gutter="0" w:footer="0" w:header="0"/>
        </w:sectPr>
      </w:pPr>
    </w:p>
    <w:bookmarkStart w:id="165" w:name="page166"/>
    <w:bookmarkEnd w:id="165"/>
    <w:p>
      <w:pPr>
        <w:jc w:val="both"/>
        <w:spacing w:after="0" w:line="218" w:lineRule="auto"/>
        <w:rPr>
          <w:sz w:val="20"/>
          <w:szCs w:val="20"/>
          <w:color w:val="auto"/>
        </w:rPr>
      </w:pPr>
      <w:r>
        <w:rPr>
          <w:rFonts w:ascii="Arial" w:cs="Arial" w:eastAsia="Arial" w:hAnsi="Arial"/>
          <w:sz w:val="22"/>
          <w:szCs w:val="22"/>
          <w:color w:val="auto"/>
        </w:rPr>
        <w:t>practicable, the distribution of payments as required by the Loan Documents. Each reference in this Agreement or any other Loan Document to the ratable application of such amounts as among the Guaranteed Obligations, the Secured Obligations or the Obligations or any specified portion thereof that would otherwise include such Excluded Swap Obligations shall be deemed so to provide.</w:t>
      </w:r>
    </w:p>
    <w:p>
      <w:pPr>
        <w:spacing w:after="0" w:line="161" w:lineRule="exact"/>
        <w:rPr>
          <w:sz w:val="20"/>
          <w:szCs w:val="20"/>
          <w:color w:val="auto"/>
        </w:rPr>
      </w:pPr>
    </w:p>
    <w:p>
      <w:pPr>
        <w:jc w:val="both"/>
        <w:ind w:left="80" w:firstLine="1305"/>
        <w:spacing w:after="0" w:line="220" w:lineRule="auto"/>
        <w:tabs>
          <w:tab w:leader="none" w:pos="1966" w:val="left"/>
        </w:tabs>
        <w:numPr>
          <w:ilvl w:val="0"/>
          <w:numId w:val="178"/>
        </w:numPr>
        <w:rPr>
          <w:rFonts w:ascii="Arial" w:cs="Arial" w:eastAsia="Arial" w:hAnsi="Arial"/>
          <w:sz w:val="21"/>
          <w:szCs w:val="21"/>
          <w:color w:val="auto"/>
        </w:rPr>
      </w:pPr>
      <w:r>
        <w:rPr>
          <w:rFonts w:ascii="Arial" w:cs="Arial" w:eastAsia="Arial" w:hAnsi="Arial"/>
          <w:sz w:val="21"/>
          <w:szCs w:val="21"/>
          <w:color w:val="auto"/>
        </w:rPr>
        <w:t xml:space="preserve">Each Qualified ECP Guarantor hereby jointly and severally absolutely, unconditionally and irrevocably undertakes to provide such funds or other support as may be needed from time to time to enable each other Loan Party to honor all of its obligations under the Loan Documents in respect of Swap Obligations;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Qualified ECP Guarantor shall only be liable under this Section for the maximum amount of such liability that can be hereby incurred by such Qualified ECP Guarantor without rendering its obligations under this Section or otherwise its Guaranty voidable under applicable law relating to fraudulent conveyance or fraudulent transfer and not for any greater amount. The obligations of each Qualified ECP Guarantor under this Section shall remain in full force and effect until its Guaranty is released. Each Qualified ECP Guarantor intends that this Section shall constitute, and this Section shall be deemed to constitute, a “keepwell, support, or other agreement” for the benefit of each other Loan Party for all purposes of Section 1a(18)(A)(v)(II) of the Commodity Exchange Act.</w:t>
      </w:r>
    </w:p>
    <w:p>
      <w:pPr>
        <w:spacing w:after="0" w:line="16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ARTICLE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-17780</wp:posOffset>
            </wp:positionV>
            <wp:extent cx="137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EVENTS OF DEFAULT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any of the following events (each, an “</w:t>
      </w:r>
      <w:r>
        <w:rPr>
          <w:rFonts w:ascii="Arial" w:cs="Arial" w:eastAsia="Arial" w:hAnsi="Arial"/>
          <w:sz w:val="22"/>
          <w:szCs w:val="22"/>
          <w:u w:val="single" w:color="auto"/>
          <w:color w:val="auto"/>
        </w:rPr>
        <w:t>Event of Default</w:t>
      </w:r>
      <w:r>
        <w:rPr>
          <w:rFonts w:ascii="Arial" w:cs="Arial" w:eastAsia="Arial" w:hAnsi="Arial"/>
          <w:sz w:val="22"/>
          <w:szCs w:val="22"/>
          <w:color w:val="auto"/>
        </w:rPr>
        <w:t>”) shall occur:</w:t>
      </w:r>
    </w:p>
    <w:p>
      <w:pPr>
        <w:spacing w:after="0" w:line="179" w:lineRule="exact"/>
        <w:rPr>
          <w:sz w:val="20"/>
          <w:szCs w:val="20"/>
          <w:color w:val="auto"/>
        </w:rPr>
      </w:pPr>
    </w:p>
    <w:p>
      <w:pPr>
        <w:jc w:val="both"/>
        <w:ind w:left="80" w:firstLine="1305"/>
        <w:spacing w:after="0" w:line="223" w:lineRule="auto"/>
        <w:tabs>
          <w:tab w:leader="none" w:pos="1942"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Borrowers shall fail to pay any principal of any Loan when and as the same shall become due and payable or any amount due and payable to any Issuing Bank in reimbursement of any drawing under any Letter of Credit, whether at the due date thereof or at a date fixed for prepayment thereof or otherwise;</w:t>
      </w:r>
    </w:p>
    <w:p>
      <w:pPr>
        <w:spacing w:after="0" w:line="158" w:lineRule="exact"/>
        <w:rPr>
          <w:rFonts w:ascii="Arial" w:cs="Arial" w:eastAsia="Arial" w:hAnsi="Arial"/>
          <w:sz w:val="22"/>
          <w:szCs w:val="22"/>
          <w:color w:val="auto"/>
        </w:rPr>
      </w:pPr>
    </w:p>
    <w:p>
      <w:pPr>
        <w:jc w:val="both"/>
        <w:ind w:left="80" w:firstLine="1305"/>
        <w:spacing w:after="0" w:line="234" w:lineRule="auto"/>
        <w:tabs>
          <w:tab w:leader="none" w:pos="1945" w:val="left"/>
        </w:tabs>
        <w:numPr>
          <w:ilvl w:val="0"/>
          <w:numId w:val="179"/>
        </w:numPr>
        <w:rPr>
          <w:rFonts w:ascii="Arial" w:cs="Arial" w:eastAsia="Arial" w:hAnsi="Arial"/>
          <w:sz w:val="21"/>
          <w:szCs w:val="21"/>
          <w:color w:val="auto"/>
        </w:rPr>
      </w:pPr>
      <w:r>
        <w:rPr>
          <w:rFonts w:ascii="Arial" w:cs="Arial" w:eastAsia="Arial" w:hAnsi="Arial"/>
          <w:sz w:val="21"/>
          <w:szCs w:val="21"/>
          <w:color w:val="auto"/>
        </w:rPr>
        <w:t>the Borrowers shall fail to pay any interest on any Loan or any fee or any other amount (other than an amount referred to in clause (a) of this Article) payable under any of the Loan Documents, when and as the same shall become due and payable, and such failure shall continue unremedied for a period of five Business Days;</w:t>
      </w:r>
    </w:p>
    <w:p>
      <w:pPr>
        <w:spacing w:after="0" w:line="157" w:lineRule="exact"/>
        <w:rPr>
          <w:rFonts w:ascii="Arial" w:cs="Arial" w:eastAsia="Arial" w:hAnsi="Arial"/>
          <w:sz w:val="21"/>
          <w:szCs w:val="21"/>
          <w:color w:val="auto"/>
        </w:rPr>
      </w:pPr>
    </w:p>
    <w:p>
      <w:pPr>
        <w:jc w:val="both"/>
        <w:ind w:left="80" w:firstLine="1305"/>
        <w:spacing w:after="0" w:line="216" w:lineRule="auto"/>
        <w:tabs>
          <w:tab w:leader="none" w:pos="1877" w:val="left"/>
        </w:tabs>
        <w:numPr>
          <w:ilvl w:val="0"/>
          <w:numId w:val="179"/>
        </w:numPr>
        <w:rPr>
          <w:rFonts w:ascii="Arial" w:cs="Arial" w:eastAsia="Arial" w:hAnsi="Arial"/>
          <w:sz w:val="22"/>
          <w:szCs w:val="22"/>
          <w:color w:val="auto"/>
        </w:rPr>
      </w:pPr>
      <w:r>
        <w:rPr>
          <w:rFonts w:ascii="Arial" w:cs="Arial" w:eastAsia="Arial" w:hAnsi="Arial"/>
          <w:sz w:val="22"/>
          <w:szCs w:val="22"/>
          <w:color w:val="auto"/>
        </w:rPr>
        <w:t>any representation or warranty made or deemed made by or on behalf of any Loan Party or any Restricted Subsidiary in this Agreement or any other Loan Document or any amendment or modification hereof or thereof or waiver hereunder or thereunder, or in any certificate or other document furnished pursuant to this Agreement, any other Loan Document or any amendment or modification hereof or thereof or waiver hereunder or thereunder, shall prove to have been incorrect in any material respect when made or deemed made;</w:t>
      </w:r>
    </w:p>
    <w:p>
      <w:pPr>
        <w:spacing w:after="0" w:line="157" w:lineRule="exact"/>
        <w:rPr>
          <w:rFonts w:ascii="Arial" w:cs="Arial" w:eastAsia="Arial" w:hAnsi="Arial"/>
          <w:sz w:val="22"/>
          <w:szCs w:val="22"/>
          <w:color w:val="auto"/>
        </w:rPr>
      </w:pPr>
    </w:p>
    <w:p>
      <w:pPr>
        <w:ind w:left="80" w:firstLine="1305"/>
        <w:spacing w:after="0" w:line="232" w:lineRule="auto"/>
        <w:tabs>
          <w:tab w:leader="none" w:pos="1885" w:val="left"/>
        </w:tabs>
        <w:numPr>
          <w:ilvl w:val="0"/>
          <w:numId w:val="179"/>
        </w:numPr>
        <w:rPr>
          <w:rFonts w:ascii="Arial" w:cs="Arial" w:eastAsia="Arial" w:hAnsi="Arial"/>
          <w:sz w:val="22"/>
          <w:szCs w:val="22"/>
          <w:color w:val="auto"/>
        </w:rPr>
      </w:pPr>
      <w:r>
        <w:rPr>
          <w:rFonts w:ascii="Arial" w:cs="Arial" w:eastAsia="Arial" w:hAnsi="Arial"/>
          <w:sz w:val="22"/>
          <w:szCs w:val="22"/>
          <w:color w:val="auto"/>
        </w:rPr>
        <w:t xml:space="preserve">any Loan Party shall fail to observe or perform any covenant, condition or agreement contained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5.2(a)</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5.3</w:t>
      </w:r>
      <w:r>
        <w:rPr>
          <w:rFonts w:ascii="Arial" w:cs="Arial" w:eastAsia="Arial" w:hAnsi="Arial"/>
          <w:sz w:val="22"/>
          <w:szCs w:val="22"/>
          <w:color w:val="auto"/>
        </w:rPr>
        <w:t xml:space="preserve"> (solely with respect to a Borrower’s existence), </w:t>
      </w:r>
      <w:r>
        <w:rPr>
          <w:rFonts w:ascii="Arial" w:cs="Arial" w:eastAsia="Arial" w:hAnsi="Arial"/>
          <w:sz w:val="22"/>
          <w:szCs w:val="22"/>
          <w:u w:val="single" w:color="auto"/>
          <w:color w:val="auto"/>
        </w:rPr>
        <w:t>Section 5.9</w:t>
      </w:r>
      <w:r>
        <w:rPr>
          <w:rFonts w:ascii="Arial" w:cs="Arial" w:eastAsia="Arial" w:hAnsi="Arial"/>
          <w:sz w:val="22"/>
          <w:szCs w:val="22"/>
          <w:color w:val="auto"/>
        </w:rPr>
        <w:t xml:space="preserve"> or in </w:t>
      </w:r>
      <w:r>
        <w:rPr>
          <w:rFonts w:ascii="Arial" w:cs="Arial" w:eastAsia="Arial" w:hAnsi="Arial"/>
          <w:sz w:val="22"/>
          <w:szCs w:val="22"/>
          <w:u w:val="single" w:color="auto"/>
          <w:color w:val="auto"/>
        </w:rPr>
        <w:t>Article VI</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left="80" w:firstLine="1305"/>
        <w:spacing w:after="0" w:line="218" w:lineRule="auto"/>
        <w:tabs>
          <w:tab w:leader="none" w:pos="1832" w:val="left"/>
        </w:tabs>
        <w:numPr>
          <w:ilvl w:val="0"/>
          <w:numId w:val="179"/>
        </w:numPr>
        <w:rPr>
          <w:rFonts w:ascii="Arial" w:cs="Arial" w:eastAsia="Arial" w:hAnsi="Arial"/>
          <w:sz w:val="22"/>
          <w:szCs w:val="22"/>
          <w:color w:val="auto"/>
        </w:rPr>
      </w:pPr>
      <w:r>
        <w:rPr>
          <w:rFonts w:ascii="Arial" w:cs="Arial" w:eastAsia="Arial" w:hAnsi="Arial"/>
          <w:sz w:val="22"/>
          <w:szCs w:val="22"/>
          <w:color w:val="auto"/>
        </w:rPr>
        <w:t>any Loan Party shall fail to observe or perform any covenant, condition or agreement contained in any of the Loan Documents (other than those specified in clause (a), (b) or (d) of this Article of this Agreement), and such failure shall continue unremedied for a period of 30 days after notice thereof from the Administrative Agent to the Borrowers (which notice will be given at the request of any Lender);</w:t>
      </w:r>
    </w:p>
    <w:p>
      <w:pPr>
        <w:sectPr>
          <w:pgSz w:w="11900" w:h="16838" w:orient="portrait"/>
          <w:cols w:equalWidth="0" w:num="1">
            <w:col w:w="11240"/>
          </w:cols>
          <w:pgMar w:left="320" w:top="1401" w:right="339" w:bottom="1440" w:gutter="0" w:footer="0" w:header="0"/>
        </w:sectPr>
      </w:pPr>
    </w:p>
    <w:bookmarkStart w:id="166" w:name="page167"/>
    <w:bookmarkEnd w:id="166"/>
    <w:p>
      <w:pPr>
        <w:jc w:val="both"/>
        <w:ind w:firstLine="1305"/>
        <w:spacing w:after="0" w:line="218" w:lineRule="auto"/>
        <w:tabs>
          <w:tab w:leader="none" w:pos="1777" w:val="left"/>
        </w:tabs>
        <w:numPr>
          <w:ilvl w:val="0"/>
          <w:numId w:val="180"/>
        </w:numPr>
        <w:rPr>
          <w:rFonts w:ascii="Arial" w:cs="Arial" w:eastAsia="Arial" w:hAnsi="Arial"/>
          <w:sz w:val="22"/>
          <w:szCs w:val="22"/>
          <w:color w:val="auto"/>
        </w:rPr>
      </w:pPr>
      <w:r>
        <w:rPr>
          <w:rFonts w:ascii="Arial" w:cs="Arial" w:eastAsia="Arial" w:hAnsi="Arial"/>
          <w:sz w:val="22"/>
          <w:szCs w:val="22"/>
          <w:color w:val="auto"/>
        </w:rPr>
        <w:t>Holdings or any Restricted Subsidiary shall fail to make any payment (whether of principal or interest and regardless of amount) in respect of any Material Indebtedness, when and as the same shall become due and payable (whether by scheduled maturity, required prepayment, acceleration, demand, or otherwise) and such failure shall have continued after the applicable grace period, if any;</w:t>
      </w:r>
    </w:p>
    <w:p>
      <w:pPr>
        <w:spacing w:after="0" w:line="160" w:lineRule="exact"/>
        <w:rPr>
          <w:rFonts w:ascii="Arial" w:cs="Arial" w:eastAsia="Arial" w:hAnsi="Arial"/>
          <w:sz w:val="22"/>
          <w:szCs w:val="22"/>
          <w:color w:val="auto"/>
        </w:rPr>
      </w:pPr>
    </w:p>
    <w:p>
      <w:pPr>
        <w:jc w:val="both"/>
        <w:ind w:firstLine="1305"/>
        <w:spacing w:after="0" w:line="241" w:lineRule="auto"/>
        <w:tabs>
          <w:tab w:leader="none" w:pos="1791" w:val="left"/>
        </w:tabs>
        <w:numPr>
          <w:ilvl w:val="0"/>
          <w:numId w:val="180"/>
        </w:numPr>
        <w:rPr>
          <w:rFonts w:ascii="Arial" w:cs="Arial" w:eastAsia="Arial" w:hAnsi="Arial"/>
          <w:sz w:val="19"/>
          <w:szCs w:val="19"/>
          <w:color w:val="auto"/>
        </w:rPr>
      </w:pPr>
      <w:r>
        <w:rPr>
          <w:rFonts w:ascii="Arial" w:cs="Arial" w:eastAsia="Arial" w:hAnsi="Arial"/>
          <w:sz w:val="19"/>
          <w:szCs w:val="19"/>
          <w:color w:val="auto"/>
        </w:rPr>
        <w:t xml:space="preserve">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in each case without such Material Indebtedness having been discharged, or any such event or condition having been cured promptly;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(g) shall not apply to (i) secured Indebtedness that becomes due as a result of the disposition, sale, transfer, condemnation, insured loss or similar event with respect to the property or assets securing such Indebtedness, (ii) any customary offer to repurchase provisions upon an asset sale, (iii) customary debt and equity proceeds prepayment requirements contained in any bridge or other interim credit facility, (iv) Indebtedness of any Person assumed in connection with the acquisition of such Person to the extent that such Indebtedness is repaid as required by the terms thereof as a result of the acquisition of such Person, (v) the redemption of any Indebtedness incurred to finance an acquisition pursuant to any special mandatory redemption feature that is triggered as a result of the failure of such acquisition to occur or (vi) any repurchase, prepayment, defeasance, redemption, conversion or settlement with respect to any Permitted Convertible Indebtedness pursuant to its terms unless such repurchase, prepayment, defeasance, redemption, conversion or settlement results from a default thereunder, fundamental change (or equivalent term thereunder) or an event of the type that constitutes an Event of Default;</w:t>
      </w:r>
    </w:p>
    <w:p>
      <w:pPr>
        <w:spacing w:after="0" w:line="165" w:lineRule="exact"/>
        <w:rPr>
          <w:rFonts w:ascii="Arial" w:cs="Arial" w:eastAsia="Arial" w:hAnsi="Arial"/>
          <w:sz w:val="19"/>
          <w:szCs w:val="19"/>
          <w:color w:val="auto"/>
        </w:rPr>
      </w:pPr>
    </w:p>
    <w:p>
      <w:pPr>
        <w:jc w:val="both"/>
        <w:ind w:firstLine="1305"/>
        <w:spacing w:after="0" w:line="214" w:lineRule="auto"/>
        <w:tabs>
          <w:tab w:leader="none" w:pos="1965" w:val="left"/>
        </w:tabs>
        <w:numPr>
          <w:ilvl w:val="0"/>
          <w:numId w:val="180"/>
        </w:numPr>
        <w:rPr>
          <w:rFonts w:ascii="Arial" w:cs="Arial" w:eastAsia="Arial" w:hAnsi="Arial"/>
          <w:sz w:val="22"/>
          <w:szCs w:val="22"/>
          <w:color w:val="auto"/>
        </w:rPr>
      </w:pPr>
      <w:r>
        <w:rPr>
          <w:rFonts w:ascii="Arial" w:cs="Arial" w:eastAsia="Arial" w:hAnsi="Arial"/>
          <w:sz w:val="22"/>
          <w:szCs w:val="22"/>
          <w:color w:val="auto"/>
        </w:rPr>
        <w:t>an involuntary proceeding shall be commenced or an involuntary petition shall be filed seeking (i) liquidation, reorganization or other relief in respect of Holdings or any Restricted Subsidiary or its debts, or of a substantial part of its assets, under any Debtor Relief Law or (ii) the appointment of a receiver, trustee, custodian, sequestrator, conservator or similar official for Holdings or any Restricted Subsidiary or for a substantial part of its assets, and, in any such case, such proceeding or petition shall continue undismissed for 60 days or an order or decree approving or ordering any of the foregoing shall be entered;</w:t>
      </w:r>
    </w:p>
    <w:p>
      <w:pPr>
        <w:spacing w:after="0" w:line="158" w:lineRule="exact"/>
        <w:rPr>
          <w:rFonts w:ascii="Arial" w:cs="Arial" w:eastAsia="Arial" w:hAnsi="Arial"/>
          <w:sz w:val="22"/>
          <w:szCs w:val="22"/>
          <w:color w:val="auto"/>
        </w:rPr>
      </w:pPr>
    </w:p>
    <w:p>
      <w:pPr>
        <w:jc w:val="both"/>
        <w:ind w:firstLine="1305"/>
        <w:spacing w:after="0" w:line="249" w:lineRule="auto"/>
        <w:tabs>
          <w:tab w:leader="none" w:pos="1802" w:val="left"/>
        </w:tabs>
        <w:numPr>
          <w:ilvl w:val="0"/>
          <w:numId w:val="180"/>
        </w:numPr>
        <w:rPr>
          <w:rFonts w:ascii="Arial" w:cs="Arial" w:eastAsia="Arial" w:hAnsi="Arial"/>
          <w:sz w:val="19"/>
          <w:szCs w:val="19"/>
          <w:color w:val="auto"/>
        </w:rPr>
      </w:pPr>
      <w:r>
        <w:rPr>
          <w:rFonts w:ascii="Arial" w:cs="Arial" w:eastAsia="Arial" w:hAnsi="Arial"/>
          <w:sz w:val="19"/>
          <w:szCs w:val="19"/>
          <w:color w:val="auto"/>
        </w:rPr>
        <w:t>Holdings or any Restricted Subsidiary shall (i) voluntarily commence any proceeding or file any petition seeking liquidation, reorganization or other relief under any Debtor Relief Law, (ii) consent to the institution of, or fail to contest in a timely and appropriate manner, any proceeding or petition described in clause (h) of this Article, (iii) apply for or consent to the appointment of a receiver, trustee, custodian, sequestrator, conservator or similar official for Holdings or any Restricted Subsidiary or for a substantial part of its assets, (iv) file an answer admitting the material allegations of a petition filed against it in any such proceeding or (v) make a general assignment for the benefit of creditors;</w:t>
      </w:r>
    </w:p>
    <w:p>
      <w:pPr>
        <w:spacing w:after="0" w:line="151" w:lineRule="exact"/>
        <w:rPr>
          <w:rFonts w:ascii="Arial" w:cs="Arial" w:eastAsia="Arial" w:hAnsi="Arial"/>
          <w:sz w:val="19"/>
          <w:szCs w:val="19"/>
          <w:color w:val="auto"/>
        </w:rPr>
      </w:pPr>
    </w:p>
    <w:p>
      <w:pPr>
        <w:ind w:left="1760" w:hanging="455"/>
        <w:spacing w:after="0"/>
        <w:tabs>
          <w:tab w:leader="none" w:pos="176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Holdings or any Restricted Subsidiary shall become unable or fail generally to pay its debts as they become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due;</w:t>
      </w:r>
    </w:p>
    <w:p>
      <w:pPr>
        <w:spacing w:after="0" w:line="161" w:lineRule="exact"/>
        <w:rPr>
          <w:rFonts w:ascii="Arial" w:cs="Arial" w:eastAsia="Arial" w:hAnsi="Arial"/>
          <w:sz w:val="19"/>
          <w:szCs w:val="19"/>
          <w:color w:val="auto"/>
        </w:rPr>
      </w:pPr>
    </w:p>
    <w:p>
      <w:pPr>
        <w:jc w:val="both"/>
        <w:ind w:firstLine="1305"/>
        <w:spacing w:after="0" w:line="214" w:lineRule="auto"/>
        <w:tabs>
          <w:tab w:leader="none" w:pos="185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(i) one or more judgments for the payment of money in excess of $25,000,000 in the aggregate shall be rendered against Holdings, any Restricted Subsidiary or any combination thereof (to the extent not paid or covered by a reputable and solvent independent third-party insurance company which has not disputed coverage) and the same shall remain undischarged for a period of 45 consecutive days during which execution shall not be effectively stayed (or an action of similar effect in any jurisdiction outside the U.S.), or any action shall be legally taken by a judgment creditor to attach or levy upon any assets of</w:t>
      </w:r>
    </w:p>
    <w:p>
      <w:pPr>
        <w:sectPr>
          <w:pgSz w:w="11900" w:h="16838" w:orient="portrait"/>
          <w:cols w:equalWidth="0" w:num="1">
            <w:col w:w="11160"/>
          </w:cols>
          <w:pgMar w:left="400" w:top="1401" w:right="339" w:bottom="1440" w:gutter="0" w:footer="0" w:header="0"/>
        </w:sectPr>
      </w:pPr>
    </w:p>
    <w:bookmarkStart w:id="167" w:name="page168"/>
    <w:bookmarkEnd w:id="167"/>
    <w:p>
      <w:pPr>
        <w:jc w:val="both"/>
        <w:spacing w:after="0" w:line="224" w:lineRule="auto"/>
        <w:rPr>
          <w:sz w:val="20"/>
          <w:szCs w:val="20"/>
          <w:color w:val="auto"/>
        </w:rPr>
      </w:pPr>
      <w:r>
        <w:rPr>
          <w:rFonts w:ascii="Arial" w:cs="Arial" w:eastAsia="Arial" w:hAnsi="Arial"/>
          <w:sz w:val="21"/>
          <w:szCs w:val="21"/>
          <w:color w:val="auto"/>
        </w:rPr>
        <w:t>Holdings or any Restricted Subsidiary to enforce any such judgment and such action shall not be stayed (or an action of similar effect in any jurisdiction outside the U.S.) or (ii) any non-monetary judgment, writ or warrant of attachment or similar process shall be entered or filed against Holdings, any Restricted Subsidiary or any combination thereof or any of their respective assets and shall remain undischarged, unvacated, unbonded or unstayed (or an action of similar effect in any jurisdiction outside the U.S.) for a period of 45 consecutive days and such non-monetary judgment, writ, warrant of attachment or similar process would reasonably be expected to have a Material Adverse Effect;</w:t>
      </w:r>
    </w:p>
    <w:p>
      <w:pPr>
        <w:spacing w:after="0" w:line="160" w:lineRule="exact"/>
        <w:rPr>
          <w:sz w:val="20"/>
          <w:szCs w:val="20"/>
          <w:color w:val="auto"/>
        </w:rPr>
      </w:pPr>
    </w:p>
    <w:p>
      <w:pPr>
        <w:ind w:firstLine="1305"/>
        <w:spacing w:after="0" w:line="232" w:lineRule="auto"/>
        <w:tabs>
          <w:tab w:leader="none" w:pos="1805" w:val="left"/>
        </w:tabs>
        <w:numPr>
          <w:ilvl w:val="0"/>
          <w:numId w:val="181"/>
        </w:numPr>
        <w:rPr>
          <w:rFonts w:ascii="Arial" w:cs="Arial" w:eastAsia="Arial" w:hAnsi="Arial"/>
          <w:sz w:val="22"/>
          <w:szCs w:val="22"/>
          <w:color w:val="auto"/>
        </w:rPr>
      </w:pPr>
      <w:r>
        <w:rPr>
          <w:rFonts w:ascii="Arial" w:cs="Arial" w:eastAsia="Arial" w:hAnsi="Arial"/>
          <w:sz w:val="22"/>
          <w:szCs w:val="22"/>
          <w:color w:val="auto"/>
        </w:rPr>
        <w:t>one or more ERISA Events shall have occurred, which individually or in aggregate would reasonably be expected to result in a Material Adverse Effect;</w:t>
      </w:r>
    </w:p>
    <w:p>
      <w:pPr>
        <w:spacing w:after="0" w:line="158" w:lineRule="exact"/>
        <w:rPr>
          <w:rFonts w:ascii="Arial" w:cs="Arial" w:eastAsia="Arial" w:hAnsi="Arial"/>
          <w:sz w:val="22"/>
          <w:szCs w:val="22"/>
          <w:color w:val="auto"/>
        </w:rPr>
      </w:pPr>
    </w:p>
    <w:p>
      <w:pPr>
        <w:ind w:left="1840" w:hanging="535"/>
        <w:spacing w:after="0"/>
        <w:tabs>
          <w:tab w:leader="none" w:pos="184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a Change in Control shall occur; or</w:t>
      </w:r>
    </w:p>
    <w:p>
      <w:pPr>
        <w:spacing w:after="0" w:line="179" w:lineRule="exact"/>
        <w:rPr>
          <w:rFonts w:ascii="Arial" w:cs="Arial" w:eastAsia="Arial" w:hAnsi="Arial"/>
          <w:sz w:val="22"/>
          <w:szCs w:val="22"/>
          <w:color w:val="auto"/>
        </w:rPr>
      </w:pPr>
    </w:p>
    <w:p>
      <w:pPr>
        <w:jc w:val="both"/>
        <w:ind w:firstLine="1305"/>
        <w:spacing w:after="0" w:line="242" w:lineRule="auto"/>
        <w:tabs>
          <w:tab w:leader="none" w:pos="1818" w:val="left"/>
        </w:tabs>
        <w:numPr>
          <w:ilvl w:val="0"/>
          <w:numId w:val="181"/>
        </w:numPr>
        <w:rPr>
          <w:rFonts w:ascii="Arial" w:cs="Arial" w:eastAsia="Arial" w:hAnsi="Arial"/>
          <w:sz w:val="19"/>
          <w:szCs w:val="19"/>
          <w:color w:val="auto"/>
        </w:rPr>
      </w:pPr>
      <w:r>
        <w:rPr>
          <w:rFonts w:ascii="Arial" w:cs="Arial" w:eastAsia="Arial" w:hAnsi="Arial"/>
          <w:sz w:val="19"/>
          <w:szCs w:val="19"/>
          <w:color w:val="auto"/>
        </w:rPr>
        <w:t xml:space="preserve">(i) any material provision of any Loan Document, at any time after its execution and delivery and for any reason other than as expressly permitted hereunder or thereunder or satisfaction in full of all the obligations hereunder or thereunder, ceases to be a legal, valid and binding obligation of any party thereto; or any Loan Party contests in any manner the validity or enforceability of any Loan Document, (ii) the Collateral Agent shall not have or shall cease to have a valid and perfected Lien in any material portion of the Collateral purported to be covered by the Collateral Documents with the priority required by the relevant Collateral Document for any reason other than (A) the failure of the Collateral Agent or any Secured Party to take any action within its control or (B) the limitations of foreign laws, rules and regulations as they apply to pledges of Equity Interests in Foreign Subsidiaries or the application thereof, if any; </w:t>
      </w:r>
      <w:r>
        <w:rPr>
          <w:rFonts w:ascii="Arial" w:cs="Arial" w:eastAsia="Arial" w:hAnsi="Arial"/>
          <w:sz w:val="19"/>
          <w:szCs w:val="19"/>
          <w:u w:val="single" w:color="auto"/>
          <w:color w:val="auto"/>
        </w:rPr>
        <w:t>provided</w:t>
      </w:r>
      <w:r>
        <w:rPr>
          <w:rFonts w:ascii="Arial" w:cs="Arial" w:eastAsia="Arial" w:hAnsi="Arial"/>
          <w:sz w:val="19"/>
          <w:szCs w:val="19"/>
          <w:color w:val="auto"/>
        </w:rPr>
        <w:t>, that no Event of Default shall occur under this Section 8.01(n)(ii) if the Loan Parties cooperate with the Collateral Agent to replace or perfect such security interest and Lien, such security interest and Lien is promptly replaced or perfected (as needed) and the rights, powers and privileges of the Secured Parties are not materially adversely affected by such replacement or (iii) any Loan Party shall contest in any manner the validity or perfection of any Lien in any material portion of the Collateral purported to be covered by the Collateral Documents;</w:t>
      </w:r>
    </w:p>
    <w:p>
      <w:pPr>
        <w:spacing w:after="0" w:line="164"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 xml:space="preserve">then, and in every such event (other than an event with respect to any Borrower described in clause (h) or (i) of this Article), and at any time thereafter during the continuance of such event, the Administrative Agent may, and at the request of the Required Lenders shall, by notice to the Borrowers, take any or all of the following actions, at the same or different times: (i) terminate the Commitments and the obligation of the Issuing Banks to issue any Letters of Credit, and thereupon the Commitments and such obligations shall terminate immediately, (ii) the Administrative Agent may cause the Collateral Agent to enforce any and all Liens and security interests created pursuant to the Collateral Documents, (iii) direct the Borrowers to pay (and each Borrower hereby agrees upon receipt of such notice, or upon the occurrence of any Event of Default specified in </w:t>
      </w:r>
      <w:r>
        <w:rPr>
          <w:rFonts w:ascii="Arial" w:cs="Arial" w:eastAsia="Arial" w:hAnsi="Arial"/>
          <w:sz w:val="19"/>
          <w:szCs w:val="19"/>
          <w:u w:val="single" w:color="auto"/>
          <w:color w:val="auto"/>
        </w:rPr>
        <w:t>Article VIII (h)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to pay) to the Administrative Agent such additional amounts of cash as are reasonably requested by the applicable Issuing Banks, to be held as security for the Borrowers’ reimbursement Obligations in respect of Letters of Credit then outstanding as set forth in </w:t>
      </w:r>
      <w:r>
        <w:rPr>
          <w:rFonts w:ascii="Arial" w:cs="Arial" w:eastAsia="Arial" w:hAnsi="Arial"/>
          <w:sz w:val="19"/>
          <w:szCs w:val="19"/>
          <w:u w:val="single" w:color="auto"/>
          <w:color w:val="auto"/>
        </w:rPr>
        <w:t>Section 2.4(j)</w:t>
      </w:r>
      <w:r>
        <w:rPr>
          <w:rFonts w:ascii="Arial" w:cs="Arial" w:eastAsia="Arial" w:hAnsi="Arial"/>
          <w:sz w:val="19"/>
          <w:szCs w:val="19"/>
          <w:color w:val="auto"/>
        </w:rPr>
        <w:t xml:space="preserve"> and (iv)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(including any amounts required to be deposited in respect of Letters of Credit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2.4(j)</w:t>
      </w:r>
      <w:r>
        <w:rPr>
          <w:rFonts w:ascii="Arial" w:cs="Arial" w:eastAsia="Arial" w:hAnsi="Arial"/>
          <w:sz w:val="19"/>
          <w:szCs w:val="19"/>
          <w:color w:val="auto"/>
        </w:rPr>
        <w:t xml:space="preserve">), shall become due and payable immediately, without presentment, demand, protest or other notice of any kind, all of which are hereby waived by the Borrowers; and in case of any event with respect to any Borrower described in </w:t>
      </w:r>
      <w:r>
        <w:rPr>
          <w:rFonts w:ascii="Arial" w:cs="Arial" w:eastAsia="Arial" w:hAnsi="Arial"/>
          <w:sz w:val="19"/>
          <w:szCs w:val="19"/>
          <w:u w:val="single" w:color="auto"/>
          <w:color w:val="auto"/>
        </w:rPr>
        <w:t>clause (h)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Article</w:t>
      </w:r>
      <w:r>
        <w:rPr>
          <w:rFonts w:ascii="Arial" w:cs="Arial" w:eastAsia="Arial" w:hAnsi="Arial"/>
          <w:sz w:val="19"/>
          <w:szCs w:val="19"/>
          <w:color w:val="auto"/>
        </w:rPr>
        <w:t>, the Commitments shall automatically terminate and the principal of the Loans then outstanding, together with accrued interest thereon</w:t>
      </w:r>
    </w:p>
    <w:p>
      <w:pPr>
        <w:sectPr>
          <w:pgSz w:w="11900" w:h="16838" w:orient="portrait"/>
          <w:cols w:equalWidth="0" w:num="1">
            <w:col w:w="11160"/>
          </w:cols>
          <w:pgMar w:left="400" w:top="1401" w:right="339" w:bottom="1440" w:gutter="0" w:footer="0" w:header="0"/>
        </w:sectPr>
      </w:pPr>
    </w:p>
    <w:bookmarkStart w:id="168" w:name="page169"/>
    <w:bookmarkEnd w:id="168"/>
    <w:p>
      <w:pPr>
        <w:spacing w:after="0" w:line="247" w:lineRule="auto"/>
        <w:rPr>
          <w:sz w:val="20"/>
          <w:szCs w:val="20"/>
          <w:color w:val="auto"/>
        </w:rPr>
      </w:pPr>
      <w:r>
        <w:rPr>
          <w:rFonts w:ascii="Arial" w:cs="Arial" w:eastAsia="Arial" w:hAnsi="Arial"/>
          <w:sz w:val="21"/>
          <w:szCs w:val="21"/>
          <w:color w:val="auto"/>
        </w:rPr>
        <w:t>and all fees and other obligations of the Borrowers accrued hereunder, shall automatically become due and payable, without presentment, demand, protest or other notice of any kind, all of which are hereby waived by the Borrowers.</w:t>
      </w:r>
    </w:p>
    <w:p>
      <w:pPr>
        <w:spacing w:after="0" w:line="151"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ARTICLE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3826510</wp:posOffset>
            </wp:positionH>
            <wp:positionV relativeFrom="paragraph">
              <wp:posOffset>-17780</wp:posOffset>
            </wp:positionV>
            <wp:extent cx="137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9" w:lineRule="exact"/>
        <w:rPr>
          <w:sz w:val="20"/>
          <w:szCs w:val="20"/>
          <w:color w:val="auto"/>
        </w:rPr>
      </w:pPr>
    </w:p>
    <w:p>
      <w:pPr>
        <w:ind w:left="4940"/>
        <w:spacing w:after="0"/>
        <w:rPr>
          <w:sz w:val="20"/>
          <w:szCs w:val="20"/>
          <w:color w:val="auto"/>
        </w:rPr>
      </w:pPr>
      <w:r>
        <w:rPr>
          <w:rFonts w:ascii="Arial" w:cs="Arial" w:eastAsia="Arial" w:hAnsi="Arial"/>
          <w:sz w:val="22"/>
          <w:szCs w:val="22"/>
          <w:u w:val="single" w:color="auto"/>
          <w:color w:val="auto"/>
        </w:rPr>
        <w:t>THE AGENT</w:t>
      </w:r>
    </w:p>
    <w:p>
      <w:pPr>
        <w:spacing w:after="0" w:line="179" w:lineRule="exact"/>
        <w:rPr>
          <w:sz w:val="20"/>
          <w:szCs w:val="20"/>
          <w:color w:val="auto"/>
        </w:rPr>
      </w:pPr>
    </w:p>
    <w:p>
      <w:pPr>
        <w:ind w:left="1220"/>
        <w:spacing w:after="0"/>
        <w:tabs>
          <w:tab w:leader="none" w:pos="2440" w:val="left"/>
        </w:tabs>
        <w:rPr>
          <w:sz w:val="20"/>
          <w:szCs w:val="20"/>
          <w:color w:val="auto"/>
        </w:rPr>
      </w:pPr>
      <w:r>
        <w:rPr>
          <w:rFonts w:ascii="Arial" w:cs="Arial" w:eastAsia="Arial" w:hAnsi="Arial"/>
          <w:sz w:val="22"/>
          <w:szCs w:val="22"/>
          <w:color w:val="auto"/>
        </w:rPr>
        <w:t>Section 9.1</w:t>
      </w:r>
      <w:r>
        <w:rPr>
          <w:sz w:val="20"/>
          <w:szCs w:val="20"/>
          <w:color w:val="auto"/>
        </w:rPr>
        <w:tab/>
      </w:r>
      <w:r>
        <w:rPr>
          <w:rFonts w:ascii="Arial" w:cs="Arial" w:eastAsia="Arial" w:hAnsi="Arial"/>
          <w:sz w:val="19"/>
          <w:szCs w:val="19"/>
          <w:u w:val="single" w:color="auto"/>
          <w:color w:val="auto"/>
        </w:rPr>
        <w:t>Authorization and Action</w:t>
      </w:r>
      <w:r>
        <w:rPr>
          <w:rFonts w:ascii="Arial" w:cs="Arial" w:eastAsia="Arial" w:hAnsi="Arial"/>
          <w:sz w:val="19"/>
          <w:szCs w:val="19"/>
          <w:color w:val="auto"/>
        </w:rPr>
        <w:t>.</w:t>
      </w:r>
    </w:p>
    <w:p>
      <w:pPr>
        <w:spacing w:after="0" w:line="179" w:lineRule="exact"/>
        <w:rPr>
          <w:sz w:val="20"/>
          <w:szCs w:val="20"/>
          <w:color w:val="auto"/>
        </w:rPr>
      </w:pPr>
    </w:p>
    <w:p>
      <w:pPr>
        <w:jc w:val="both"/>
        <w:ind w:firstLine="1305"/>
        <w:spacing w:after="0" w:line="244" w:lineRule="auto"/>
        <w:tabs>
          <w:tab w:leader="none" w:pos="1891" w:val="left"/>
        </w:tabs>
        <w:numPr>
          <w:ilvl w:val="0"/>
          <w:numId w:val="182"/>
        </w:numPr>
        <w:rPr>
          <w:rFonts w:ascii="Arial" w:cs="Arial" w:eastAsia="Arial" w:hAnsi="Arial"/>
          <w:sz w:val="19"/>
          <w:szCs w:val="19"/>
          <w:color w:val="auto"/>
        </w:rPr>
      </w:pPr>
      <w:r>
        <w:rPr>
          <w:rFonts w:ascii="Arial" w:cs="Arial" w:eastAsia="Arial" w:hAnsi="Arial"/>
          <w:sz w:val="19"/>
          <w:szCs w:val="19"/>
          <w:color w:val="auto"/>
        </w:rPr>
        <w:t>Each of the Lenders, Issuing Banks and other Secured Parties (including in its capacity as a potential counterparty under a Secured Swap Agreement or a provider of Secured Cash Management Services) hereby irrevocably appoints JPMCB as the Administrative Agent and Collateral Agent (and JPMCB hereby accepts such appointment) and authorizes the Administrative Agent and the Collateral Agent to take such actions on its behalf and to exercise such powers as are delegated to the Administrative Agent and the Collateral Agent by the terms hereof and under the other Loan Documents, together with such actions and powers as are reasonably incidental thereto. Without limiting the foregoing, each Lender, Secured Party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60" w:lineRule="exact"/>
        <w:rPr>
          <w:rFonts w:ascii="Arial" w:cs="Arial" w:eastAsia="Arial" w:hAnsi="Arial"/>
          <w:sz w:val="19"/>
          <w:szCs w:val="19"/>
          <w:color w:val="auto"/>
        </w:rPr>
      </w:pPr>
    </w:p>
    <w:p>
      <w:pPr>
        <w:jc w:val="both"/>
        <w:ind w:firstLine="1305"/>
        <w:spacing w:after="0"/>
        <w:tabs>
          <w:tab w:leader="none" w:pos="1989" w:val="left"/>
        </w:tabs>
        <w:numPr>
          <w:ilvl w:val="0"/>
          <w:numId w:val="182"/>
        </w:numPr>
        <w:rPr>
          <w:rFonts w:ascii="Arial" w:cs="Arial" w:eastAsia="Arial" w:hAnsi="Arial"/>
          <w:sz w:val="19"/>
          <w:szCs w:val="19"/>
          <w:color w:val="auto"/>
        </w:rPr>
      </w:pPr>
      <w:r>
        <w:rPr>
          <w:rFonts w:ascii="Arial" w:cs="Arial" w:eastAsia="Arial" w:hAnsi="Arial"/>
          <w:sz w:val="19"/>
          <w:szCs w:val="19"/>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any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384" w:lineRule="exact"/>
        <w:rPr>
          <w:rFonts w:ascii="Arial" w:cs="Arial" w:eastAsia="Arial" w:hAnsi="Arial"/>
          <w:sz w:val="19"/>
          <w:szCs w:val="19"/>
          <w:color w:val="auto"/>
        </w:rPr>
      </w:pPr>
    </w:p>
    <w:p>
      <w:pPr>
        <w:jc w:val="both"/>
        <w:ind w:firstLine="1305"/>
        <w:spacing w:after="0" w:line="223" w:lineRule="auto"/>
        <w:tabs>
          <w:tab w:leader="none" w:pos="1808" w:val="left"/>
        </w:tabs>
        <w:numPr>
          <w:ilvl w:val="0"/>
          <w:numId w:val="182"/>
        </w:numPr>
        <w:rPr>
          <w:rFonts w:ascii="Arial" w:cs="Arial" w:eastAsia="Arial" w:hAnsi="Arial"/>
          <w:sz w:val="22"/>
          <w:szCs w:val="22"/>
          <w:color w:val="auto"/>
        </w:rPr>
      </w:pPr>
      <w:r>
        <w:rPr>
          <w:rFonts w:ascii="Arial" w:cs="Arial" w:eastAsia="Arial" w:hAnsi="Arial"/>
          <w:sz w:val="22"/>
          <w:szCs w:val="22"/>
          <w:color w:val="auto"/>
        </w:rPr>
        <w:t>In performing its functions and duties hereunder and under the other Loan Documents, the Administrative Agent is acting solely on behalf of the Lenders and the Issuing Banks (except in limited circumstances expressly provided for herein relating to the</w:t>
      </w:r>
    </w:p>
    <w:p>
      <w:pPr>
        <w:sectPr>
          <w:pgSz w:w="11900" w:h="16838" w:orient="portrait"/>
          <w:cols w:equalWidth="0" w:num="1">
            <w:col w:w="11160"/>
          </w:cols>
          <w:pgMar w:left="400" w:top="1401" w:right="339" w:bottom="1440" w:gutter="0" w:footer="0" w:header="0"/>
        </w:sectPr>
      </w:pPr>
    </w:p>
    <w:bookmarkStart w:id="169" w:name="page170"/>
    <w:bookmarkEnd w:id="169"/>
    <w:p>
      <w:pPr>
        <w:spacing w:after="0" w:line="232" w:lineRule="auto"/>
        <w:rPr>
          <w:sz w:val="20"/>
          <w:szCs w:val="20"/>
          <w:color w:val="auto"/>
        </w:rPr>
      </w:pPr>
      <w:r>
        <w:rPr>
          <w:rFonts w:ascii="Arial" w:cs="Arial" w:eastAsia="Arial" w:hAnsi="Arial"/>
          <w:sz w:val="22"/>
          <w:szCs w:val="22"/>
          <w:color w:val="auto"/>
        </w:rPr>
        <w:t>maintenance of the Register), and its duties are entirely mechanical and administrative in nature. Without limiting the generality of the foregoing:</w:t>
      </w:r>
    </w:p>
    <w:p>
      <w:pPr>
        <w:spacing w:after="0" w:line="159" w:lineRule="exact"/>
        <w:rPr>
          <w:sz w:val="20"/>
          <w:szCs w:val="20"/>
          <w:color w:val="auto"/>
        </w:rPr>
      </w:pPr>
    </w:p>
    <w:p>
      <w:pPr>
        <w:jc w:val="both"/>
        <w:ind w:left="580" w:firstLine="644"/>
        <w:spacing w:after="0" w:line="244" w:lineRule="auto"/>
        <w:tabs>
          <w:tab w:leader="none" w:pos="1657" w:val="left"/>
        </w:tabs>
        <w:numPr>
          <w:ilvl w:val="0"/>
          <w:numId w:val="183"/>
        </w:numPr>
        <w:rPr>
          <w:rFonts w:ascii="Arial" w:cs="Arial" w:eastAsia="Arial" w:hAnsi="Arial"/>
          <w:sz w:val="19"/>
          <w:szCs w:val="19"/>
          <w:color w:val="auto"/>
        </w:rPr>
      </w:pPr>
      <w:r>
        <w:rPr>
          <w:rFonts w:ascii="Arial" w:cs="Arial" w:eastAsia="Arial" w:hAnsi="Arial"/>
          <w:sz w:val="19"/>
          <w:szCs w:val="19"/>
          <w:color w:val="auto"/>
        </w:rPr>
        <w:t>the Administrative Agent does not assume and shall not be deemed to have assumed any obligation or duty or any other relationship as the agent, fiduciary or trustee of or for any Lender, Issuing Bank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agency or fiduciary duty by the Administrative Agent in connection with this Agreement and/or the transactions contemplated hereby;</w:t>
      </w:r>
    </w:p>
    <w:p>
      <w:pPr>
        <w:spacing w:after="0" w:line="154" w:lineRule="exact"/>
        <w:rPr>
          <w:rFonts w:ascii="Arial" w:cs="Arial" w:eastAsia="Arial" w:hAnsi="Arial"/>
          <w:sz w:val="19"/>
          <w:szCs w:val="19"/>
          <w:color w:val="auto"/>
        </w:rPr>
      </w:pPr>
    </w:p>
    <w:p>
      <w:pPr>
        <w:jc w:val="both"/>
        <w:ind w:left="580" w:firstLine="644"/>
        <w:spacing w:after="0" w:line="229" w:lineRule="auto"/>
        <w:tabs>
          <w:tab w:leader="none" w:pos="1780" w:val="left"/>
        </w:tabs>
        <w:numPr>
          <w:ilvl w:val="0"/>
          <w:numId w:val="183"/>
        </w:numPr>
        <w:rPr>
          <w:rFonts w:ascii="Arial" w:cs="Arial" w:eastAsia="Arial" w:hAnsi="Arial"/>
          <w:sz w:val="21"/>
          <w:szCs w:val="21"/>
          <w:color w:val="auto"/>
        </w:rPr>
      </w:pPr>
      <w:r>
        <w:rPr>
          <w:rFonts w:ascii="Arial" w:cs="Arial" w:eastAsia="Arial" w:hAnsi="Arial"/>
          <w:sz w:val="21"/>
          <w:szCs w:val="21"/>
          <w:color w:val="auto"/>
        </w:rPr>
        <w:t>where the Administrative Agent is required or deemed to act as a trustee in respect of any Collateral over which a security interest has been created pursuant to a Loan Document, or is required or deemed to hold any Collateral “on trust” pursuant to the foregoing, the obligations and liabilities of the Administrative Agent to the Secured Parties in its capacity as trustee shall be excluded to the fullest extent permitted by applicable law;</w:t>
      </w:r>
    </w:p>
    <w:p>
      <w:pPr>
        <w:spacing w:after="0" w:line="158" w:lineRule="exact"/>
        <w:rPr>
          <w:rFonts w:ascii="Arial" w:cs="Arial" w:eastAsia="Arial" w:hAnsi="Arial"/>
          <w:sz w:val="21"/>
          <w:szCs w:val="21"/>
          <w:color w:val="auto"/>
        </w:rPr>
      </w:pPr>
    </w:p>
    <w:p>
      <w:pPr>
        <w:jc w:val="both"/>
        <w:ind w:left="580" w:firstLine="644"/>
        <w:spacing w:after="0" w:line="222" w:lineRule="auto"/>
        <w:tabs>
          <w:tab w:leader="none" w:pos="1803" w:val="left"/>
        </w:tabs>
        <w:numPr>
          <w:ilvl w:val="0"/>
          <w:numId w:val="183"/>
        </w:numPr>
        <w:rPr>
          <w:rFonts w:ascii="Arial" w:cs="Arial" w:eastAsia="Arial" w:hAnsi="Arial"/>
          <w:sz w:val="21"/>
          <w:szCs w:val="21"/>
          <w:color w:val="auto"/>
        </w:rPr>
      </w:pPr>
      <w:r>
        <w:rPr>
          <w:rFonts w:ascii="Arial" w:cs="Arial" w:eastAsia="Arial" w:hAnsi="Arial"/>
          <w:sz w:val="21"/>
          <w:szCs w:val="21"/>
          <w:color w:val="auto"/>
        </w:rPr>
        <w:t>to the extent that English law is applicable to the duties of the Administrative Agent under any of the Loan Documents, Section 1 of the Trustee Act 2000 of the United Kingdom shall not apply to the duties of the Administrative Agent in relation to the trusts constituted by that Loan Document; where there are inconsistencies between the Trustee Act 1925 or the Trustee Act 2000 of the United Kingdom and the provisions of this Agreement or such Loan Document, the provisions of this Agreement shall, to the extent permitted by applicable law, prevail and, in the case of any inconsistency with the Trustee Act 2000 of the United Kingdom, the provisions of this Agreement shall constitute a restriction or exclusion for the purposes of that Act; and</w:t>
      </w:r>
    </w:p>
    <w:p>
      <w:pPr>
        <w:spacing w:after="0" w:line="164" w:lineRule="exact"/>
        <w:rPr>
          <w:rFonts w:ascii="Arial" w:cs="Arial" w:eastAsia="Arial" w:hAnsi="Arial"/>
          <w:sz w:val="21"/>
          <w:szCs w:val="21"/>
          <w:color w:val="auto"/>
        </w:rPr>
      </w:pPr>
    </w:p>
    <w:p>
      <w:pPr>
        <w:ind w:left="580" w:firstLine="644"/>
        <w:spacing w:after="0" w:line="298" w:lineRule="auto"/>
        <w:tabs>
          <w:tab w:leader="none" w:pos="1799" w:val="left"/>
        </w:tabs>
        <w:numPr>
          <w:ilvl w:val="0"/>
          <w:numId w:val="183"/>
        </w:numPr>
        <w:rPr>
          <w:rFonts w:ascii="Arial" w:cs="Arial" w:eastAsia="Arial" w:hAnsi="Arial"/>
          <w:sz w:val="19"/>
          <w:szCs w:val="19"/>
          <w:color w:val="auto"/>
        </w:rPr>
      </w:pPr>
      <w:r>
        <w:rPr>
          <w:rFonts w:ascii="Arial" w:cs="Arial" w:eastAsia="Arial" w:hAnsi="Arial"/>
          <w:sz w:val="19"/>
          <w:szCs w:val="19"/>
          <w:color w:val="auto"/>
        </w:rPr>
        <w:t>nothing in this Agreement or any Loan Document shall require the Administrative Agent to account to any Lender for any sum or the profit element of any sum received by the Administrative Agent for its own account;</w:t>
      </w:r>
    </w:p>
    <w:p>
      <w:pPr>
        <w:spacing w:after="0" w:line="105" w:lineRule="exact"/>
        <w:rPr>
          <w:rFonts w:ascii="Arial" w:cs="Arial" w:eastAsia="Arial" w:hAnsi="Arial"/>
          <w:sz w:val="19"/>
          <w:szCs w:val="19"/>
          <w:color w:val="auto"/>
        </w:rPr>
      </w:pPr>
    </w:p>
    <w:p>
      <w:pPr>
        <w:jc w:val="both"/>
        <w:ind w:firstLine="1305"/>
        <w:spacing w:after="0" w:line="246" w:lineRule="auto"/>
        <w:tabs>
          <w:tab w:leader="none" w:pos="1847" w:val="left"/>
        </w:tabs>
        <w:numPr>
          <w:ilvl w:val="1"/>
          <w:numId w:val="183"/>
        </w:numPr>
        <w:rPr>
          <w:rFonts w:ascii="Arial" w:cs="Arial" w:eastAsia="Arial" w:hAnsi="Arial"/>
          <w:sz w:val="19"/>
          <w:szCs w:val="19"/>
          <w:color w:val="auto"/>
        </w:rPr>
      </w:pPr>
      <w:r>
        <w:rPr>
          <w:rFonts w:ascii="Arial" w:cs="Arial" w:eastAsia="Arial" w:hAnsi="Arial"/>
          <w:sz w:val="19"/>
          <w:szCs w:val="19"/>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52" w:lineRule="exact"/>
        <w:rPr>
          <w:rFonts w:ascii="Arial" w:cs="Arial" w:eastAsia="Arial" w:hAnsi="Arial"/>
          <w:sz w:val="19"/>
          <w:szCs w:val="19"/>
          <w:color w:val="auto"/>
        </w:rPr>
      </w:pPr>
    </w:p>
    <w:p>
      <w:pPr>
        <w:ind w:firstLine="1305"/>
        <w:spacing w:after="0" w:line="232" w:lineRule="auto"/>
        <w:tabs>
          <w:tab w:leader="none" w:pos="1772" w:val="left"/>
        </w:tabs>
        <w:numPr>
          <w:ilvl w:val="1"/>
          <w:numId w:val="183"/>
        </w:numPr>
        <w:rPr>
          <w:rFonts w:ascii="Arial" w:cs="Arial" w:eastAsia="Arial" w:hAnsi="Arial"/>
          <w:sz w:val="22"/>
          <w:szCs w:val="22"/>
          <w:color w:val="auto"/>
        </w:rPr>
      </w:pPr>
      <w:r>
        <w:rPr>
          <w:rFonts w:ascii="Arial" w:cs="Arial" w:eastAsia="Arial" w:hAnsi="Arial"/>
          <w:sz w:val="22"/>
          <w:szCs w:val="22"/>
          <w:color w:val="auto"/>
        </w:rPr>
        <w:t>None of any Arranger or the Bookrunner shall have obligations or duties whatsoever in such capacity under this Agreement or any other Loan Document and shall incur</w:t>
      </w:r>
    </w:p>
    <w:p>
      <w:pPr>
        <w:sectPr>
          <w:pgSz w:w="11900" w:h="16838" w:orient="portrait"/>
          <w:cols w:equalWidth="0" w:num="1">
            <w:col w:w="11160"/>
          </w:cols>
          <w:pgMar w:left="400" w:top="1401" w:right="339" w:bottom="1440" w:gutter="0" w:footer="0" w:header="0"/>
        </w:sectPr>
      </w:pPr>
    </w:p>
    <w:bookmarkStart w:id="170" w:name="page171"/>
    <w:bookmarkEnd w:id="170"/>
    <w:p>
      <w:pPr>
        <w:ind w:left="80"/>
        <w:spacing w:after="0" w:line="232" w:lineRule="auto"/>
        <w:rPr>
          <w:sz w:val="20"/>
          <w:szCs w:val="20"/>
          <w:color w:val="auto"/>
        </w:rPr>
      </w:pPr>
      <w:r>
        <w:rPr>
          <w:rFonts w:ascii="Arial" w:cs="Arial" w:eastAsia="Arial" w:hAnsi="Arial"/>
          <w:sz w:val="22"/>
          <w:szCs w:val="22"/>
          <w:color w:val="auto"/>
        </w:rPr>
        <w:t>no liability hereunder or thereunder in such capacity, but all such persons shall have the benefit of the indemnities provided for hereunder.</w:t>
      </w:r>
    </w:p>
    <w:p>
      <w:pPr>
        <w:spacing w:after="0" w:line="159" w:lineRule="exact"/>
        <w:rPr>
          <w:sz w:val="20"/>
          <w:szCs w:val="20"/>
          <w:color w:val="auto"/>
        </w:rPr>
      </w:pPr>
    </w:p>
    <w:p>
      <w:pPr>
        <w:jc w:val="both"/>
        <w:ind w:left="80" w:firstLine="1305"/>
        <w:spacing w:after="0" w:line="252" w:lineRule="auto"/>
        <w:tabs>
          <w:tab w:leader="none" w:pos="1815" w:val="left"/>
        </w:tabs>
        <w:numPr>
          <w:ilvl w:val="1"/>
          <w:numId w:val="184"/>
        </w:numPr>
        <w:rPr>
          <w:rFonts w:ascii="Arial" w:cs="Arial" w:eastAsia="Arial" w:hAnsi="Arial"/>
          <w:sz w:val="19"/>
          <w:szCs w:val="19"/>
          <w:color w:val="auto"/>
        </w:rPr>
      </w:pPr>
      <w:r>
        <w:rPr>
          <w:rFonts w:ascii="Arial" w:cs="Arial" w:eastAsia="Arial" w:hAnsi="Arial"/>
          <w:sz w:val="19"/>
          <w:szCs w:val="19"/>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shall then be due and payable as herein expressed or by declaration or otherwise and irrespective of whether the Administrative Agent shall have made any demand on any Borrower) shall be entitled and empowered (but not obligated) by intervention in such proceeding or otherwise:</w:t>
      </w:r>
    </w:p>
    <w:p>
      <w:pPr>
        <w:spacing w:after="0" w:line="148" w:lineRule="exact"/>
        <w:rPr>
          <w:rFonts w:ascii="Arial" w:cs="Arial" w:eastAsia="Arial" w:hAnsi="Arial"/>
          <w:sz w:val="19"/>
          <w:szCs w:val="19"/>
          <w:color w:val="auto"/>
        </w:rPr>
      </w:pPr>
    </w:p>
    <w:p>
      <w:pPr>
        <w:jc w:val="both"/>
        <w:ind w:left="660" w:firstLine="644"/>
        <w:spacing w:after="0" w:line="218" w:lineRule="auto"/>
        <w:tabs>
          <w:tab w:leader="none" w:pos="1774"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to file and prove a claim for the whole amount of the principal and interest owing and un-paid in respect of the Loans, Letter of Credit disbursements and all other Obligations that are owing and unpaid and to file such other documents as may be necessary or advisable in order to have the claims of the Lenders, the Issuing Banks and the Administrative Agent allowed in such judicial proceeding; and</w:t>
      </w:r>
    </w:p>
    <w:p>
      <w:pPr>
        <w:spacing w:after="0" w:line="160" w:lineRule="exact"/>
        <w:rPr>
          <w:rFonts w:ascii="Arial" w:cs="Arial" w:eastAsia="Arial" w:hAnsi="Arial"/>
          <w:sz w:val="22"/>
          <w:szCs w:val="22"/>
          <w:color w:val="auto"/>
        </w:rPr>
      </w:pPr>
    </w:p>
    <w:p>
      <w:pPr>
        <w:ind w:left="660" w:firstLine="644"/>
        <w:spacing w:after="0" w:line="232" w:lineRule="auto"/>
        <w:tabs>
          <w:tab w:leader="none" w:pos="1938"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to collect and receive any monies or other property payable or deliverable on any such claims and to distribute the same;</w:t>
      </w:r>
    </w:p>
    <w:p>
      <w:pPr>
        <w:spacing w:after="0" w:line="159"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Section 10.3).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spacing w:after="0" w:line="152" w:lineRule="exact"/>
        <w:rPr>
          <w:sz w:val="20"/>
          <w:szCs w:val="20"/>
          <w:color w:val="auto"/>
        </w:rPr>
      </w:pPr>
    </w:p>
    <w:p>
      <w:pPr>
        <w:jc w:val="both"/>
        <w:ind w:left="80" w:firstLine="1305"/>
        <w:spacing w:after="0" w:line="214" w:lineRule="auto"/>
        <w:tabs>
          <w:tab w:leader="none" w:pos="1925"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provisions of this Article are solely for the benefit of the Administrative Agent, the Lenders and the Issuing Banks, and, except solely to the extent of the Borrowers’ rights to consent pursuant to and subject to the conditions set forth in this Article, no Borrower nor any Subsidiary, nor any of their respective Affiliates, shall have any rights as a third party beneficiary under any such provisions. Each Secured Party, whether or not a party hereto, will be deemed, by its acceptance of the benefits of the Collateral and of the Guaranteed Obligations provided under the Loan Documents, to have agreed to the provisions of this Article.</w:t>
      </w:r>
    </w:p>
    <w:p>
      <w:pPr>
        <w:spacing w:after="0" w:line="159"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22"/>
          <w:szCs w:val="22"/>
          <w:color w:val="auto"/>
        </w:rPr>
        <w:t>Section 9.2</w:t>
      </w:r>
      <w:r>
        <w:rPr>
          <w:sz w:val="20"/>
          <w:szCs w:val="20"/>
          <w:color w:val="auto"/>
        </w:rPr>
        <w:tab/>
      </w:r>
      <w:r>
        <w:rPr>
          <w:rFonts w:ascii="Arial" w:cs="Arial" w:eastAsia="Arial" w:hAnsi="Arial"/>
          <w:sz w:val="19"/>
          <w:szCs w:val="19"/>
          <w:u w:val="single" w:color="auto"/>
          <w:color w:val="auto"/>
        </w:rPr>
        <w:t>Administrative Agent’s Reliance, Limitation of Liability, Etc</w:t>
      </w:r>
      <w:r>
        <w:rPr>
          <w:rFonts w:ascii="Arial" w:cs="Arial" w:eastAsia="Arial" w:hAnsi="Arial"/>
          <w:sz w:val="19"/>
          <w:szCs w:val="19"/>
          <w:color w:val="auto"/>
        </w:rPr>
        <w:t>.</w:t>
      </w:r>
    </w:p>
    <w:p>
      <w:pPr>
        <w:spacing w:after="0" w:line="179" w:lineRule="exact"/>
        <w:rPr>
          <w:sz w:val="20"/>
          <w:szCs w:val="20"/>
          <w:color w:val="auto"/>
        </w:rPr>
      </w:pPr>
    </w:p>
    <w:p>
      <w:pPr>
        <w:jc w:val="both"/>
        <w:ind w:left="80" w:firstLine="1305"/>
        <w:spacing w:after="0" w:line="221" w:lineRule="auto"/>
        <w:tabs>
          <w:tab w:leader="none" w:pos="1913" w:val="left"/>
        </w:tabs>
        <w:numPr>
          <w:ilvl w:val="0"/>
          <w:numId w:val="187"/>
        </w:numPr>
        <w:rPr>
          <w:rFonts w:ascii="Arial" w:cs="Arial" w:eastAsia="Arial" w:hAnsi="Arial"/>
          <w:sz w:val="21"/>
          <w:szCs w:val="21"/>
          <w:color w:val="auto"/>
        </w:rPr>
      </w:pPr>
      <w:r>
        <w:rPr>
          <w:rFonts w:ascii="Arial" w:cs="Arial" w:eastAsia="Arial" w:hAnsi="Arial"/>
          <w:sz w:val="21"/>
          <w:szCs w:val="21"/>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w:t>
      </w:r>
    </w:p>
    <w:p>
      <w:pPr>
        <w:sectPr>
          <w:pgSz w:w="11900" w:h="16838" w:orient="portrait"/>
          <w:cols w:equalWidth="0" w:num="1">
            <w:col w:w="11240"/>
          </w:cols>
          <w:pgMar w:left="320" w:top="1401" w:right="339" w:bottom="1440" w:gutter="0" w:footer="0" w:header="0"/>
        </w:sectPr>
      </w:pPr>
    </w:p>
    <w:bookmarkStart w:id="171" w:name="page172"/>
    <w:bookmarkEnd w:id="171"/>
    <w:p>
      <w:pPr>
        <w:jc w:val="both"/>
        <w:spacing w:after="0" w:line="214" w:lineRule="auto"/>
        <w:rPr>
          <w:sz w:val="20"/>
          <w:szCs w:val="20"/>
          <w:color w:val="auto"/>
        </w:rPr>
      </w:pPr>
      <w:r>
        <w:rPr>
          <w:rFonts w:ascii="Arial" w:cs="Arial" w:eastAsia="Arial" w:hAnsi="Arial"/>
          <w:sz w:val="22"/>
          <w:szCs w:val="22"/>
          <w:color w:val="auto"/>
        </w:rPr>
        <w:t>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w:t>
      </w:r>
    </w:p>
    <w:p>
      <w:pPr>
        <w:spacing w:after="0" w:line="159" w:lineRule="exact"/>
        <w:rPr>
          <w:sz w:val="20"/>
          <w:szCs w:val="20"/>
          <w:color w:val="auto"/>
        </w:rPr>
      </w:pPr>
    </w:p>
    <w:p>
      <w:pPr>
        <w:jc w:val="both"/>
        <w:ind w:firstLine="1305"/>
        <w:spacing w:after="0"/>
        <w:tabs>
          <w:tab w:leader="none" w:pos="1808" w:val="left"/>
        </w:tabs>
        <w:numPr>
          <w:ilvl w:val="0"/>
          <w:numId w:val="188"/>
        </w:numPr>
        <w:rPr>
          <w:rFonts w:ascii="Arial" w:cs="Arial" w:eastAsia="Arial" w:hAnsi="Arial"/>
          <w:sz w:val="19"/>
          <w:szCs w:val="19"/>
          <w:color w:val="auto"/>
        </w:rPr>
      </w:pPr>
      <w:r>
        <w:rPr>
          <w:rFonts w:ascii="Arial" w:cs="Arial" w:eastAsia="Arial" w:hAnsi="Arial"/>
          <w:sz w:val="19"/>
          <w:szCs w:val="19"/>
          <w:color w:val="auto"/>
        </w:rPr>
        <w:t xml:space="preserve">The Administrative Agent shall be deemed not to have knowledge of any (i) notice of any of the events or circumstances set forth or described in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unless and until written notice thereof stating that it is a “notice under Section 5.2” in respect of this Agreement and identifying the specific clause under said Section is given to the Administrative Agent by the Borrowers, or (ii) notice of any Default or Event of Default unless and until written notice thereof (stating that it is a “notice of Default” or a “notice of an Event of Default”) is given to the Administrative Agent by the Borrowers, a Lender or an Issuing Bank.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 Notwithstanding anything herein to the contrary, the Administrative Agent shall not be liable for, or be responsible for any liabilities, costs or expenses suffered by any Borrower, any Subsidiary, any Lender or any Issuing Bank as a result of, any determination of the Revolving Exposure, any of the component amounts thereof or any portion thereof attributable to each Lender or Issuing Bank, or any Dollar Equivalent.</w:t>
      </w:r>
    </w:p>
    <w:p>
      <w:pPr>
        <w:spacing w:after="0" w:line="389" w:lineRule="exact"/>
        <w:rPr>
          <w:rFonts w:ascii="Arial" w:cs="Arial" w:eastAsia="Arial" w:hAnsi="Arial"/>
          <w:sz w:val="19"/>
          <w:szCs w:val="19"/>
          <w:color w:val="auto"/>
        </w:rPr>
      </w:pPr>
    </w:p>
    <w:p>
      <w:pPr>
        <w:jc w:val="both"/>
        <w:ind w:firstLine="1305"/>
        <w:spacing w:after="0" w:line="241" w:lineRule="auto"/>
        <w:tabs>
          <w:tab w:leader="none" w:pos="1789" w:val="left"/>
        </w:tabs>
        <w:numPr>
          <w:ilvl w:val="0"/>
          <w:numId w:val="188"/>
        </w:numPr>
        <w:rPr>
          <w:rFonts w:ascii="Arial" w:cs="Arial" w:eastAsia="Arial" w:hAnsi="Arial"/>
          <w:sz w:val="19"/>
          <w:szCs w:val="19"/>
          <w:color w:val="auto"/>
        </w:rPr>
      </w:pPr>
      <w:r>
        <w:rPr>
          <w:rFonts w:ascii="Arial" w:cs="Arial" w:eastAsia="Arial" w:hAnsi="Arial"/>
          <w:sz w:val="19"/>
          <w:szCs w:val="19"/>
          <w:color w:val="auto"/>
        </w:rPr>
        <w:t xml:space="preserve">Without limiting the foregoing, the Administrative Agent (i) may treat the payee of any promissory note as its holder until such promissory note has been assigned in accordance with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(ii) may rely on the Register to the extent set forth in </w:t>
      </w:r>
      <w:r>
        <w:rPr>
          <w:rFonts w:ascii="Arial" w:cs="Arial" w:eastAsia="Arial" w:hAnsi="Arial"/>
          <w:sz w:val="19"/>
          <w:szCs w:val="19"/>
          <w:u w:val="single" w:color="auto"/>
          <w:color w:val="auto"/>
        </w:rPr>
        <w:t>Section 10.4</w:t>
      </w:r>
      <w:r>
        <w:rPr>
          <w:rFonts w:ascii="Arial" w:cs="Arial" w:eastAsia="Arial" w:hAnsi="Arial"/>
          <w:sz w:val="19"/>
          <w:szCs w:val="19"/>
          <w:color w:val="auto"/>
        </w:rPr>
        <w:t>, (iii) may consult with legal counsel (including counsel to the Borrowers),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ectPr>
          <w:pgSz w:w="11900" w:h="16838" w:orient="portrait"/>
          <w:cols w:equalWidth="0" w:num="1">
            <w:col w:w="11160"/>
          </w:cols>
          <w:pgMar w:left="400" w:top="1401" w:right="339" w:bottom="1440" w:gutter="0" w:footer="0" w:header="0"/>
        </w:sectPr>
      </w:pPr>
    </w:p>
    <w:bookmarkStart w:id="172" w:name="page173"/>
    <w:bookmarkEnd w:id="172"/>
    <w:p>
      <w:pPr>
        <w:jc w:val="both"/>
        <w:ind w:firstLine="1296"/>
        <w:spacing w:after="0" w:line="244" w:lineRule="auto"/>
        <w:rPr>
          <w:sz w:val="20"/>
          <w:szCs w:val="20"/>
          <w:color w:val="auto"/>
        </w:rPr>
      </w:pPr>
      <w:r>
        <w:rPr>
          <w:rFonts w:ascii="Arial" w:cs="Arial" w:eastAsia="Arial" w:hAnsi="Arial"/>
          <w:sz w:val="19"/>
          <w:szCs w:val="19"/>
          <w:color w:val="auto"/>
        </w:rPr>
        <w:t xml:space="preserve">Section 9.3 </w:t>
      </w:r>
      <w:r>
        <w:rPr>
          <w:rFonts w:ascii="Arial" w:cs="Arial" w:eastAsia="Arial" w:hAnsi="Arial"/>
          <w:sz w:val="19"/>
          <w:szCs w:val="19"/>
          <w:u w:val="single" w:color="auto"/>
          <w:color w:val="auto"/>
        </w:rPr>
        <w:t>The Administrative Agent Individually</w:t>
      </w:r>
      <w:r>
        <w:rPr>
          <w:rFonts w:ascii="Arial" w:cs="Arial" w:eastAsia="Arial" w:hAnsi="Arial"/>
          <w:sz w:val="19"/>
          <w:szCs w:val="19"/>
          <w:color w:val="auto"/>
        </w:rPr>
        <w:t>. With respect to its Commitment, Loans and Letters of Credit, the Person serving as the Administrative Agent and the Collateral Agent shall have and may exercise the same rights and powers hereunder and is subject to the same obligations and liabilities as and to the extent set forth herein for any other Lender or Issuing Bank, as the case may be. The terms “Issuing Banks”,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any Borrower, any Subsidiary or any Affiliate of any of the foregoing as if such Person was not acting as the Administrative Agent and without any duty to account therefor to the Lenders or the Issuing Banks.</w:t>
      </w:r>
    </w:p>
    <w:p>
      <w:pPr>
        <w:spacing w:after="0" w:line="161"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22"/>
          <w:szCs w:val="22"/>
          <w:color w:val="auto"/>
        </w:rPr>
        <w:t>Section 9.4</w:t>
      </w:r>
      <w:r>
        <w:rPr>
          <w:sz w:val="20"/>
          <w:szCs w:val="20"/>
          <w:color w:val="auto"/>
        </w:rPr>
        <w:tab/>
      </w:r>
      <w:r>
        <w:rPr>
          <w:rFonts w:ascii="Arial" w:cs="Arial" w:eastAsia="Arial" w:hAnsi="Arial"/>
          <w:sz w:val="19"/>
          <w:szCs w:val="19"/>
          <w:u w:val="single" w:color="auto"/>
          <w:color w:val="auto"/>
        </w:rPr>
        <w:t>Successor Administrative Agent</w:t>
      </w:r>
      <w:r>
        <w:rPr>
          <w:rFonts w:ascii="Arial" w:cs="Arial" w:eastAsia="Arial" w:hAnsi="Arial"/>
          <w:sz w:val="19"/>
          <w:szCs w:val="19"/>
          <w:color w:val="auto"/>
        </w:rPr>
        <w:t>.</w:t>
      </w:r>
    </w:p>
    <w:p>
      <w:pPr>
        <w:spacing w:after="0" w:line="179" w:lineRule="exact"/>
        <w:rPr>
          <w:sz w:val="20"/>
          <w:szCs w:val="20"/>
          <w:color w:val="auto"/>
        </w:rPr>
      </w:pPr>
    </w:p>
    <w:p>
      <w:pPr>
        <w:jc w:val="both"/>
        <w:ind w:left="80" w:firstLine="1305"/>
        <w:spacing w:after="0"/>
        <w:tabs>
          <w:tab w:leader="none" w:pos="1859" w:val="left"/>
        </w:tabs>
        <w:numPr>
          <w:ilvl w:val="0"/>
          <w:numId w:val="189"/>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the right to resign at any time by giving prior written notice thereof to the Lenders and the Borrowers. The Administrative Agent shall have the right to appoint a financial institution to act as the Administrative Agent and/or the Collateral Agent hereunder, subject to the reasonable satisfaction of the Borrowers and the Required Lenders, and the Administrative Agent’s resignation shall become effective on the earliest of (i) 30 days after delivery of the notice of resignation, (ii) the acceptance of such successor Administrative Agent by the Borrowers and the Required Lenders or (iii) such other date, if any, agreed to by the Borrowers and the Required Lenders. Upon any such notice of resignation, if a successor Administrative Agent has not already been appointed by the retiring Administrative Agent, the Required Lenders shall have the right, in consultation with the Borrowers, to appoint a successor Administrative Agent. If neither the Required Lenders nor the Administrative Agent have appointed a successor Administrative Agent, the Required Lenders shall be deemed to have succeeded to and become vested with all the rights, powers, privileges and duties of the retiring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until a successor Administrative Agent is so appointed by the Required Lenders or the Administrative Agent, any collateral security held by the Administrative Agent in its role as the Collateral Agent on behalf of the Lenders and the Issuing Banks under any of the Loan Documents shall continue to be held by the retiring Collateral Agent as nominee until such time as a successor Collateral Agent is appointed. Any successor Administrative Agent shall be a bank with an office in the United States or an Affiliate of any such bank with an office in the United States. Upon the acceptance of any appointment as Administrative Agent hereunder by a successor Administrative Agent, that successor Administrative Agent shall thereupon succeed to and become vested with all the rights, powers, privileges and duties of the retiring Administrative Agent and the retiring Administrative Agent shall promptly (x) transfer to such successor Administrative Agent all sums, securities and other items of Collateral held under the Collateral Documents, together with all records and other documents necessary or appropriate in connection with the performance of the duties of the successor Administrative Agent under the Loan Documents, and (y) execute and deliver to such successor Administrative Agent such amendments to financing statements, and take such other actions, as may be necessary or appropriate in connection with the assignment to such successor Administrative Agent of the security interests created under the Collateral Documents, whereupon such retiring Administrative Agent shall be discharged from its duties and obligations hereunder. Except as provided above, any resignation of JPMCB or its successor as the Administrative Agent pursuant to this Article shall also constitute the resignation of JPMCB or its successor as the Collateral Agent. After any retiring Administrative Agent’s resignation hereunder as Administrative Agent and Collateral Agent, the provisions of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shall inure to its benefit as to any actions taken or omitted to be taken by it while it was Administrative Agent and Collateral Agent hereunder and while it continues to hold any collateral security as nominee until a successor Collateral Agent</w:t>
      </w:r>
    </w:p>
    <w:p>
      <w:pPr>
        <w:sectPr>
          <w:pgSz w:w="11900" w:h="16838" w:orient="portrait"/>
          <w:cols w:equalWidth="0" w:num="1">
            <w:col w:w="11240"/>
          </w:cols>
          <w:pgMar w:left="320" w:top="1401" w:right="339" w:bottom="1440" w:gutter="0" w:footer="0" w:header="0"/>
        </w:sectPr>
      </w:pPr>
    </w:p>
    <w:bookmarkStart w:id="173" w:name="page174"/>
    <w:bookmarkEnd w:id="173"/>
    <w:p>
      <w:pPr>
        <w:spacing w:after="0" w:line="232" w:lineRule="auto"/>
        <w:rPr>
          <w:sz w:val="20"/>
          <w:szCs w:val="20"/>
          <w:color w:val="auto"/>
        </w:rPr>
      </w:pPr>
      <w:r>
        <w:rPr>
          <w:rFonts w:ascii="Arial" w:cs="Arial" w:eastAsia="Arial" w:hAnsi="Arial"/>
          <w:sz w:val="22"/>
          <w:szCs w:val="22"/>
          <w:color w:val="auto"/>
        </w:rPr>
        <w:t xml:space="preserve">is appointed. Any successor Administrative Agent appointed pursuant to this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shall, upon its acceptance of such appointment, become the successor Collateral Agent for all purposes hereunder.</w:t>
      </w:r>
    </w:p>
    <w:p>
      <w:pPr>
        <w:spacing w:after="0" w:line="159" w:lineRule="exact"/>
        <w:rPr>
          <w:sz w:val="20"/>
          <w:szCs w:val="20"/>
          <w:color w:val="auto"/>
        </w:rPr>
      </w:pPr>
    </w:p>
    <w:p>
      <w:pPr>
        <w:jc w:val="both"/>
        <w:ind w:firstLine="1305"/>
        <w:spacing w:after="0"/>
        <w:tabs>
          <w:tab w:leader="none" w:pos="1868" w:val="left"/>
        </w:tabs>
        <w:numPr>
          <w:ilvl w:val="0"/>
          <w:numId w:val="190"/>
        </w:numPr>
        <w:rPr>
          <w:rFonts w:ascii="Arial" w:cs="Arial" w:eastAsia="Arial" w:hAnsi="Arial"/>
          <w:sz w:val="19"/>
          <w:szCs w:val="19"/>
          <w:color w:val="auto"/>
        </w:rPr>
      </w:pPr>
      <w:r>
        <w:rPr>
          <w:rFonts w:ascii="Arial" w:cs="Arial" w:eastAsia="Arial" w:hAnsi="Arial"/>
          <w:sz w:val="19"/>
          <w:szCs w:val="19"/>
          <w:color w:val="auto"/>
        </w:rPr>
        <w:t>In addition to the foregoing, the Collateral Agent may resign at any time by giving prior written notice thereof to the Lenders and the Grantors. The Administrative Agent shall have the right to appoint a financial institution as the Collateral Agent hereunder, subject to the reasonable satisfaction of the Borrowers and the Required Lenders and the Collateral Agent’s resignation shall become effective on the earliest of (i) 30 days after delivery of the notice of resignation, (ii) the acceptance of such successor Collateral Agent by the Borrowers and the Required Lenders or (iii) such other date, if any, agreed to by the Required Lenders and the Borrowers. Upon any such notice of resignation, the Required Lenders shall have the right, upon five Business Days’ notice to the Administrative Agent and in consultation with the Borrowers, to appoint a successor Collateral Agent. Until a successor Collateral Agent is so appointed by the Required Lenders or the Administrative Agent, any collateral security held by the Collateral Agent on behalf of the Lenders and/or the Issuing Banks under any of the Loan Documents shall continue to be held by the retiring Collateral Agent as nominee until such time as a successor Collateral Agent is appointed. Upon the acceptance of any appointment as the Collateral Agent hereunder by a successor Collateral Agent, that successor Collateral Agent shall thereupon succeed to and become vested with all the rights, powers, privileges and duties of the retiring Collateral Agent under this Agreement and the Collateral Documents, and the retiring Collateral Agent under this Agreement shall promptly (x) transfer to such successor Collateral Agent all sums, securities and other items of Collateral held hereunder or under the Collateral Documents, together with all records and other documents necessary or appropriate in connection with the performance of the duties of the successor Collateral Agent under this Agreement and the Collateral Documents, and (y) execute and deliver to such successor Collateral Agent or otherwise authorize the filing of such amendments to financing statements, and take such other actions, as may be necessary or appropriate in connection with the assignment to such successor Collateral Agent of the security interests created under the Collateral Documents, whereupon such retiring Collateral Agent shall be discharged from its duties and obligations under this Agreement and the Collateral Documents. After any retiring Collateral Agent’s resignation hereunder as the Collateral Agent, the provisions of this Agreement and the Collateral Documents shall inure to its benefit as to any actions taken or omitted to be taken by it under this Agreement or the Collateral Documents while it was the Collateral Agent hereunder and while it continues to hold any collateral security as nominee until a successor Collateral Agent is appointed.</w:t>
      </w:r>
    </w:p>
    <w:p>
      <w:pPr>
        <w:spacing w:after="0" w:line="374" w:lineRule="exact"/>
        <w:rPr>
          <w:rFonts w:ascii="Arial" w:cs="Arial" w:eastAsia="Arial" w:hAnsi="Arial"/>
          <w:sz w:val="19"/>
          <w:szCs w:val="19"/>
          <w:color w:val="auto"/>
        </w:rPr>
      </w:pPr>
    </w:p>
    <w:p>
      <w:pPr>
        <w:jc w:val="both"/>
        <w:ind w:firstLine="1305"/>
        <w:spacing w:after="0" w:line="212" w:lineRule="auto"/>
        <w:tabs>
          <w:tab w:leader="none" w:pos="1758" w:val="left"/>
        </w:tabs>
        <w:numPr>
          <w:ilvl w:val="0"/>
          <w:numId w:val="190"/>
        </w:numPr>
        <w:rPr>
          <w:rFonts w:ascii="Arial" w:cs="Arial" w:eastAsia="Arial" w:hAnsi="Arial"/>
          <w:sz w:val="22"/>
          <w:szCs w:val="22"/>
          <w:color w:val="auto"/>
        </w:rPr>
      </w:pPr>
      <w:r>
        <w:rPr>
          <w:rFonts w:ascii="Arial" w:cs="Arial" w:eastAsia="Arial" w:hAnsi="Arial"/>
          <w:sz w:val="22"/>
          <w:szCs w:val="22"/>
          <w:color w:val="auto"/>
        </w:rPr>
        <w:t xml:space="preserve">Any resignation of JPMCB or its successor as the Administrative Agent pursuant to this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shall also constitute the resignation of JPMCB or its successor as Issuing Bank, and any successor Administrative Agent appointed pursuant to this Section shall, upon its acceptance of such appointment, become successor Issuing Bank for all purposes hereunder. After such resignation of JPMCB as an Issuing Bank hereunder, JPMCB shall remain a party hereto to the extent that Letters of Credit issued by it remain outstanding and shall continue to have all the rights and obligations of an Issuing Bank under this Agreement with respect to Letters of Credit issued by it prior to such resignation, but shall not be required to issue additional Letters of Credit.</w:t>
      </w:r>
    </w:p>
    <w:p>
      <w:pPr>
        <w:spacing w:after="0" w:line="164" w:lineRule="exact"/>
        <w:rPr>
          <w:sz w:val="20"/>
          <w:szCs w:val="20"/>
          <w:color w:val="auto"/>
        </w:rPr>
      </w:pPr>
    </w:p>
    <w:p>
      <w:pPr>
        <w:ind w:left="1220"/>
        <w:spacing w:after="0"/>
        <w:tabs>
          <w:tab w:leader="none" w:pos="2440" w:val="left"/>
        </w:tabs>
        <w:rPr>
          <w:sz w:val="20"/>
          <w:szCs w:val="20"/>
          <w:color w:val="auto"/>
        </w:rPr>
      </w:pPr>
      <w:r>
        <w:rPr>
          <w:rFonts w:ascii="Arial" w:cs="Arial" w:eastAsia="Arial" w:hAnsi="Arial"/>
          <w:sz w:val="22"/>
          <w:szCs w:val="22"/>
          <w:color w:val="auto"/>
        </w:rPr>
        <w:t>Section 9.5</w:t>
      </w:r>
      <w:r>
        <w:rPr>
          <w:sz w:val="20"/>
          <w:szCs w:val="20"/>
          <w:color w:val="auto"/>
        </w:rPr>
        <w:tab/>
      </w:r>
      <w:r>
        <w:rPr>
          <w:rFonts w:ascii="Arial" w:cs="Arial" w:eastAsia="Arial" w:hAnsi="Arial"/>
          <w:sz w:val="19"/>
          <w:szCs w:val="19"/>
          <w:u w:val="single" w:color="auto"/>
          <w:color w:val="auto"/>
        </w:rPr>
        <w:t>Acknowledgments of Lenders and Issuing Banks</w:t>
      </w:r>
      <w:r>
        <w:rPr>
          <w:rFonts w:ascii="Arial" w:cs="Arial" w:eastAsia="Arial" w:hAnsi="Arial"/>
          <w:sz w:val="19"/>
          <w:szCs w:val="19"/>
          <w:color w:val="auto"/>
        </w:rPr>
        <w:t>.</w:t>
      </w:r>
    </w:p>
    <w:p>
      <w:pPr>
        <w:spacing w:after="0" w:line="179" w:lineRule="exact"/>
        <w:rPr>
          <w:sz w:val="20"/>
          <w:szCs w:val="20"/>
          <w:color w:val="auto"/>
        </w:rPr>
      </w:pPr>
    </w:p>
    <w:p>
      <w:pPr>
        <w:jc w:val="both"/>
        <w:ind w:firstLine="1305"/>
        <w:spacing w:after="0" w:line="229" w:lineRule="auto"/>
        <w:tabs>
          <w:tab w:leader="none" w:pos="1770" w:val="left"/>
        </w:tabs>
        <w:numPr>
          <w:ilvl w:val="0"/>
          <w:numId w:val="191"/>
        </w:numPr>
        <w:rPr>
          <w:rFonts w:ascii="Arial" w:cs="Arial" w:eastAsia="Arial" w:hAnsi="Arial"/>
          <w:sz w:val="21"/>
          <w:szCs w:val="21"/>
          <w:color w:val="auto"/>
        </w:rPr>
      </w:pPr>
      <w:r>
        <w:rPr>
          <w:rFonts w:ascii="Arial" w:cs="Arial" w:eastAsia="Arial" w:hAnsi="Arial"/>
          <w:sz w:val="21"/>
          <w:szCs w:val="21"/>
          <w:color w:val="auto"/>
        </w:rPr>
        <w:t>Each Lender and each Issuing Bank represents and warrants that (i) the Loan Documents set forth the terms of a commercial lending facility, (ii) it is engaged in making, acquiring or holding commercial loans and in providing other facilities set forth herein as may be applicable to such Lender or Issuing Bank, in each case in the ordinary course of business, and not for the purpose of purchasing, acquiring or holding any other type of financial</w:t>
      </w:r>
    </w:p>
    <w:p>
      <w:pPr>
        <w:sectPr>
          <w:pgSz w:w="11900" w:h="16838" w:orient="portrait"/>
          <w:cols w:equalWidth="0" w:num="1">
            <w:col w:w="11160"/>
          </w:cols>
          <w:pgMar w:left="400" w:top="1401" w:right="339" w:bottom="1440" w:gutter="0" w:footer="0" w:header="0"/>
        </w:sectPr>
      </w:pPr>
    </w:p>
    <w:bookmarkStart w:id="174" w:name="page175"/>
    <w:bookmarkEnd w:id="174"/>
    <w:p>
      <w:pPr>
        <w:jc w:val="both"/>
        <w:spacing w:after="0" w:line="241" w:lineRule="auto"/>
        <w:rPr>
          <w:sz w:val="20"/>
          <w:szCs w:val="20"/>
          <w:color w:val="auto"/>
        </w:rPr>
      </w:pPr>
      <w:r>
        <w:rPr>
          <w:rFonts w:ascii="Arial" w:cs="Arial" w:eastAsia="Arial" w:hAnsi="Arial"/>
          <w:sz w:val="19"/>
          <w:szCs w:val="19"/>
          <w:color w:val="auto"/>
        </w:rPr>
        <w:t>instrument (and each Lender and each Issuing Bank agrees not to assert a claim in contravention of the foregoing), (iii) it has, independently and without reliance upon the Administrative Agent, any Arranger, the Bookrunner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the Bookrunner or any other Lender or Issuing Bank, or any of the Related Parties of any of the foregoing,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68" w:lineRule="exact"/>
        <w:rPr>
          <w:sz w:val="20"/>
          <w:szCs w:val="20"/>
          <w:color w:val="auto"/>
        </w:rPr>
      </w:pPr>
    </w:p>
    <w:p>
      <w:pPr>
        <w:jc w:val="both"/>
        <w:ind w:firstLine="1305"/>
        <w:spacing w:after="0" w:line="257" w:lineRule="auto"/>
        <w:tabs>
          <w:tab w:leader="none" w:pos="1889" w:val="left"/>
        </w:tabs>
        <w:numPr>
          <w:ilvl w:val="1"/>
          <w:numId w:val="192"/>
        </w:numPr>
        <w:rPr>
          <w:rFonts w:ascii="Arial" w:cs="Arial" w:eastAsia="Arial" w:hAnsi="Arial"/>
          <w:sz w:val="19"/>
          <w:szCs w:val="19"/>
          <w:color w:val="auto"/>
        </w:rPr>
      </w:pPr>
      <w:r>
        <w:rPr>
          <w:rFonts w:ascii="Arial" w:cs="Arial" w:eastAsia="Arial" w:hAnsi="Arial"/>
          <w:sz w:val="19"/>
          <w:szCs w:val="19"/>
          <w:color w:val="auto"/>
        </w:rPr>
        <w:t>Each Lender, by delivering its signature page to this Agreement,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144" w:lineRule="exact"/>
        <w:rPr>
          <w:rFonts w:ascii="Arial" w:cs="Arial" w:eastAsia="Arial" w:hAnsi="Arial"/>
          <w:sz w:val="19"/>
          <w:szCs w:val="19"/>
          <w:color w:val="auto"/>
        </w:rPr>
      </w:pPr>
    </w:p>
    <w:p>
      <w:pPr>
        <w:ind w:left="1760" w:hanging="455"/>
        <w:spacing w:after="0"/>
        <w:tabs>
          <w:tab w:leader="none" w:pos="1760" w:val="left"/>
        </w:tabs>
        <w:numPr>
          <w:ilvl w:val="1"/>
          <w:numId w:val="192"/>
        </w:numPr>
        <w:rPr>
          <w:rFonts w:ascii="Arial" w:cs="Arial" w:eastAsia="Arial" w:hAnsi="Arial"/>
          <w:sz w:val="22"/>
          <w:szCs w:val="22"/>
          <w:color w:val="auto"/>
        </w:rPr>
      </w:pPr>
      <w:r>
        <w:rPr>
          <w:rFonts w:ascii="Arial" w:cs="Arial" w:eastAsia="Arial" w:hAnsi="Arial"/>
          <w:sz w:val="22"/>
          <w:szCs w:val="22"/>
          <w:u w:val="single" w:color="auto"/>
          <w:color w:val="auto"/>
        </w:rPr>
        <w:t>Erroneous Payments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580" w:firstLine="644"/>
        <w:spacing w:after="0" w:line="241" w:lineRule="auto"/>
        <w:tabs>
          <w:tab w:leader="none" w:pos="1912" w:val="left"/>
        </w:tabs>
        <w:numPr>
          <w:ilvl w:val="0"/>
          <w:numId w:val="193"/>
        </w:numPr>
        <w:rPr>
          <w:rFonts w:ascii="Arial" w:cs="Arial" w:eastAsia="Arial" w:hAnsi="Arial"/>
          <w:sz w:val="19"/>
          <w:szCs w:val="19"/>
          <w:color w:val="auto"/>
        </w:rPr>
      </w:pPr>
      <w:r>
        <w:rPr>
          <w:rFonts w:ascii="Arial" w:cs="Arial" w:eastAsia="Arial" w:hAnsi="Arial"/>
          <w:sz w:val="19"/>
          <w:szCs w:val="19"/>
          <w:color w:val="auto"/>
        </w:rPr>
        <w:t>(1)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Arial" w:cs="Arial" w:eastAsia="Arial" w:hAnsi="Arial"/>
          <w:sz w:val="19"/>
          <w:szCs w:val="19"/>
          <w:u w:val="single" w:color="auto"/>
          <w:color w:val="auto"/>
        </w:rPr>
        <w:t>Payment</w:t>
      </w:r>
      <w:r>
        <w:rPr>
          <w:rFonts w:ascii="Arial" w:cs="Arial" w:eastAsia="Arial" w:hAnsi="Arial"/>
          <w:sz w:val="19"/>
          <w:szCs w:val="19"/>
          <w:color w:val="auto"/>
        </w:rPr>
        <w:t xml:space="preserve">”)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Arial" w:cs="Arial" w:eastAsia="Arial" w:hAnsi="Arial"/>
          <w:sz w:val="19"/>
          <w:szCs w:val="19"/>
          <w:u w:val="single" w:color="auto"/>
          <w:color w:val="auto"/>
        </w:rPr>
        <w:t>Section 9.5(c)</w:t>
      </w:r>
      <w:r>
        <w:rPr>
          <w:rFonts w:ascii="Arial" w:cs="Arial" w:eastAsia="Arial" w:hAnsi="Arial"/>
          <w:sz w:val="19"/>
          <w:szCs w:val="19"/>
          <w:color w:val="auto"/>
        </w:rPr>
        <w:t xml:space="preserve"> shall be conclusive, absent manifest error.</w:t>
      </w:r>
    </w:p>
    <w:p>
      <w:pPr>
        <w:spacing w:after="0" w:line="384" w:lineRule="exact"/>
        <w:rPr>
          <w:rFonts w:ascii="Arial" w:cs="Arial" w:eastAsia="Arial" w:hAnsi="Arial"/>
          <w:sz w:val="19"/>
          <w:szCs w:val="19"/>
          <w:color w:val="auto"/>
        </w:rPr>
      </w:pPr>
    </w:p>
    <w:p>
      <w:pPr>
        <w:jc w:val="both"/>
        <w:ind w:left="580" w:firstLine="644"/>
        <w:spacing w:after="0" w:line="268" w:lineRule="auto"/>
        <w:tabs>
          <w:tab w:leader="none" w:pos="1748" w:val="left"/>
        </w:tabs>
        <w:numPr>
          <w:ilvl w:val="0"/>
          <w:numId w:val="193"/>
        </w:numPr>
        <w:rPr>
          <w:rFonts w:ascii="Arial" w:cs="Arial" w:eastAsia="Arial" w:hAnsi="Arial"/>
          <w:sz w:val="19"/>
          <w:szCs w:val="19"/>
          <w:color w:val="auto"/>
        </w:rPr>
      </w:pPr>
      <w:r>
        <w:rPr>
          <w:rFonts w:ascii="Arial" w:cs="Arial" w:eastAsia="Arial" w:hAnsi="Arial"/>
          <w:sz w:val="19"/>
          <w:szCs w:val="19"/>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9"/>
          <w:szCs w:val="19"/>
          <w:u w:val="single" w:color="auto"/>
          <w:color w:val="auto"/>
        </w:rPr>
        <w:t>Payment Notice</w:t>
      </w:r>
      <w:r>
        <w:rPr>
          <w:rFonts w:ascii="Arial" w:cs="Arial" w:eastAsia="Arial" w:hAnsi="Arial"/>
          <w:sz w:val="19"/>
          <w:szCs w:val="19"/>
          <w:color w:val="auto"/>
        </w:rPr>
        <w:t>”) or (y)</w:t>
      </w:r>
    </w:p>
    <w:p>
      <w:pPr>
        <w:sectPr>
          <w:pgSz w:w="11900" w:h="16838" w:orient="portrait"/>
          <w:cols w:equalWidth="0" w:num="1">
            <w:col w:w="11160"/>
          </w:cols>
          <w:pgMar w:left="400" w:top="1401" w:right="339" w:bottom="1440" w:gutter="0" w:footer="0" w:header="0"/>
        </w:sectPr>
      </w:pPr>
    </w:p>
    <w:bookmarkStart w:id="175" w:name="page176"/>
    <w:bookmarkEnd w:id="175"/>
    <w:p>
      <w:pPr>
        <w:jc w:val="both"/>
        <w:spacing w:after="0" w:line="244" w:lineRule="auto"/>
        <w:rPr>
          <w:sz w:val="20"/>
          <w:szCs w:val="20"/>
          <w:color w:val="auto"/>
        </w:rPr>
      </w:pPr>
      <w:r>
        <w:rPr>
          <w:rFonts w:ascii="Arial" w:cs="Arial" w:eastAsia="Arial" w:hAnsi="Arial"/>
          <w:sz w:val="19"/>
          <w:szCs w:val="19"/>
          <w:color w:val="auto"/>
        </w:rPr>
        <w:t>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61" w:lineRule="exact"/>
        <w:rPr>
          <w:sz w:val="20"/>
          <w:szCs w:val="20"/>
          <w:color w:val="auto"/>
        </w:rPr>
      </w:pPr>
    </w:p>
    <w:p>
      <w:pPr>
        <w:jc w:val="both"/>
        <w:ind w:firstLine="644"/>
        <w:spacing w:after="0" w:line="216" w:lineRule="auto"/>
        <w:tabs>
          <w:tab w:leader="none" w:pos="1281" w:val="left"/>
        </w:tabs>
        <w:numPr>
          <w:ilvl w:val="0"/>
          <w:numId w:val="194"/>
        </w:numPr>
        <w:rPr>
          <w:rFonts w:ascii="Arial" w:cs="Arial" w:eastAsia="Arial" w:hAnsi="Arial"/>
          <w:sz w:val="22"/>
          <w:szCs w:val="22"/>
          <w:color w:val="auto"/>
        </w:rPr>
      </w:pPr>
      <w:r>
        <w:rPr>
          <w:rFonts w:ascii="Arial" w:cs="Arial" w:eastAsia="Arial" w:hAnsi="Arial"/>
          <w:sz w:val="22"/>
          <w:szCs w:val="22"/>
          <w:color w:val="auto"/>
        </w:rPr>
        <w:t>Each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any Borrower or any other Loan Party.</w:t>
      </w:r>
    </w:p>
    <w:p>
      <w:pPr>
        <w:spacing w:after="0" w:line="157" w:lineRule="exact"/>
        <w:rPr>
          <w:rFonts w:ascii="Arial" w:cs="Arial" w:eastAsia="Arial" w:hAnsi="Arial"/>
          <w:sz w:val="22"/>
          <w:szCs w:val="22"/>
          <w:color w:val="auto"/>
        </w:rPr>
      </w:pPr>
    </w:p>
    <w:p>
      <w:pPr>
        <w:jc w:val="both"/>
        <w:ind w:firstLine="644"/>
        <w:spacing w:after="0" w:line="268" w:lineRule="auto"/>
        <w:tabs>
          <w:tab w:leader="none" w:pos="1346" w:val="left"/>
        </w:tabs>
        <w:numPr>
          <w:ilvl w:val="0"/>
          <w:numId w:val="194"/>
        </w:numPr>
        <w:rPr>
          <w:rFonts w:ascii="Arial" w:cs="Arial" w:eastAsia="Arial" w:hAnsi="Arial"/>
          <w:sz w:val="19"/>
          <w:szCs w:val="19"/>
          <w:color w:val="auto"/>
        </w:rPr>
      </w:pPr>
      <w:r>
        <w:rPr>
          <w:rFonts w:ascii="Arial" w:cs="Arial" w:eastAsia="Arial" w:hAnsi="Arial"/>
          <w:sz w:val="19"/>
          <w:szCs w:val="19"/>
          <w:color w:val="auto"/>
        </w:rPr>
        <w:t xml:space="preserve">Each party’s obligations under this </w:t>
      </w:r>
      <w:r>
        <w:rPr>
          <w:rFonts w:ascii="Arial" w:cs="Arial" w:eastAsia="Arial" w:hAnsi="Arial"/>
          <w:sz w:val="19"/>
          <w:szCs w:val="19"/>
          <w:u w:val="single" w:color="auto"/>
          <w:color w:val="auto"/>
        </w:rPr>
        <w:t>Section 9.5(c)</w:t>
      </w:r>
      <w:r>
        <w:rPr>
          <w:rFonts w:ascii="Arial" w:cs="Arial" w:eastAsia="Arial" w:hAnsi="Arial"/>
          <w:sz w:val="19"/>
          <w:szCs w:val="19"/>
          <w:color w:val="auto"/>
        </w:rPr>
        <w:t xml:space="preserve">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32" w:lineRule="exact"/>
        <w:rPr>
          <w:rFonts w:ascii="Arial" w:cs="Arial" w:eastAsia="Arial" w:hAnsi="Arial"/>
          <w:sz w:val="19"/>
          <w:szCs w:val="19"/>
          <w:color w:val="auto"/>
        </w:rPr>
      </w:pPr>
    </w:p>
    <w:p>
      <w:pPr>
        <w:ind w:left="1120" w:hanging="476"/>
        <w:spacing w:after="0"/>
        <w:tabs>
          <w:tab w:leader="none" w:pos="112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 xml:space="preserve">As used in this </w:t>
      </w:r>
      <w:r>
        <w:rPr>
          <w:rFonts w:ascii="Arial" w:cs="Arial" w:eastAsia="Arial" w:hAnsi="Arial"/>
          <w:sz w:val="22"/>
          <w:szCs w:val="22"/>
          <w:u w:val="single" w:color="auto"/>
          <w:color w:val="auto"/>
        </w:rPr>
        <w:t>Section 9.5(c)</w:t>
      </w:r>
      <w:r>
        <w:rPr>
          <w:rFonts w:ascii="Arial" w:cs="Arial" w:eastAsia="Arial" w:hAnsi="Arial"/>
          <w:sz w:val="22"/>
          <w:szCs w:val="22"/>
          <w:color w:val="auto"/>
        </w:rPr>
        <w:t>, the term “Lender” shall include each Issuing Bank.</w:t>
      </w:r>
    </w:p>
    <w:p>
      <w:pPr>
        <w:spacing w:after="0" w:line="179"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22"/>
          <w:szCs w:val="22"/>
          <w:color w:val="auto"/>
        </w:rPr>
        <w:t>Section 9.6</w:t>
      </w:r>
      <w:r>
        <w:rPr>
          <w:sz w:val="20"/>
          <w:szCs w:val="20"/>
          <w:color w:val="auto"/>
        </w:rPr>
        <w:tab/>
      </w:r>
      <w:r>
        <w:rPr>
          <w:rFonts w:ascii="Arial" w:cs="Arial" w:eastAsia="Arial" w:hAnsi="Arial"/>
          <w:sz w:val="19"/>
          <w:szCs w:val="19"/>
          <w:u w:val="single" w:color="auto"/>
          <w:color w:val="auto"/>
        </w:rPr>
        <w:t>Collateral Matters</w:t>
      </w:r>
      <w:r>
        <w:rPr>
          <w:rFonts w:ascii="Arial" w:cs="Arial" w:eastAsia="Arial" w:hAnsi="Arial"/>
          <w:sz w:val="19"/>
          <w:szCs w:val="19"/>
          <w:color w:val="auto"/>
        </w:rPr>
        <w:t>.</w:t>
      </w:r>
    </w:p>
    <w:p>
      <w:pPr>
        <w:spacing w:after="0" w:line="179" w:lineRule="exact"/>
        <w:rPr>
          <w:sz w:val="20"/>
          <w:szCs w:val="20"/>
          <w:color w:val="auto"/>
        </w:rPr>
      </w:pPr>
    </w:p>
    <w:p>
      <w:pPr>
        <w:jc w:val="both"/>
        <w:ind w:left="-580" w:firstLine="1305"/>
        <w:spacing w:after="0" w:line="226" w:lineRule="auto"/>
        <w:tabs>
          <w:tab w:leader="none" w:pos="1271" w:val="left"/>
        </w:tabs>
        <w:numPr>
          <w:ilvl w:val="0"/>
          <w:numId w:val="195"/>
        </w:numPr>
        <w:rPr>
          <w:rFonts w:ascii="Arial" w:cs="Arial" w:eastAsia="Arial" w:hAnsi="Arial"/>
          <w:sz w:val="21"/>
          <w:szCs w:val="21"/>
          <w:color w:val="auto"/>
        </w:rPr>
      </w:pPr>
      <w:r>
        <w:rPr>
          <w:rFonts w:ascii="Arial" w:cs="Arial" w:eastAsia="Arial" w:hAnsi="Arial"/>
          <w:sz w:val="21"/>
          <w:szCs w:val="21"/>
          <w:color w:val="auto"/>
        </w:rPr>
        <w:t>Except with respect to the exercise of setoff rights in accordance with Section 10.8 or with respect to a Secured Party’s right to file a proof of claim in an insolvency proceeding, no Secured Party shall have any right individually to realize upon any of the Collateral or to enforce any Guarantee of the Guaranteed Obligations, it being understood and agreed that all powers, rights and remedies under the Loan Documents may be exercised solely by the Administrative Agent on behalf of the Secured Parties in accordance with the terms thereof.</w:t>
      </w:r>
    </w:p>
    <w:p>
      <w:pPr>
        <w:spacing w:after="0" w:line="159" w:lineRule="exact"/>
        <w:rPr>
          <w:rFonts w:ascii="Arial" w:cs="Arial" w:eastAsia="Arial" w:hAnsi="Arial"/>
          <w:sz w:val="21"/>
          <w:szCs w:val="21"/>
          <w:color w:val="auto"/>
        </w:rPr>
      </w:pPr>
    </w:p>
    <w:p>
      <w:pPr>
        <w:jc w:val="both"/>
        <w:ind w:left="-580" w:firstLine="1305"/>
        <w:spacing w:after="0" w:line="246" w:lineRule="auto"/>
        <w:tabs>
          <w:tab w:leader="none" w:pos="1254" w:val="left"/>
        </w:tabs>
        <w:numPr>
          <w:ilvl w:val="0"/>
          <w:numId w:val="195"/>
        </w:numPr>
        <w:rPr>
          <w:rFonts w:ascii="Arial" w:cs="Arial" w:eastAsia="Arial" w:hAnsi="Arial"/>
          <w:sz w:val="19"/>
          <w:szCs w:val="19"/>
          <w:color w:val="auto"/>
        </w:rPr>
      </w:pPr>
      <w:r>
        <w:rPr>
          <w:rFonts w:ascii="Arial" w:cs="Arial" w:eastAsia="Arial" w:hAnsi="Arial"/>
          <w:sz w:val="19"/>
          <w:szCs w:val="19"/>
          <w:color w:val="auto"/>
        </w:rPr>
        <w:t>In furtherance of the foregoing and not in limitation thereof, no arrangements in respect of Secured Cash Management Services the obligations under which constitute Secured Obligations and no Secured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Secured Cash Management Services or any Secured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spacing w:after="0" w:line="152" w:lineRule="exact"/>
        <w:rPr>
          <w:rFonts w:ascii="Arial" w:cs="Arial" w:eastAsia="Arial" w:hAnsi="Arial"/>
          <w:sz w:val="19"/>
          <w:szCs w:val="19"/>
          <w:color w:val="auto"/>
        </w:rPr>
      </w:pPr>
    </w:p>
    <w:p>
      <w:pPr>
        <w:jc w:val="both"/>
        <w:ind w:left="-580" w:firstLine="1305"/>
        <w:spacing w:after="0" w:line="268" w:lineRule="auto"/>
        <w:tabs>
          <w:tab w:leader="none" w:pos="1255" w:val="left"/>
        </w:tabs>
        <w:numPr>
          <w:ilvl w:val="0"/>
          <w:numId w:val="195"/>
        </w:numPr>
        <w:rPr>
          <w:rFonts w:ascii="Arial" w:cs="Arial" w:eastAsia="Arial" w:hAnsi="Arial"/>
          <w:sz w:val="19"/>
          <w:szCs w:val="19"/>
          <w:color w:val="auto"/>
        </w:rPr>
      </w:pPr>
      <w:r>
        <w:rPr>
          <w:rFonts w:ascii="Arial" w:cs="Arial" w:eastAsia="Arial" w:hAnsi="Arial"/>
          <w:sz w:val="19"/>
          <w:szCs w:val="19"/>
          <w:color w:val="auto"/>
        </w:rPr>
        <w:t>The Secured Parties irrevocably authorize the Administrative Agent, at its option and in its discretion, to subordinate any Lien on any property granted to or held by the Administrative Agent under any Loan Document to the holder of any Lien on such property that is permitted by Section 6.2(a). The Administrative Agent shall not be responsible for or have a</w:t>
      </w:r>
    </w:p>
    <w:p>
      <w:pPr>
        <w:sectPr>
          <w:pgSz w:w="11900" w:h="16838" w:orient="portrait"/>
          <w:cols w:equalWidth="0" w:num="1">
            <w:col w:w="10580"/>
          </w:cols>
          <w:pgMar w:left="980" w:top="1401" w:right="339" w:bottom="1440" w:gutter="0" w:footer="0" w:header="0"/>
        </w:sectPr>
      </w:pPr>
    </w:p>
    <w:bookmarkStart w:id="176" w:name="page177"/>
    <w:bookmarkEnd w:id="176"/>
    <w:p>
      <w:pPr>
        <w:jc w:val="both"/>
        <w:ind w:left="80"/>
        <w:spacing w:after="0" w:line="218" w:lineRule="auto"/>
        <w:rPr>
          <w:sz w:val="20"/>
          <w:szCs w:val="20"/>
          <w:color w:val="auto"/>
        </w:rPr>
      </w:pPr>
      <w:r>
        <w:rPr>
          <w:rFonts w:ascii="Arial" w:cs="Arial" w:eastAsia="Arial" w:hAnsi="Arial"/>
          <w:sz w:val="22"/>
          <w:szCs w:val="22"/>
          <w:color w:val="auto"/>
        </w:rPr>
        <w:t>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spacing w:after="0" w:line="161"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 xml:space="preserve">Section 9.7 </w:t>
      </w:r>
      <w:r>
        <w:rPr>
          <w:rFonts w:ascii="Arial" w:cs="Arial" w:eastAsia="Arial" w:hAnsi="Arial"/>
          <w:sz w:val="19"/>
          <w:szCs w:val="19"/>
          <w:u w:val="single" w:color="auto"/>
          <w:color w:val="auto"/>
        </w:rPr>
        <w:t>Credit Bidding</w:t>
      </w:r>
      <w:r>
        <w:rPr>
          <w:rFonts w:ascii="Arial" w:cs="Arial" w:eastAsia="Arial" w:hAnsi="Arial"/>
          <w:sz w:val="19"/>
          <w:szCs w:val="19"/>
          <w:color w:val="auto"/>
        </w:rPr>
        <w:t xml:space="preserve">.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of this Agreement),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w:t>
      </w:r>
    </w:p>
    <w:p>
      <w:pPr>
        <w:sectPr>
          <w:pgSz w:w="11900" w:h="16838" w:orient="portrait"/>
          <w:cols w:equalWidth="0" w:num="1">
            <w:col w:w="11240"/>
          </w:cols>
          <w:pgMar w:left="320" w:top="1401" w:right="339" w:bottom="1440" w:gutter="0" w:footer="0" w:header="0"/>
        </w:sectPr>
      </w:pPr>
    </w:p>
    <w:bookmarkStart w:id="177" w:name="page178"/>
    <w:bookmarkEnd w:id="177"/>
    <w:p>
      <w:pPr>
        <w:jc w:val="both"/>
        <w:spacing w:after="0" w:line="232" w:lineRule="auto"/>
        <w:rPr>
          <w:sz w:val="20"/>
          <w:szCs w:val="20"/>
          <w:color w:val="auto"/>
        </w:rPr>
      </w:pPr>
      <w:r>
        <w:rPr>
          <w:rFonts w:ascii="Arial" w:cs="Arial" w:eastAsia="Arial" w:hAnsi="Arial"/>
          <w:sz w:val="22"/>
          <w:szCs w:val="22"/>
          <w:color w:val="auto"/>
        </w:rPr>
        <w:t>request in connection with the formation of any acquisition vehicle, the formulation or submission of any credit bid or the consummation of the transactions contemplated by such credit bid.</w:t>
      </w:r>
    </w:p>
    <w:p>
      <w:pPr>
        <w:spacing w:after="0" w:line="15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 xml:space="preserve">Section 9.8 </w:t>
      </w:r>
      <w:r>
        <w:rPr>
          <w:rFonts w:ascii="Arial" w:cs="Arial" w:eastAsia="Arial" w:hAnsi="Arial"/>
          <w:sz w:val="19"/>
          <w:szCs w:val="19"/>
          <w:u w:val="single" w:color="auto"/>
          <w:color w:val="auto"/>
        </w:rPr>
        <w:t>Intercreditor Agreements</w:t>
      </w:r>
      <w:r>
        <w:rPr>
          <w:rFonts w:ascii="Arial" w:cs="Arial" w:eastAsia="Arial" w:hAnsi="Arial"/>
          <w:sz w:val="19"/>
          <w:szCs w:val="19"/>
          <w:color w:val="auto"/>
        </w:rPr>
        <w:t>. The Lenders and the other Secured Parties hereby irrevocably authorize and instruct the Collateral Agent to, without any further consent of any Lender or any other Secured Party, enter into (or acknowledge and consent to) or amend, renew, extend, supplement, restate, replace, waive or otherwise modify any intercreditor or subordination agreement (in form and substance satisfactory to the Collateral Agent and deemed appropriate by it) with the collateral agent or other representative of holders of Indebtedness secured (and permitted to be secured) by a Lien on assets constituting a portion of the Collateral under (1) Sections 6.2(c), (d) or (r) (and in accordance with the relevant requirements thereof) and (2) any other provision of Section 6.2 (it being acknowledged and agreed that the Collateral Agent shall be under no obligation to execute any intercreditor agreement or subordination agreement pursuant to this clause (2), and may elect to do so, or not do so, in its sole and absolute discretion) (any of the foregoing, an “</w:t>
      </w:r>
      <w:r>
        <w:rPr>
          <w:rFonts w:ascii="Arial" w:cs="Arial" w:eastAsia="Arial" w:hAnsi="Arial"/>
          <w:sz w:val="19"/>
          <w:szCs w:val="19"/>
          <w:u w:val="single" w:color="auto"/>
          <w:color w:val="auto"/>
        </w:rPr>
        <w:t>Intercreditor Agreement</w:t>
      </w:r>
      <w:r>
        <w:rPr>
          <w:rFonts w:ascii="Arial" w:cs="Arial" w:eastAsia="Arial" w:hAnsi="Arial"/>
          <w:sz w:val="19"/>
          <w:szCs w:val="19"/>
          <w:color w:val="auto"/>
        </w:rPr>
        <w:t>”). The Lenders and the other Secured Parties irrevocably agree that (x) the Collateral Agent may rely exclusively on a certificate of a Responsible Officer of the Borrower as to whether any such other Liens are permitted hereunder and as to the respective assets constituting Collateral that secure (and are permitted to secure) such Indebtedness hereunder and (y) any Intercreditor Agreement entered into by the Collateral Agent shall be binding on the Secured Parties, and each Lender and the other Secured Parties hereby agrees that it will take no actions contrary to the provisions of, if entered into and if applicable, any Intercreditor Agreement.</w:t>
      </w:r>
    </w:p>
    <w:p>
      <w:pPr>
        <w:spacing w:after="0" w:line="168"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ARTICLE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-17780</wp:posOffset>
            </wp:positionV>
            <wp:extent cx="137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ind w:left="4720"/>
        <w:spacing w:after="0"/>
        <w:rPr>
          <w:sz w:val="20"/>
          <w:szCs w:val="20"/>
          <w:color w:val="auto"/>
        </w:rPr>
      </w:pPr>
      <w:r>
        <w:rPr>
          <w:rFonts w:ascii="Arial" w:cs="Arial" w:eastAsia="Arial" w:hAnsi="Arial"/>
          <w:sz w:val="22"/>
          <w:szCs w:val="22"/>
          <w:u w:val="single" w:color="auto"/>
          <w:color w:val="auto"/>
        </w:rPr>
        <w:t>MISCELLANEOUS</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Notices</w:t>
      </w:r>
      <w:r>
        <w:rPr>
          <w:rFonts w:ascii="Arial" w:cs="Arial" w:eastAsia="Arial" w:hAnsi="Arial"/>
          <w:sz w:val="22"/>
          <w:szCs w:val="22"/>
          <w:color w:val="auto"/>
        </w:rPr>
        <w:t>. (a) All notices and other communications provided for herein shall be in writing and shall be delivered by hand or overnight courier service, mailed by certified or registered mail or sent by telecopy (or other facsimile transmission or other electronic transmission (e.g., .pdf via e-mail)), as follows:</w:t>
      </w:r>
    </w:p>
    <w:p>
      <w:pPr>
        <w:spacing w:after="0" w:line="159" w:lineRule="exact"/>
        <w:rPr>
          <w:sz w:val="20"/>
          <w:szCs w:val="20"/>
          <w:color w:val="auto"/>
        </w:rPr>
      </w:pPr>
    </w:p>
    <w:p>
      <w:pPr>
        <w:jc w:val="both"/>
        <w:ind w:left="660" w:firstLine="644"/>
        <w:spacing w:after="0" w:line="223" w:lineRule="auto"/>
        <w:tabs>
          <w:tab w:leader="none" w:pos="1843" w:val="left"/>
        </w:tabs>
        <w:numPr>
          <w:ilvl w:val="0"/>
          <w:numId w:val="196"/>
        </w:numPr>
        <w:rPr>
          <w:rFonts w:ascii="Arial" w:cs="Arial" w:eastAsia="Arial" w:hAnsi="Arial"/>
          <w:sz w:val="22"/>
          <w:szCs w:val="22"/>
          <w:color w:val="auto"/>
        </w:rPr>
      </w:pPr>
      <w:r>
        <w:rPr>
          <w:rFonts w:ascii="Arial" w:cs="Arial" w:eastAsia="Arial" w:hAnsi="Arial"/>
          <w:sz w:val="22"/>
          <w:szCs w:val="22"/>
          <w:color w:val="auto"/>
        </w:rPr>
        <w:t>if to any Loan Party, to it at (A) 1111 Third Avenue, Suite 2100, Seattle, WA 98101, Attention: General Counsel (email: legal@remitly.com) and (B) 1111 Third Avenue, Suite 2100, Seattle, WA 98101, Attention: Chief Financial Officer (email: treasury@remitly.com);</w:t>
      </w:r>
    </w:p>
    <w:p>
      <w:pPr>
        <w:spacing w:after="0" w:line="158" w:lineRule="exact"/>
        <w:rPr>
          <w:rFonts w:ascii="Arial" w:cs="Arial" w:eastAsia="Arial" w:hAnsi="Arial"/>
          <w:sz w:val="22"/>
          <w:szCs w:val="22"/>
          <w:color w:val="auto"/>
        </w:rPr>
      </w:pPr>
    </w:p>
    <w:p>
      <w:pPr>
        <w:jc w:val="both"/>
        <w:ind w:left="660" w:firstLine="644"/>
        <w:spacing w:after="0" w:line="223" w:lineRule="auto"/>
        <w:tabs>
          <w:tab w:leader="none" w:pos="1827" w:val="left"/>
        </w:tabs>
        <w:numPr>
          <w:ilvl w:val="0"/>
          <w:numId w:val="196"/>
        </w:numPr>
        <w:rPr>
          <w:rFonts w:ascii="Arial" w:cs="Arial" w:eastAsia="Arial" w:hAnsi="Arial"/>
          <w:sz w:val="22"/>
          <w:szCs w:val="22"/>
          <w:color w:val="auto"/>
        </w:rPr>
      </w:pPr>
      <w:r>
        <w:rPr>
          <w:rFonts w:ascii="Arial" w:cs="Arial" w:eastAsia="Arial" w:hAnsi="Arial"/>
          <w:sz w:val="22"/>
          <w:szCs w:val="22"/>
          <w:color w:val="auto"/>
        </w:rPr>
        <w:t xml:space="preserve">if to the Administrative Agent, to it at JPMorgan Chase Bank, N.A., Loan and Agency Services Group, 500 Stanton Christiana Road, NCC 5, 1st Floor, Newark, DE 19713, Attention of </w:t>
      </w:r>
      <w:r>
        <w:rPr>
          <w:rFonts w:ascii="Arial" w:cs="Arial" w:eastAsia="Arial" w:hAnsi="Arial"/>
          <w:sz w:val="22"/>
          <w:szCs w:val="22"/>
          <w:color w:val="FF0000"/>
          <w:strike w:val="1"/>
        </w:rPr>
        <w:t>Dante Manerchia</w:t>
      </w:r>
      <w:r>
        <w:rPr>
          <w:rFonts w:ascii="Arial" w:cs="Arial" w:eastAsia="Arial" w:hAnsi="Arial"/>
          <w:sz w:val="22"/>
          <w:szCs w:val="22"/>
          <w:u w:val="single" w:color="auto"/>
          <w:color w:val="0000FF"/>
          <w:highlight w:val="lightGray"/>
        </w:rPr>
        <w:t>Michelle Won</w:t>
      </w:r>
      <w:r>
        <w:rPr>
          <w:rFonts w:ascii="Arial" w:cs="Arial" w:eastAsia="Arial" w:hAnsi="Arial"/>
          <w:sz w:val="22"/>
          <w:szCs w:val="22"/>
          <w:color w:val="auto"/>
        </w:rPr>
        <w:t xml:space="preserve"> (email: </w:t>
      </w:r>
      <w:r>
        <w:rPr>
          <w:rFonts w:ascii="Arial" w:cs="Arial" w:eastAsia="Arial" w:hAnsi="Arial"/>
          <w:sz w:val="22"/>
          <w:szCs w:val="22"/>
          <w:color w:val="FF0000"/>
          <w:strike w:val="1"/>
        </w:rPr>
        <w:t>dante.manerchia</w:t>
      </w:r>
      <w:r>
        <w:rPr>
          <w:rFonts w:ascii="Arial" w:cs="Arial" w:eastAsia="Arial" w:hAnsi="Arial"/>
          <w:sz w:val="22"/>
          <w:szCs w:val="22"/>
          <w:u w:val="single" w:color="auto"/>
          <w:color w:val="0000FF"/>
          <w:highlight w:val="lightGray"/>
        </w:rPr>
        <w:t>michelle.won</w:t>
      </w:r>
      <w:r>
        <w:rPr>
          <w:rFonts w:ascii="Arial" w:cs="Arial" w:eastAsia="Arial" w:hAnsi="Arial"/>
          <w:sz w:val="22"/>
          <w:szCs w:val="22"/>
          <w:color w:val="000000"/>
        </w:rPr>
        <w:t>@chase.com);</w:t>
      </w:r>
    </w:p>
    <w:p>
      <w:pPr>
        <w:spacing w:after="0" w:line="158" w:lineRule="exact"/>
        <w:rPr>
          <w:rFonts w:ascii="Arial" w:cs="Arial" w:eastAsia="Arial" w:hAnsi="Arial"/>
          <w:sz w:val="22"/>
          <w:szCs w:val="22"/>
          <w:color w:val="auto"/>
        </w:rPr>
      </w:pPr>
    </w:p>
    <w:p>
      <w:pPr>
        <w:ind w:left="660" w:firstLine="644"/>
        <w:spacing w:after="0" w:line="232" w:lineRule="auto"/>
        <w:tabs>
          <w:tab w:leader="none" w:pos="1975" w:val="left"/>
        </w:tabs>
        <w:numPr>
          <w:ilvl w:val="0"/>
          <w:numId w:val="196"/>
        </w:numPr>
        <w:rPr>
          <w:rFonts w:ascii="Arial" w:cs="Arial" w:eastAsia="Arial" w:hAnsi="Arial"/>
          <w:sz w:val="22"/>
          <w:szCs w:val="22"/>
          <w:color w:val="auto"/>
        </w:rPr>
      </w:pPr>
      <w:r>
        <w:rPr>
          <w:rFonts w:ascii="Arial" w:cs="Arial" w:eastAsia="Arial" w:hAnsi="Arial"/>
          <w:sz w:val="22"/>
          <w:szCs w:val="22"/>
          <w:color w:val="auto"/>
        </w:rPr>
        <w:t>if to the Collateral Agent, to it at CIB DMO WLO, Mail code NY1-C413, 4 Chase Metrotech Center, Brooklyn, NY 11245 (email: ib.collateral.services@jpmchase.com);</w:t>
      </w:r>
    </w:p>
    <w:p>
      <w:pPr>
        <w:spacing w:after="0" w:line="158" w:lineRule="exact"/>
        <w:rPr>
          <w:rFonts w:ascii="Arial" w:cs="Arial" w:eastAsia="Arial" w:hAnsi="Arial"/>
          <w:sz w:val="22"/>
          <w:szCs w:val="22"/>
          <w:color w:val="auto"/>
        </w:rPr>
      </w:pPr>
    </w:p>
    <w:p>
      <w:pPr>
        <w:jc w:val="both"/>
        <w:ind w:left="660" w:firstLine="644"/>
        <w:spacing w:after="0" w:line="226" w:lineRule="auto"/>
        <w:tabs>
          <w:tab w:leader="none" w:pos="1914" w:val="left"/>
        </w:tabs>
        <w:numPr>
          <w:ilvl w:val="0"/>
          <w:numId w:val="196"/>
        </w:numPr>
        <w:rPr>
          <w:rFonts w:ascii="Arial" w:cs="Arial" w:eastAsia="Arial" w:hAnsi="Arial"/>
          <w:sz w:val="21"/>
          <w:szCs w:val="21"/>
          <w:color w:val="auto"/>
        </w:rPr>
      </w:pPr>
      <w:r>
        <w:rPr>
          <w:rFonts w:ascii="Arial" w:cs="Arial" w:eastAsia="Arial" w:hAnsi="Arial"/>
          <w:sz w:val="21"/>
          <w:szCs w:val="21"/>
          <w:color w:val="auto"/>
        </w:rPr>
        <w:t>if to any Issuing Bank, to it at its address (or telecopy or other facsimile transmission or other electronic transmission (e.g., .pdf via e-mail) number or address) most recently specified by it in a notice delivered to the Administrative Agent and the Borrowers (or, in the absence of any such notice, to the address (or telecopy or other facsimile or other electronic transmission (e.g., .pdf via e-mail) number or address) set forth in the Administrative Questionnaire of the Lender that is serving as such Issuing Bank or is an Affiliate thereof); and</w:t>
      </w:r>
    </w:p>
    <w:p>
      <w:pPr>
        <w:sectPr>
          <w:pgSz w:w="11900" w:h="16838" w:orient="portrait"/>
          <w:cols w:equalWidth="0" w:num="1">
            <w:col w:w="11240"/>
          </w:cols>
          <w:pgMar w:left="320" w:top="1401" w:right="339" w:bottom="1440" w:gutter="0" w:footer="0" w:header="0"/>
        </w:sectPr>
      </w:pPr>
    </w:p>
    <w:bookmarkStart w:id="178" w:name="page179"/>
    <w:bookmarkEnd w:id="178"/>
    <w:p>
      <w:pPr>
        <w:ind w:left="1780" w:hanging="476"/>
        <w:spacing w:after="0"/>
        <w:tabs>
          <w:tab w:leader="none" w:pos="178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if to any other Lender, to it at its address (or telecopy or other facsimile or other electronic transmission (e.g.,</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.pdf via e-mail) number or address) set forth in its Administrative Questionnaire.</w:t>
      </w:r>
    </w:p>
    <w:p>
      <w:pPr>
        <w:spacing w:after="0" w:line="161"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Notices and other communications sent by hand or overnight courier service, or mailed by certified or registered mail, shall be deemed to have been given when received; notices and other communications sent by telecopy (or other facsimile transmission or other electronic transmission (e.g., .pdf via e-mail))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52" w:lineRule="exact"/>
        <w:rPr>
          <w:sz w:val="20"/>
          <w:szCs w:val="20"/>
          <w:color w:val="auto"/>
        </w:rPr>
      </w:pPr>
    </w:p>
    <w:p>
      <w:pPr>
        <w:jc w:val="both"/>
        <w:ind w:left="80" w:firstLine="1305"/>
        <w:spacing w:after="0" w:line="249" w:lineRule="auto"/>
        <w:tabs>
          <w:tab w:leader="none" w:pos="2013" w:val="left"/>
        </w:tabs>
        <w:numPr>
          <w:ilvl w:val="0"/>
          <w:numId w:val="198"/>
        </w:numPr>
        <w:rPr>
          <w:rFonts w:ascii="Arial" w:cs="Arial" w:eastAsia="Arial" w:hAnsi="Arial"/>
          <w:sz w:val="19"/>
          <w:szCs w:val="19"/>
          <w:color w:val="auto"/>
        </w:rPr>
      </w:pPr>
      <w:r>
        <w:rPr>
          <w:rFonts w:ascii="Arial" w:cs="Arial" w:eastAsia="Arial" w:hAnsi="Arial"/>
          <w:sz w:val="19"/>
          <w:szCs w:val="19"/>
          <w:color w:val="auto"/>
        </w:rPr>
        <w:t xml:space="preserve">Notices and other communications to the Lenders and Issuing Banks hereunder may be delivered or furnished by electronic communications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unless otherwise agreed by the Administrative Agent and the applicable Lender and applicable Issuing Bank. The Administrative Agent or the Borrowers may, in their respective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151" w:lineRule="exact"/>
        <w:rPr>
          <w:rFonts w:ascii="Arial" w:cs="Arial" w:eastAsia="Arial" w:hAnsi="Arial"/>
          <w:sz w:val="19"/>
          <w:szCs w:val="19"/>
          <w:color w:val="auto"/>
        </w:rPr>
      </w:pPr>
    </w:p>
    <w:p>
      <w:pPr>
        <w:jc w:val="both"/>
        <w:ind w:left="80" w:firstLine="1305"/>
        <w:spacing w:after="0" w:line="218" w:lineRule="auto"/>
        <w:tabs>
          <w:tab w:leader="none" w:pos="1923" w:val="left"/>
        </w:tabs>
        <w:numPr>
          <w:ilvl w:val="0"/>
          <w:numId w:val="198"/>
        </w:numPr>
        <w:rPr>
          <w:rFonts w:ascii="Arial" w:cs="Arial" w:eastAsia="Arial" w:hAnsi="Arial"/>
          <w:sz w:val="22"/>
          <w:szCs w:val="22"/>
          <w:color w:val="auto"/>
        </w:rPr>
      </w:pPr>
      <w:r>
        <w:rPr>
          <w:rFonts w:ascii="Arial" w:cs="Arial" w:eastAsia="Arial" w:hAnsi="Arial"/>
          <w:sz w:val="22"/>
          <w:szCs w:val="22"/>
          <w:color w:val="auto"/>
        </w:rPr>
        <w:t>Any party hereto may change its address or telecopy (or other facsimile transmission or other electronic transmission) number or address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61"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The Borrowers agree that the Administrative Agent may make the Communications (as defined below) available to the Lenders by posting the Communications on Debt Domain, IntraLinks, Syndtrak, ClearPar or another similar electronic system (the “</w:t>
      </w:r>
      <w:r>
        <w:rPr>
          <w:rFonts w:ascii="Arial" w:cs="Arial" w:eastAsia="Arial" w:hAnsi="Arial"/>
          <w:sz w:val="19"/>
          <w:szCs w:val="19"/>
          <w:u w:val="single" w:color="auto"/>
          <w:color w:val="auto"/>
        </w:rPr>
        <w:t>Platform</w:t>
      </w:r>
      <w:r>
        <w:rPr>
          <w:rFonts w:ascii="Arial" w:cs="Arial" w:eastAsia="Arial" w:hAnsi="Arial"/>
          <w:sz w:val="19"/>
          <w:szCs w:val="19"/>
          <w:color w:val="auto"/>
        </w:rPr>
        <w:t>”). THE PLATFORM IS PROVIDED “AS IS” AND “AS AVAILABLE.” The Agent Parties (as defined below) do not warrant the adequacy of the Platform and expressly disclaim liability for errors or omissions in the communications effected thereby (the “</w:t>
      </w:r>
      <w:r>
        <w:rPr>
          <w:rFonts w:ascii="Arial" w:cs="Arial" w:eastAsia="Arial" w:hAnsi="Arial"/>
          <w:sz w:val="19"/>
          <w:szCs w:val="19"/>
          <w:u w:val="single" w:color="auto"/>
          <w:color w:val="auto"/>
        </w:rPr>
        <w:t>Communications</w:t>
      </w:r>
      <w:r>
        <w:rPr>
          <w:rFonts w:ascii="Arial" w:cs="Arial" w:eastAsia="Arial" w:hAnsi="Arial"/>
          <w:sz w:val="19"/>
          <w:szCs w:val="19"/>
          <w:color w:val="auto"/>
        </w:rPr>
        <w:t>”).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Arial" w:cs="Arial" w:eastAsia="Arial" w:hAnsi="Arial"/>
          <w:sz w:val="19"/>
          <w:szCs w:val="19"/>
          <w:u w:val="single" w:color="auto"/>
          <w:color w:val="auto"/>
        </w:rPr>
        <w:t>Agent Parties</w:t>
      </w:r>
      <w:r>
        <w:rPr>
          <w:rFonts w:ascii="Arial" w:cs="Arial" w:eastAsia="Arial" w:hAnsi="Arial"/>
          <w:sz w:val="19"/>
          <w:szCs w:val="19"/>
          <w:color w:val="auto"/>
        </w:rPr>
        <w:t>”) be responsible or liable for damages arising from the unauthorized use by others of information or other materials obtained through internet, electronic, telecommunications or other information transmission, except to the extent that such damages have resulted from the willful misconduct or gross negligence of such Agent Party (as determined in a final, non-appealable judgment by a court of competent jurisdiction). Each Lender and each Issuing Bank agrees that notice to it (as provided in the next sentence) specifying that Communications have been posted to the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162"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Waivers; Amendments</w:t>
      </w:r>
      <w:r>
        <w:rPr>
          <w:rFonts w:ascii="Arial" w:cs="Arial" w:eastAsia="Arial" w:hAnsi="Arial"/>
          <w:sz w:val="22"/>
          <w:szCs w:val="22"/>
          <w:color w:val="auto"/>
        </w:rPr>
        <w:t>. (a) No failure or delay by any Agent, any Issuing Bank or any Lender in exercising any right or power hereunder shall operate as a waiver thereof, nor shall any single or partial exercise of any such right or power, or any abandonment</w:t>
      </w:r>
    </w:p>
    <w:p>
      <w:pPr>
        <w:sectPr>
          <w:pgSz w:w="11900" w:h="16838" w:orient="portrait"/>
          <w:cols w:equalWidth="0" w:num="1">
            <w:col w:w="11240"/>
          </w:cols>
          <w:pgMar w:left="320" w:top="1401" w:right="339" w:bottom="1440" w:gutter="0" w:footer="0" w:header="0"/>
        </w:sectPr>
      </w:pPr>
    </w:p>
    <w:bookmarkStart w:id="179" w:name="page180"/>
    <w:bookmarkEnd w:id="179"/>
    <w:p>
      <w:pPr>
        <w:jc w:val="both"/>
        <w:spacing w:after="0" w:line="246" w:lineRule="auto"/>
        <w:rPr>
          <w:sz w:val="20"/>
          <w:szCs w:val="20"/>
          <w:color w:val="auto"/>
        </w:rPr>
      </w:pPr>
      <w:r>
        <w:rPr>
          <w:rFonts w:ascii="Arial" w:cs="Arial" w:eastAsia="Arial" w:hAnsi="Arial"/>
          <w:sz w:val="19"/>
          <w:szCs w:val="19"/>
          <w:color w:val="auto"/>
        </w:rPr>
        <w:t>or discontinuance of steps to enforce such a right or power, preclude any other or further exercise thereof or the exercise of any other right or power. The rights and remedies of the Agent, the Issuing Banks and the Lenders hereunder are cumulative and are not exclusive of any rights or remedies that they would otherwise have. No waiver of any provision of this Agreement or any other Loan Document or consent to any departure by any Borrower or other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amendment, extension or increase of a Letter of Credit shall not be construed as a waiver of any Default, regardless of whether any Agent, any Lender or the applicable Issuing Bank may have had notice or knowledge of such Default at the time.</w:t>
      </w:r>
    </w:p>
    <w:p>
      <w:pPr>
        <w:spacing w:after="0" w:line="152" w:lineRule="exact"/>
        <w:rPr>
          <w:sz w:val="20"/>
          <w:szCs w:val="20"/>
          <w:color w:val="auto"/>
        </w:rPr>
      </w:pPr>
    </w:p>
    <w:p>
      <w:pPr>
        <w:jc w:val="both"/>
        <w:ind w:left="80" w:firstLine="1305"/>
        <w:spacing w:after="0"/>
        <w:tabs>
          <w:tab w:leader="none" w:pos="1925" w:val="left"/>
        </w:tabs>
        <w:numPr>
          <w:ilvl w:val="0"/>
          <w:numId w:val="199"/>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none of this Agreement, any other Loan Document or any provision hereof or thereof may be waived, amended or modified except pursuant to an agreement or agreements in writing entered into by the Borrowers and the Required Lenders or by the Borrowers and the Administrative Agent with the consent of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subject to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no such amendment, waiver or consent shall: (i) extend or increase the Commitment of any Lender without the written consent of such Lender, (ii) reduce the principal amount of any Loan, reduce the rate of interest thereon, or reduce any reimbursement obligation in respect of any Letter of Credit, or reduce any fees payable hereunder, without the written consent of each Lender and Issuing Bank directly affected thereby, (iii) postpone the scheduled date of payment of the principal amount of any Loan, or any interest thereon, or any fees payable hereunder, or reduce the amount of, waive or excuse any such payment, or postpone the scheduled date of expiration of any Commitment, without the written consent of each Lender directly affected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notwithstanding clause (ii) or (iii) of this </w:t>
      </w:r>
      <w:r>
        <w:rPr>
          <w:rFonts w:ascii="Arial" w:cs="Arial" w:eastAsia="Arial" w:hAnsi="Arial"/>
          <w:sz w:val="19"/>
          <w:szCs w:val="19"/>
          <w:u w:val="single" w:color="auto"/>
          <w:color w:val="auto"/>
        </w:rPr>
        <w:t>Section 10.2(b)</w:t>
      </w:r>
      <w:r>
        <w:rPr>
          <w:rFonts w:ascii="Arial" w:cs="Arial" w:eastAsia="Arial" w:hAnsi="Arial"/>
          <w:sz w:val="19"/>
          <w:szCs w:val="19"/>
          <w:color w:val="auto"/>
        </w:rPr>
        <w:t xml:space="preserve">, only the consent of the Required Lenders shall be necessary to waive any obligation of the Borrowers to pay interest at the default rate set forth in </w:t>
      </w:r>
      <w:r>
        <w:rPr>
          <w:rFonts w:ascii="Arial" w:cs="Arial" w:eastAsia="Arial" w:hAnsi="Arial"/>
          <w:sz w:val="19"/>
          <w:szCs w:val="19"/>
          <w:u w:val="single" w:color="auto"/>
          <w:color w:val="auto"/>
        </w:rPr>
        <w:t>Section 2.12(c)</w:t>
      </w:r>
      <w:r>
        <w:rPr>
          <w:rFonts w:ascii="Arial" w:cs="Arial" w:eastAsia="Arial" w:hAnsi="Arial"/>
          <w:sz w:val="19"/>
          <w:szCs w:val="19"/>
          <w:color w:val="auto"/>
        </w:rPr>
        <w:t xml:space="preserve">, (iv) change </w:t>
      </w:r>
      <w:r>
        <w:rPr>
          <w:rFonts w:ascii="Arial" w:cs="Arial" w:eastAsia="Arial" w:hAnsi="Arial"/>
          <w:sz w:val="19"/>
          <w:szCs w:val="19"/>
          <w:u w:val="single" w:color="auto"/>
          <w:color w:val="auto"/>
        </w:rPr>
        <w:t>Section 2.17(b)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2.17(c)</w:t>
      </w:r>
      <w:r>
        <w:rPr>
          <w:rFonts w:ascii="Arial" w:cs="Arial" w:eastAsia="Arial" w:hAnsi="Arial"/>
          <w:sz w:val="19"/>
          <w:szCs w:val="19"/>
          <w:color w:val="auto"/>
        </w:rPr>
        <w:t xml:space="preserve"> or any other Section hereof providing for the ratable treatment of the Lenders, in each case in a manner that would alter the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sharing of payments required thereby, without the written consent of each Lender directly affected thereby, (v) change Section 7.3 of the Security Agreement without the written consent of each Lender directly affected thereby, (vi) release all or substantially all of the value of any Guaranty or the Collateral, without the written consent of each Lender, except to the extent the release of any Guarantor or any Collateral is permitted pursuant to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10.17</w:t>
      </w:r>
      <w:r>
        <w:rPr>
          <w:rFonts w:ascii="Arial" w:cs="Arial" w:eastAsia="Arial" w:hAnsi="Arial"/>
          <w:sz w:val="19"/>
          <w:szCs w:val="19"/>
          <w:color w:val="auto"/>
        </w:rPr>
        <w:t xml:space="preserve"> (in which case such release may be made by the Administrative Agent or the Collateral Agent, as applicable, acting alone), (vii) change any of the provisions of this Section or the percentage referred to in the definition of “Required Lenders” or any other provision hereof specifying the number or percentage of Lenders required to waive, amend or modify any rights hereunder or make any determination or grant any consent hereunder, without the written consent of each Lender, (viii) extend the stated expiration date of any Letter of Credit beyond the Maturity Date without the written consent of the applicable Issuing Bank, each Lender directly affected thereby, and the beneficiary(ies) of such Letter of Credit, (ix) change the definition of “Applicable Percentage” without the written consent of each Lender or (x) subordinate (x) the Liens securing any of the Obligations on all or substantially all of the Collateral (“</w:t>
      </w:r>
      <w:r>
        <w:rPr>
          <w:rFonts w:ascii="Arial" w:cs="Arial" w:eastAsia="Arial" w:hAnsi="Arial"/>
          <w:sz w:val="19"/>
          <w:szCs w:val="19"/>
          <w:u w:val="single" w:color="auto"/>
          <w:color w:val="auto"/>
        </w:rPr>
        <w:t>Existing Liens</w:t>
      </w:r>
      <w:r>
        <w:rPr>
          <w:rFonts w:ascii="Arial" w:cs="Arial" w:eastAsia="Arial" w:hAnsi="Arial"/>
          <w:sz w:val="19"/>
          <w:szCs w:val="19"/>
          <w:color w:val="auto"/>
        </w:rPr>
        <w:t>”) to the Liens securing any other Indebtedness or other obligations or (y) any Obligations in contractual right of payment to any other Indebtedness or other obligations (any such other Indebtedness or other obligations, to which such Liens securing any of the Obligations or such Obligations, as applicable, are subordinated, “</w:t>
      </w:r>
      <w:r>
        <w:rPr>
          <w:rFonts w:ascii="Arial" w:cs="Arial" w:eastAsia="Arial" w:hAnsi="Arial"/>
          <w:sz w:val="19"/>
          <w:szCs w:val="19"/>
          <w:u w:val="single" w:color="auto"/>
          <w:color w:val="auto"/>
        </w:rPr>
        <w:t>Senior Indebtedness</w:t>
      </w:r>
      <w:r>
        <w:rPr>
          <w:rFonts w:ascii="Arial" w:cs="Arial" w:eastAsia="Arial" w:hAnsi="Arial"/>
          <w:sz w:val="19"/>
          <w:szCs w:val="19"/>
          <w:color w:val="auto"/>
        </w:rPr>
        <w:t>”), in either the case of subclause (x) or (y), unless each adversely affected Lender has been offered a bona fide opportunity to fund or otherwise provide its pro rata share (based on the amount of Obligations that are adversely affected thereby held by each Lender) of the Senior Indebtedness on the same terms (other than bona fide backstop fees and reimbursement of counsel fees and other expenses in connection with the negotiation of the terms of such transaction; such fees and expenses, “</w:t>
      </w:r>
      <w:r>
        <w:rPr>
          <w:rFonts w:ascii="Arial" w:cs="Arial" w:eastAsia="Arial" w:hAnsi="Arial"/>
          <w:sz w:val="19"/>
          <w:szCs w:val="19"/>
          <w:u w:val="single" w:color="auto"/>
          <w:color w:val="auto"/>
        </w:rPr>
        <w:t>Ancillary Fees</w:t>
      </w:r>
      <w:r>
        <w:rPr>
          <w:rFonts w:ascii="Arial" w:cs="Arial" w:eastAsia="Arial" w:hAnsi="Arial"/>
          <w:sz w:val="19"/>
          <w:szCs w:val="19"/>
          <w:color w:val="auto"/>
        </w:rPr>
        <w:t>”) as offered to all</w:t>
      </w:r>
    </w:p>
    <w:p>
      <w:pPr>
        <w:sectPr>
          <w:pgSz w:w="11900" w:h="16838" w:orient="portrait"/>
          <w:cols w:equalWidth="0" w:num="1">
            <w:col w:w="11240"/>
          </w:cols>
          <w:pgMar w:left="320" w:top="1401" w:right="339" w:bottom="1440" w:gutter="0" w:footer="0" w:header="0"/>
        </w:sectPr>
      </w:pPr>
    </w:p>
    <w:bookmarkStart w:id="180" w:name="page181"/>
    <w:bookmarkEnd w:id="180"/>
    <w:p>
      <w:pPr>
        <w:jc w:val="both"/>
        <w:ind w:left="80"/>
        <w:spacing w:after="0"/>
        <w:rPr>
          <w:sz w:val="20"/>
          <w:szCs w:val="20"/>
          <w:color w:val="auto"/>
        </w:rPr>
      </w:pPr>
      <w:r>
        <w:rPr>
          <w:rFonts w:ascii="Arial" w:cs="Arial" w:eastAsia="Arial" w:hAnsi="Arial"/>
          <w:sz w:val="19"/>
          <w:szCs w:val="19"/>
          <w:color w:val="auto"/>
        </w:rPr>
        <w:t>other providers (or their Affiliates) of the Senior Indebtedness and to the extent such adversely affected Lender decides to participate in the Senior Indebtedness, receive its pro rata share of the fees and any other similar benefit (other than Ancillary Fees) of the Senior Indebtedness afforded to the providers of the Senior Indebtedness (or any of their Affiliates) in connection with providing the Senior Indebtedness pursuant to a written offer made to each such adversely affected Lender describing the material terms of the arrangements pursuant to which the Senior Indebtedness is to be provided, which offer shall remain open to each adversely affected Lender for a period of not less than five Business Days. Notwithstanding anything to the contrary herein,</w:t>
      </w:r>
    </w:p>
    <w:p>
      <w:pPr>
        <w:spacing w:after="0" w:line="3" w:lineRule="exact"/>
        <w:rPr>
          <w:sz w:val="20"/>
          <w:szCs w:val="20"/>
          <w:color w:val="auto"/>
        </w:rPr>
      </w:pPr>
    </w:p>
    <w:p>
      <w:pPr>
        <w:jc w:val="both"/>
        <w:ind w:left="80" w:firstLine="9"/>
        <w:spacing w:after="0"/>
        <w:tabs>
          <w:tab w:leader="none" w:pos="457" w:val="left"/>
        </w:tabs>
        <w:numPr>
          <w:ilvl w:val="0"/>
          <w:numId w:val="200"/>
        </w:numPr>
        <w:rPr>
          <w:rFonts w:ascii="Arial" w:cs="Arial" w:eastAsia="Arial" w:hAnsi="Arial"/>
          <w:sz w:val="19"/>
          <w:szCs w:val="19"/>
          <w:color w:val="auto"/>
        </w:rPr>
      </w:pPr>
      <w:r>
        <w:rPr>
          <w:rFonts w:ascii="Arial" w:cs="Arial" w:eastAsia="Arial" w:hAnsi="Arial"/>
          <w:sz w:val="19"/>
          <w:szCs w:val="19"/>
          <w:color w:val="auto"/>
        </w:rPr>
        <w:t xml:space="preserve">no such agreement shall amend, modify or otherwise affect the rights or duties of the Agent hereunder without the prior written consent of such Agent, (B) no such amendment shall amend, modify, terminate or waive any obligation of Lenders relating to the purchase of participations in Letters of Credit as provided in </w:t>
      </w:r>
      <w:r>
        <w:rPr>
          <w:rFonts w:ascii="Arial" w:cs="Arial" w:eastAsia="Arial" w:hAnsi="Arial"/>
          <w:sz w:val="19"/>
          <w:szCs w:val="19"/>
          <w:u w:val="single" w:color="auto"/>
          <w:color w:val="auto"/>
        </w:rPr>
        <w:t>Section 2.4(d)</w:t>
      </w:r>
      <w:r>
        <w:rPr>
          <w:rFonts w:ascii="Arial" w:cs="Arial" w:eastAsia="Arial" w:hAnsi="Arial"/>
          <w:sz w:val="19"/>
          <w:szCs w:val="19"/>
          <w:color w:val="auto"/>
        </w:rPr>
        <w:t xml:space="preserve"> without the written consent of the Administrative Agent and of each Issuing Bank, and no such agreement shall amend, modify or otherwise affect the rights or duties of any Issuing Bank hereunder without the prior written consent of such Issuing Bank, (C) [reserved], (D)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the termination thereof extended without the consent of such Lender, (y) the principal amount of any Defaulting Lender’s Loan, or the interest rate thereon or any fees payable hereunder to any Defaulting Lender may not be reduced without the consent of such Lender and (z) any waiver, amendment or modification requiring the consent of all Lenders or each affected Lender that by its terms affects any Defaulting Lender more adversely than other affected Lenders shall require the consent of such Defaulting Lender, (E) this Agreement may be amended to provide for a Commitment Increase in the manner contemplated by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and the extension of the Maturity Date as contemplated by </w:t>
      </w:r>
      <w:r>
        <w:rPr>
          <w:rFonts w:ascii="Arial" w:cs="Arial" w:eastAsia="Arial" w:hAnsi="Arial"/>
          <w:sz w:val="19"/>
          <w:szCs w:val="19"/>
          <w:u w:val="single" w:color="auto"/>
          <w:color w:val="auto"/>
        </w:rPr>
        <w:t>Section 2.20</w:t>
      </w:r>
      <w:r>
        <w:rPr>
          <w:rFonts w:ascii="Arial" w:cs="Arial" w:eastAsia="Arial" w:hAnsi="Arial"/>
          <w:sz w:val="19"/>
          <w:szCs w:val="19"/>
          <w:color w:val="auto"/>
        </w:rPr>
        <w:t>, (F) [reserved] and (G) any provision of this Agreement or any other Loan Document may be amended by an agreement in writing entered into by the Borrowers and the Administrative Agent to cure any ambiguity, omission, defect or inconsistency.</w:t>
      </w:r>
    </w:p>
    <w:p>
      <w:pPr>
        <w:spacing w:after="0" w:line="158" w:lineRule="exact"/>
        <w:rPr>
          <w:rFonts w:ascii="Arial" w:cs="Arial" w:eastAsia="Arial" w:hAnsi="Arial"/>
          <w:sz w:val="19"/>
          <w:szCs w:val="19"/>
          <w:color w:val="auto"/>
        </w:rPr>
      </w:pPr>
    </w:p>
    <w:p>
      <w:pPr>
        <w:jc w:val="both"/>
        <w:ind w:left="80" w:firstLine="1305"/>
        <w:spacing w:after="0" w:line="244" w:lineRule="auto"/>
        <w:tabs>
          <w:tab w:leader="none" w:pos="1869" w:val="left"/>
        </w:tabs>
        <w:numPr>
          <w:ilvl w:val="1"/>
          <w:numId w:val="200"/>
        </w:numPr>
        <w:rPr>
          <w:rFonts w:ascii="Arial" w:cs="Arial" w:eastAsia="Arial" w:hAnsi="Arial"/>
          <w:sz w:val="19"/>
          <w:szCs w:val="19"/>
          <w:color w:val="auto"/>
        </w:rPr>
      </w:pPr>
      <w:r>
        <w:rPr>
          <w:rFonts w:ascii="Arial" w:cs="Arial" w:eastAsia="Arial" w:hAnsi="Arial"/>
          <w:sz w:val="19"/>
          <w:szCs w:val="19"/>
          <w:color w:val="auto"/>
        </w:rPr>
        <w:t>Without the consent of any Lender or Issuing Bank, the Loan Parties and the Administrative Agent and the Collateral Agent may (in their respective sole discretion, or shall, to the extent required by any Loan Document) enter into any amendment, modification, supplement or waiver of any Loan Document, or enter into any new agreement or instrument, to effect the granting, perfection, protection, expansion or enhancement of any security interest in any Collateral or additional property to become Collateral for the benefit of the Secured Parties, to include holders of Other Permitted Debt in the benefit of the Collateral Documents (to the extent the Collateral Agent so agrees in its discretion) in connection with the incurrence of any Other Permitted Debt and to give effect to any Intercreditor Agreement associated with Other Permitted Debt or otherwise authorized by this Agreement, or as required by local law to give effect to, or protect, any security interest for the benefit of the Secured Parties in any property or so that the security interests therein comply with applicable law or this Agreement or in each case to otherwise enhance the rights or benefits of any Lender under any Loan Document.</w:t>
      </w:r>
    </w:p>
    <w:p>
      <w:pPr>
        <w:spacing w:after="0" w:line="154" w:lineRule="exact"/>
        <w:rPr>
          <w:rFonts w:ascii="Arial" w:cs="Arial" w:eastAsia="Arial" w:hAnsi="Arial"/>
          <w:sz w:val="19"/>
          <w:szCs w:val="19"/>
          <w:color w:val="auto"/>
        </w:rPr>
      </w:pPr>
    </w:p>
    <w:p>
      <w:pPr>
        <w:ind w:left="80" w:firstLine="1305"/>
        <w:spacing w:after="0" w:line="232" w:lineRule="auto"/>
        <w:tabs>
          <w:tab w:leader="none" w:pos="1864" w:val="left"/>
        </w:tabs>
        <w:numPr>
          <w:ilvl w:val="1"/>
          <w:numId w:val="200"/>
        </w:numPr>
        <w:rPr>
          <w:rFonts w:ascii="Arial" w:cs="Arial" w:eastAsia="Arial" w:hAnsi="Arial"/>
          <w:sz w:val="22"/>
          <w:szCs w:val="22"/>
          <w:color w:val="auto"/>
        </w:rPr>
      </w:pPr>
      <w:r>
        <w:rPr>
          <w:rFonts w:ascii="Arial" w:cs="Arial" w:eastAsia="Arial" w:hAnsi="Arial"/>
          <w:sz w:val="22"/>
          <w:szCs w:val="22"/>
          <w:color w:val="auto"/>
        </w:rPr>
        <w:t>Each Lender shall be bound by any waiver, amendment or modification authorized by this Section 10.2 and any consent by any Lender pursuant to this Section 10.2 shall bind any assignee of such Lender.</w:t>
      </w:r>
    </w:p>
    <w:p>
      <w:pPr>
        <w:spacing w:after="0" w:line="159"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 xml:space="preserve">Section 10.3 </w:t>
      </w:r>
      <w:r>
        <w:rPr>
          <w:rFonts w:ascii="Arial" w:cs="Arial" w:eastAsia="Arial" w:hAnsi="Arial"/>
          <w:sz w:val="21"/>
          <w:szCs w:val="21"/>
          <w:u w:val="single" w:color="auto"/>
          <w:color w:val="auto"/>
        </w:rPr>
        <w:t>Limitation of Liability; Expenses; Indemnity</w:t>
      </w:r>
      <w:r>
        <w:rPr>
          <w:rFonts w:ascii="Arial" w:cs="Arial" w:eastAsia="Arial" w:hAnsi="Arial"/>
          <w:sz w:val="21"/>
          <w:szCs w:val="21"/>
          <w:color w:val="auto"/>
        </w:rPr>
        <w:t xml:space="preserve">. (a) Without limiting in any way the indemnification obligations of the Loan Parties pursuant to </w:t>
      </w:r>
      <w:r>
        <w:rPr>
          <w:rFonts w:ascii="Arial" w:cs="Arial" w:eastAsia="Arial" w:hAnsi="Arial"/>
          <w:sz w:val="21"/>
          <w:szCs w:val="21"/>
          <w:u w:val="single" w:color="auto"/>
          <w:color w:val="auto"/>
        </w:rPr>
        <w:t>Section 10.3(c)</w:t>
      </w:r>
      <w:r>
        <w:rPr>
          <w:rFonts w:ascii="Arial" w:cs="Arial" w:eastAsia="Arial" w:hAnsi="Arial"/>
          <w:sz w:val="21"/>
          <w:szCs w:val="21"/>
          <w:color w:val="auto"/>
        </w:rPr>
        <w:t xml:space="preserve"> or of the Lenders pursuant to </w:t>
      </w:r>
      <w:r>
        <w:rPr>
          <w:rFonts w:ascii="Arial" w:cs="Arial" w:eastAsia="Arial" w:hAnsi="Arial"/>
          <w:sz w:val="21"/>
          <w:szCs w:val="21"/>
          <w:u w:val="single" w:color="auto"/>
          <w:color w:val="auto"/>
        </w:rPr>
        <w:t>Section 10.3(d)</w:t>
      </w:r>
      <w:r>
        <w:rPr>
          <w:rFonts w:ascii="Arial" w:cs="Arial" w:eastAsia="Arial" w:hAnsi="Arial"/>
          <w:sz w:val="21"/>
          <w:szCs w:val="21"/>
          <w:color w:val="auto"/>
        </w:rPr>
        <w:t>, to the extent permitted by applicable law, each party hereto shall not assert, and hereby waives, any claim against any Agent, Arranger, Bookrunner, Issuing Bank or Lender, or any Related Party of any of the foregoing Persons (each such Person</w:t>
      </w:r>
    </w:p>
    <w:p>
      <w:pPr>
        <w:sectPr>
          <w:pgSz w:w="11900" w:h="16838" w:orient="portrait"/>
          <w:cols w:equalWidth="0" w:num="1">
            <w:col w:w="11240"/>
          </w:cols>
          <w:pgMar w:left="320" w:top="1401" w:right="339" w:bottom="1440" w:gutter="0" w:footer="0" w:header="0"/>
        </w:sectPr>
      </w:pPr>
    </w:p>
    <w:bookmarkStart w:id="181" w:name="page182"/>
    <w:bookmarkEnd w:id="181"/>
    <w:p>
      <w:pPr>
        <w:jc w:val="both"/>
        <w:spacing w:after="0" w:line="242" w:lineRule="auto"/>
        <w:rPr>
          <w:sz w:val="20"/>
          <w:szCs w:val="20"/>
          <w:color w:val="auto"/>
        </w:rPr>
      </w:pPr>
      <w:r>
        <w:rPr>
          <w:rFonts w:ascii="Arial" w:cs="Arial" w:eastAsia="Arial" w:hAnsi="Arial"/>
          <w:sz w:val="19"/>
          <w:szCs w:val="19"/>
          <w:color w:val="auto"/>
        </w:rPr>
        <w:t>being called a “</w:t>
      </w:r>
      <w:r>
        <w:rPr>
          <w:rFonts w:ascii="Arial" w:cs="Arial" w:eastAsia="Arial" w:hAnsi="Arial"/>
          <w:sz w:val="19"/>
          <w:szCs w:val="19"/>
          <w:u w:val="single" w:color="auto"/>
          <w:color w:val="auto"/>
        </w:rPr>
        <w:t>Lender-Related Person</w:t>
      </w:r>
      <w:r>
        <w:rPr>
          <w:rFonts w:ascii="Arial" w:cs="Arial" w:eastAsia="Arial" w:hAnsi="Arial"/>
          <w:sz w:val="19"/>
          <w:szCs w:val="19"/>
          <w:color w:val="auto"/>
        </w:rPr>
        <w:t>”) or any Borrower or any of its Subsidiaries,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or any Loan or Letter of Credit or the use of the proceeds thereof. No Lender-Related Person shall be liable for (i) any indirect, special, exemplary, incidental, punitive or consequential damages (including any loss of profits, business or anticipated savings) which may be alleged as a result of this Agreement, any other Loan Document or any agreement or instrument contemplated hereby, the Transactions, any Loan or Letter of Credit or the use of the proceeds thereof and (ii) any damages arising from the use by unintended recipients of any information or other materials distributed to such unintended recipients by such Lender-Related Person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Lender-Related Person as determined by a final and non-appealable judgment of a court of competent jurisdiction.</w:t>
      </w:r>
    </w:p>
    <w:p>
      <w:pPr>
        <w:spacing w:after="0" w:line="164" w:lineRule="exact"/>
        <w:rPr>
          <w:sz w:val="20"/>
          <w:szCs w:val="20"/>
          <w:color w:val="auto"/>
        </w:rPr>
      </w:pPr>
    </w:p>
    <w:p>
      <w:pPr>
        <w:jc w:val="both"/>
        <w:ind w:left="80" w:firstLine="1305"/>
        <w:spacing w:after="0" w:line="241" w:lineRule="auto"/>
        <w:tabs>
          <w:tab w:leader="none" w:pos="1915" w:val="left"/>
        </w:tabs>
        <w:numPr>
          <w:ilvl w:val="0"/>
          <w:numId w:val="201"/>
        </w:numPr>
        <w:rPr>
          <w:rFonts w:ascii="Arial" w:cs="Arial" w:eastAsia="Arial" w:hAnsi="Arial"/>
          <w:sz w:val="19"/>
          <w:szCs w:val="19"/>
          <w:color w:val="auto"/>
        </w:rPr>
      </w:pPr>
      <w:r>
        <w:rPr>
          <w:rFonts w:ascii="Arial" w:cs="Arial" w:eastAsia="Arial" w:hAnsi="Arial"/>
          <w:sz w:val="19"/>
          <w:szCs w:val="19"/>
          <w:color w:val="auto"/>
        </w:rPr>
        <w:t>The Borrowers, jointly and severally, shall pay (i) all reasonable and documented out-of-pocket expenses incurred by the Agents, the Arrangers, the Bookrunner and their respective Affiliates, including the reasonable and documented out-of-pocket fees, disbursements and other charges of one firm of counsel for the Agents, the Arrangers and the Bookrunner, taken as a whole (and if reasonably necessary (as determined by the Administrative Agent in consultation with the Borrowers), of a single local counsel in each appropriate jurisdiction) in connection with the syndication of the credit facilities provided for herein, the preparation, execution, delivery and administration of this Agreement, any other Loan Document or any amendments, modifications or waivers of the provisions hereof or thereof (whether or not the transactions contemplated hereby or thereby shall be consummated), and (ii) all documented out-of-pocket expenses incurred by the Agents, the Arrangers, the Bookrunner, each Issuing Bank and each Lender, including the reasonable and documented out-of-pocket fees, disbursements and other charges of one firm of counsel for the Agents and the Lenders, taken as a whole (and if reasonably necessary (as determined by the Administrative Agent in consultation with the Borrowers), of a single local counsel in each appropriate jurisdiction and in the case of an actual or potential conflict of interest where the Agents or any Lender affected by such conflict informs the Borrowers of such conflict and thereafter retains its own counsel, of another firm of counsel for such affected person), in connection with the enforcement or protection of its rights in connection with this Agreement or any other Loan Document,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161" w:lineRule="exact"/>
        <w:rPr>
          <w:rFonts w:ascii="Arial" w:cs="Arial" w:eastAsia="Arial" w:hAnsi="Arial"/>
          <w:sz w:val="19"/>
          <w:szCs w:val="19"/>
          <w:color w:val="auto"/>
        </w:rPr>
      </w:pPr>
    </w:p>
    <w:p>
      <w:pPr>
        <w:jc w:val="both"/>
        <w:ind w:left="80" w:firstLine="1305"/>
        <w:spacing w:after="0" w:line="243" w:lineRule="auto"/>
        <w:tabs>
          <w:tab w:leader="none" w:pos="1933" w:val="left"/>
        </w:tabs>
        <w:numPr>
          <w:ilvl w:val="0"/>
          <w:numId w:val="201"/>
        </w:numPr>
        <w:rPr>
          <w:rFonts w:ascii="Arial" w:cs="Arial" w:eastAsia="Arial" w:hAnsi="Arial"/>
          <w:sz w:val="19"/>
          <w:szCs w:val="19"/>
          <w:color w:val="auto"/>
        </w:rPr>
      </w:pPr>
      <w:r>
        <w:rPr>
          <w:rFonts w:ascii="Arial" w:cs="Arial" w:eastAsia="Arial" w:hAnsi="Arial"/>
          <w:sz w:val="19"/>
          <w:szCs w:val="19"/>
          <w:color w:val="auto"/>
        </w:rPr>
        <w:t>Each Loan Party, jointly and severally, shall indemnify the Agents, the Arrangers, the Bookrunner, each Issuing Bank and each Lender, and each Related Party of any of the foregoing Persons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against, and hold each Indemnitee harmless from, any and all losses, claims, demands, damages, liabilities, costs or reasonable and documented expenses, including the reasonable and documented out-of-pocket fees, charges and disbursements of any counsel for any Indemnitee, incurred by or asserted against any Indemnitee by any third party or by any Borrower or any other Loan Party arising out of, in connection with, or as a result of (i) the execution or delivery of this Agreement, any other Loan Document or any agreement or instrument contemplated hereby, the performance by the parties hereto of their respective obligations hereunder or the consummation of the Transactions or any other transactions contemplated hereby, or, in the case of the Administrative Agent (and any sub-agent thereof) and its Related Parties only, the administration of this Agreement and the other Loan Documents, (ii) any Loan or Letter of Credit or the use of the proceeds thereof (including any refusal by the Issuing Bank to honor a</w:t>
      </w:r>
    </w:p>
    <w:p>
      <w:pPr>
        <w:sectPr>
          <w:pgSz w:w="11900" w:h="16838" w:orient="portrait"/>
          <w:cols w:equalWidth="0" w:num="1">
            <w:col w:w="11240"/>
          </w:cols>
          <w:pgMar w:left="320" w:top="1401" w:right="339" w:bottom="1440" w:gutter="0" w:footer="0" w:header="0"/>
        </w:sectPr>
      </w:pPr>
    </w:p>
    <w:bookmarkStart w:id="182" w:name="page183"/>
    <w:bookmarkEnd w:id="182"/>
    <w:p>
      <w:pPr>
        <w:jc w:val="both"/>
        <w:ind w:left="80"/>
        <w:spacing w:after="0"/>
        <w:rPr>
          <w:sz w:val="20"/>
          <w:szCs w:val="20"/>
          <w:color w:val="auto"/>
        </w:rPr>
      </w:pPr>
      <w:r>
        <w:rPr>
          <w:rFonts w:ascii="Arial" w:cs="Arial" w:eastAsia="Arial" w:hAnsi="Arial"/>
          <w:sz w:val="19"/>
          <w:szCs w:val="19"/>
          <w:color w:val="auto"/>
        </w:rPr>
        <w:t xml:space="preserve">demand for payment under a Letter of Credit if the documents presented in connection with such demand do not strictly comply with the terms of such Letter of Credit), (iii) any act or omission of the Administrative Agent in connection with the administration of the Loan Documents, (iv) any actual or alleged presence or release of Hazardous Materials on or from any property owned, leased or operated by Holdings or any of its Subsidiaries, or any Environmental Liability resulting from the violation of Environmental Laws by Holdings or any of its Subsidiaries, or (v) any actual or prospective claim, litigation, investigation, arbitration or administrative, judicial or regulatory action or proceeding relating to any of the foregoing (including in relation to enforcing the terms of the limitation of liability and indemnification referred to above), whether based on contract, tort or any other theory and regardless of whether any Indemnitee is a party thereto (and regardless of whether such matter is initiated by a third party or any Borrower or any Affiliate of the Borrowers);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(w) with respect to Taxes (and amounts relating thereto), the indemnification for which shall be governed solely and exclusively by </w:t>
      </w:r>
      <w:r>
        <w:rPr>
          <w:rFonts w:ascii="Arial" w:cs="Arial" w:eastAsia="Arial" w:hAnsi="Arial"/>
          <w:sz w:val="19"/>
          <w:szCs w:val="19"/>
          <w:u w:val="single" w:color="auto"/>
          <w:color w:val="auto"/>
        </w:rPr>
        <w:t>Sections 2.14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2.16</w:t>
      </w:r>
      <w:r>
        <w:rPr>
          <w:rFonts w:ascii="Arial" w:cs="Arial" w:eastAsia="Arial" w:hAnsi="Arial"/>
          <w:sz w:val="19"/>
          <w:szCs w:val="19"/>
          <w:color w:val="auto"/>
        </w:rPr>
        <w:t>, other than any Taxes that represent losses, claims or damages arising from any non-Tax claim, (x) to the extent that such losses, claims, demands, damages, liabilities, costs or reasonable and documented expenses are determined by a court of competent jurisdiction by final and non-appealable judgment to have resulted from the bad faith, gross negligence or willful misconduct of such Indemnitee, (y) if arising from a material breach by such Indemnitee or one of its Affiliates of its obligations under this Agreement or any other Loan Document (as determined by a court of competent jurisdiction by final and non-appealable judgment) or (z) if arising from any claim, action, suit, inquiry, litigation, investigation or proceeding between and among Indemnitees that does not involve an act or omission by any Borrower or any of its Subsidiaries (as determined by a court of competent jurisdiction by final and non-appealable judgment) other than any claim, action, suit, inquiry, litigation, investigation or proceeding against any Agent, the Collateral Agent, the Arrangers, the Bookrunner or the Issuing Banks in such capacity.</w:t>
      </w:r>
    </w:p>
    <w:p>
      <w:pPr>
        <w:spacing w:after="0" w:line="385" w:lineRule="exact"/>
        <w:rPr>
          <w:sz w:val="20"/>
          <w:szCs w:val="20"/>
          <w:color w:val="auto"/>
        </w:rPr>
      </w:pPr>
    </w:p>
    <w:p>
      <w:pPr>
        <w:jc w:val="both"/>
        <w:ind w:left="80" w:firstLine="1305"/>
        <w:spacing w:after="0" w:line="214" w:lineRule="auto"/>
        <w:tabs>
          <w:tab w:leader="none" w:pos="193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 xml:space="preserve">To the extent that any Loan Party fails to pay any amount required to be paid by it to the Agents or the Issuing Banks under paragraph (b) or (c) of this Section, each Lender severally agrees to pay to the Issuing Bank or such Agent, as the case may be, such Lender’s Applicable Percentage (determined as of the time that the applicable unreimbursed expense or indemnity payment is sought) of such unpaid amount;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unreimbursed expense or indemnified loss, claim, damage, liability or related expense, as the case may be, was incurred by or asserted against such Agent or the Issuing Banks in its capacity as such.</w:t>
      </w:r>
    </w:p>
    <w:p>
      <w:pPr>
        <w:spacing w:after="0" w:line="158" w:lineRule="exact"/>
        <w:rPr>
          <w:rFonts w:ascii="Arial" w:cs="Arial" w:eastAsia="Arial" w:hAnsi="Arial"/>
          <w:sz w:val="22"/>
          <w:szCs w:val="22"/>
          <w:color w:val="auto"/>
        </w:rPr>
      </w:pPr>
    </w:p>
    <w:p>
      <w:pPr>
        <w:ind w:left="1840" w:hanging="455"/>
        <w:spacing w:after="0"/>
        <w:tabs>
          <w:tab w:leader="none" w:pos="184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All amounts due under this Section shall be payable promptly after written demand therefor.</w:t>
      </w:r>
    </w:p>
    <w:p>
      <w:pPr>
        <w:spacing w:after="0" w:line="179"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 xml:space="preserve">Section 10.4 </w:t>
      </w:r>
      <w:r>
        <w:rPr>
          <w:rFonts w:ascii="Arial" w:cs="Arial" w:eastAsia="Arial" w:hAnsi="Arial"/>
          <w:sz w:val="21"/>
          <w:szCs w:val="21"/>
          <w:u w:val="single" w:color="auto"/>
          <w:color w:val="auto"/>
        </w:rPr>
        <w:t>Successors and Assigns</w:t>
      </w:r>
      <w:r>
        <w:rPr>
          <w:rFonts w:ascii="Arial" w:cs="Arial" w:eastAsia="Arial" w:hAnsi="Arial"/>
          <w:sz w:val="21"/>
          <w:szCs w:val="21"/>
          <w:color w:val="auto"/>
        </w:rPr>
        <w:t>. (a) The provisions of this Agreement shall be binding upon and inure to the benefit of the parties hereto and their respective successors and assigns permitted hereby, except that (i) no Borrower may assign or otherwise transfer any of its rights or obligations hereunder without the prior written consent of each Lender and each Issuing Bank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the Related Parties of each of the Agent and the Lenders) any legal or equitable right, remedy or claim under or by reason of this Agreement.</w:t>
      </w:r>
    </w:p>
    <w:p>
      <w:pPr>
        <w:sectPr>
          <w:pgSz w:w="11900" w:h="16838" w:orient="portrait"/>
          <w:cols w:equalWidth="0" w:num="1">
            <w:col w:w="11240"/>
          </w:cols>
          <w:pgMar w:left="320" w:top="1401" w:right="339" w:bottom="1440" w:gutter="0" w:footer="0" w:header="0"/>
        </w:sectPr>
      </w:pPr>
    </w:p>
    <w:bookmarkStart w:id="183" w:name="page184"/>
    <w:bookmarkEnd w:id="183"/>
    <w:p>
      <w:pPr>
        <w:jc w:val="both"/>
        <w:ind w:left="-576" w:firstLine="1305"/>
        <w:spacing w:after="0" w:line="218" w:lineRule="auto"/>
        <w:tabs>
          <w:tab w:leader="none" w:pos="1282" w:val="left"/>
        </w:tabs>
        <w:numPr>
          <w:ilvl w:val="2"/>
          <w:numId w:val="203"/>
        </w:numPr>
        <w:rPr>
          <w:rFonts w:ascii="Arial" w:cs="Arial" w:eastAsia="Arial" w:hAnsi="Arial"/>
          <w:sz w:val="22"/>
          <w:szCs w:val="22"/>
          <w:color w:val="auto"/>
        </w:rPr>
      </w:pPr>
      <w:r>
        <w:rPr>
          <w:rFonts w:ascii="Arial" w:cs="Arial" w:eastAsia="Arial" w:hAnsi="Arial"/>
          <w:sz w:val="22"/>
          <w:szCs w:val="22"/>
          <w:color w:val="auto"/>
        </w:rPr>
        <w:t>(i) Subject to the conditions set forth in paragraph (b)(ii) below, any Lender may assign to one or more assignees (but not to any Borrower or an Affiliate thereof or any natural person) all or a portion of its rights and obligations under this Agreement (including all or a portion of its Commitment and the Loans at the time owing to it) with the prior written consent (such consent not to be unreasonably withheld, conditioned or delayed) of:</w:t>
      </w:r>
    </w:p>
    <w:p>
      <w:pPr>
        <w:spacing w:after="0" w:line="160" w:lineRule="exact"/>
        <w:rPr>
          <w:rFonts w:ascii="Arial" w:cs="Arial" w:eastAsia="Arial" w:hAnsi="Arial"/>
          <w:sz w:val="22"/>
          <w:szCs w:val="22"/>
          <w:color w:val="auto"/>
        </w:rPr>
      </w:pPr>
    </w:p>
    <w:p>
      <w:pPr>
        <w:jc w:val="both"/>
        <w:ind w:left="4" w:firstLine="1292"/>
        <w:spacing w:after="0" w:line="242" w:lineRule="auto"/>
        <w:tabs>
          <w:tab w:leader="none" w:pos="1882" w:val="left"/>
        </w:tabs>
        <w:numPr>
          <w:ilvl w:val="3"/>
          <w:numId w:val="203"/>
        </w:numPr>
        <w:rPr>
          <w:rFonts w:ascii="Arial" w:cs="Arial" w:eastAsia="Arial" w:hAnsi="Arial"/>
          <w:sz w:val="19"/>
          <w:szCs w:val="19"/>
          <w:color w:val="auto"/>
        </w:rPr>
      </w:pPr>
      <w:r>
        <w:rPr>
          <w:rFonts w:ascii="Arial" w:cs="Arial" w:eastAsia="Arial" w:hAnsi="Arial"/>
          <w:sz w:val="19"/>
          <w:szCs w:val="19"/>
          <w:color w:val="auto"/>
        </w:rPr>
        <w:t xml:space="preserve">the Borrowers,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consent of the Borrowers shall be required for an assignment to a Lender, an Affiliate of a Lender, an Approved Fund or, if an Event of Default under paragraph (a), (b), (h) or (i) of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VIII</w:t>
      </w:r>
      <w:r>
        <w:rPr>
          <w:rFonts w:ascii="Arial" w:cs="Arial" w:eastAsia="Arial" w:hAnsi="Arial"/>
          <w:sz w:val="19"/>
          <w:szCs w:val="19"/>
          <w:color w:val="auto"/>
        </w:rPr>
        <w:t xml:space="preserve"> has occurred and is continuing, any other assignee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Borrowers shall be deemed to have consented to any such assignment unless it shall object thereto by written notice to the Administrative Agent within ten</w:t>
      </w:r>
    </w:p>
    <w:p>
      <w:pPr>
        <w:ind w:left="404" w:hanging="404"/>
        <w:spacing w:after="0"/>
        <w:tabs>
          <w:tab w:leader="none" w:pos="404" w:val="left"/>
        </w:tabs>
        <w:numPr>
          <w:ilvl w:val="0"/>
          <w:numId w:val="204"/>
        </w:numPr>
        <w:rPr>
          <w:rFonts w:ascii="Arial" w:cs="Arial" w:eastAsia="Arial" w:hAnsi="Arial"/>
          <w:sz w:val="22"/>
          <w:szCs w:val="22"/>
          <w:color w:val="auto"/>
        </w:rPr>
      </w:pPr>
      <w:r>
        <w:rPr>
          <w:rFonts w:ascii="Arial" w:cs="Arial" w:eastAsia="Arial" w:hAnsi="Arial"/>
          <w:sz w:val="22"/>
          <w:szCs w:val="22"/>
          <w:color w:val="auto"/>
        </w:rPr>
        <w:t>Business Days after having received notice thereof; and</w:t>
      </w:r>
    </w:p>
    <w:p>
      <w:pPr>
        <w:spacing w:after="0" w:line="161" w:lineRule="exact"/>
        <w:rPr>
          <w:rFonts w:ascii="Arial" w:cs="Arial" w:eastAsia="Arial" w:hAnsi="Arial"/>
          <w:sz w:val="22"/>
          <w:szCs w:val="22"/>
          <w:color w:val="auto"/>
        </w:rPr>
      </w:pPr>
    </w:p>
    <w:p>
      <w:pPr>
        <w:ind w:left="4" w:firstLine="1292"/>
        <w:spacing w:after="0" w:line="232" w:lineRule="auto"/>
        <w:tabs>
          <w:tab w:leader="none" w:pos="1830" w:val="left"/>
        </w:tabs>
        <w:numPr>
          <w:ilvl w:val="3"/>
          <w:numId w:val="204"/>
        </w:numPr>
        <w:rPr>
          <w:rFonts w:ascii="Arial" w:cs="Arial" w:eastAsia="Arial" w:hAnsi="Arial"/>
          <w:sz w:val="22"/>
          <w:szCs w:val="22"/>
          <w:color w:val="auto"/>
        </w:rPr>
      </w:pPr>
      <w:r>
        <w:rPr>
          <w:rFonts w:ascii="Arial" w:cs="Arial" w:eastAsia="Arial" w:hAnsi="Arial"/>
          <w:sz w:val="22"/>
          <w:szCs w:val="22"/>
          <w:color w:val="auto"/>
        </w:rPr>
        <w:t xml:space="preserve">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the Administrative Agent shall be required for an assignment to a Lender; and</w:t>
      </w:r>
    </w:p>
    <w:p>
      <w:pPr>
        <w:spacing w:after="0" w:line="158" w:lineRule="exact"/>
        <w:rPr>
          <w:rFonts w:ascii="Arial" w:cs="Arial" w:eastAsia="Arial" w:hAnsi="Arial"/>
          <w:sz w:val="22"/>
          <w:szCs w:val="22"/>
          <w:color w:val="auto"/>
        </w:rPr>
      </w:pPr>
    </w:p>
    <w:p>
      <w:pPr>
        <w:ind w:left="1804" w:hanging="508"/>
        <w:spacing w:after="0"/>
        <w:tabs>
          <w:tab w:leader="none" w:pos="1804" w:val="left"/>
        </w:tabs>
        <w:numPr>
          <w:ilvl w:val="3"/>
          <w:numId w:val="204"/>
        </w:numPr>
        <w:rPr>
          <w:rFonts w:ascii="Arial" w:cs="Arial" w:eastAsia="Arial" w:hAnsi="Arial"/>
          <w:sz w:val="22"/>
          <w:szCs w:val="22"/>
          <w:color w:val="auto"/>
        </w:rPr>
      </w:pPr>
      <w:r>
        <w:rPr>
          <w:rFonts w:ascii="Arial" w:cs="Arial" w:eastAsia="Arial" w:hAnsi="Arial"/>
          <w:sz w:val="22"/>
          <w:szCs w:val="22"/>
          <w:color w:val="auto"/>
        </w:rPr>
        <w:t>each Issuing Bank.</w:t>
      </w:r>
    </w:p>
    <w:p>
      <w:pPr>
        <w:spacing w:after="0" w:line="179" w:lineRule="exact"/>
        <w:rPr>
          <w:rFonts w:ascii="Arial" w:cs="Arial" w:eastAsia="Arial" w:hAnsi="Arial"/>
          <w:sz w:val="22"/>
          <w:szCs w:val="22"/>
          <w:color w:val="auto"/>
        </w:rPr>
      </w:pPr>
    </w:p>
    <w:p>
      <w:pPr>
        <w:ind w:left="1124" w:hanging="476"/>
        <w:spacing w:after="0"/>
        <w:tabs>
          <w:tab w:leader="none" w:pos="1124" w:val="left"/>
        </w:tabs>
        <w:numPr>
          <w:ilvl w:val="1"/>
          <w:numId w:val="204"/>
        </w:numPr>
        <w:rPr>
          <w:rFonts w:ascii="Arial" w:cs="Arial" w:eastAsia="Arial" w:hAnsi="Arial"/>
          <w:sz w:val="22"/>
          <w:szCs w:val="22"/>
          <w:color w:val="auto"/>
        </w:rPr>
      </w:pPr>
      <w:r>
        <w:rPr>
          <w:rFonts w:ascii="Arial" w:cs="Arial" w:eastAsia="Arial" w:hAnsi="Arial"/>
          <w:sz w:val="22"/>
          <w:szCs w:val="22"/>
          <w:color w:val="auto"/>
        </w:rPr>
        <w:t>Assignments shall be subject to the following additional conditions:</w:t>
      </w:r>
    </w:p>
    <w:p>
      <w:pPr>
        <w:spacing w:after="0" w:line="179" w:lineRule="exact"/>
        <w:rPr>
          <w:rFonts w:ascii="Arial" w:cs="Arial" w:eastAsia="Arial" w:hAnsi="Arial"/>
          <w:sz w:val="22"/>
          <w:szCs w:val="22"/>
          <w:color w:val="auto"/>
        </w:rPr>
      </w:pPr>
    </w:p>
    <w:p>
      <w:pPr>
        <w:jc w:val="both"/>
        <w:ind w:left="4" w:firstLine="1292"/>
        <w:spacing w:after="0" w:line="222" w:lineRule="auto"/>
        <w:tabs>
          <w:tab w:leader="none" w:pos="1867" w:val="left"/>
        </w:tabs>
        <w:numPr>
          <w:ilvl w:val="3"/>
          <w:numId w:val="205"/>
        </w:numPr>
        <w:rPr>
          <w:rFonts w:ascii="Arial" w:cs="Arial" w:eastAsia="Arial" w:hAnsi="Arial"/>
          <w:sz w:val="21"/>
          <w:szCs w:val="21"/>
          <w:color w:val="auto"/>
        </w:rPr>
      </w:pPr>
      <w:r>
        <w:rPr>
          <w:rFonts w:ascii="Arial" w:cs="Arial" w:eastAsia="Arial" w:hAnsi="Arial"/>
          <w:sz w:val="21"/>
          <w:szCs w:val="21"/>
          <w:color w:val="auto"/>
        </w:rPr>
        <w:t xml:space="preserve">except in the case of an assignment to a Lender or an Affiliate of a Lender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(or a greater amount that is an integral multiple of $1,000,000) unless each of the Borrowers and the Administrative Agent otherwise consent;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consent of the Borrowers shall be required if an Event of Default under paragraph (a), (b), (h) or (i) of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has occurred and is continuing;</w:t>
      </w:r>
    </w:p>
    <w:p>
      <w:pPr>
        <w:spacing w:after="0" w:line="164" w:lineRule="exact"/>
        <w:rPr>
          <w:rFonts w:ascii="Arial" w:cs="Arial" w:eastAsia="Arial" w:hAnsi="Arial"/>
          <w:sz w:val="21"/>
          <w:szCs w:val="21"/>
          <w:color w:val="auto"/>
        </w:rPr>
      </w:pPr>
    </w:p>
    <w:p>
      <w:pPr>
        <w:ind w:left="4" w:firstLine="1292"/>
        <w:spacing w:after="0" w:line="232" w:lineRule="auto"/>
        <w:tabs>
          <w:tab w:leader="none" w:pos="1867" w:val="left"/>
        </w:tabs>
        <w:numPr>
          <w:ilvl w:val="3"/>
          <w:numId w:val="205"/>
        </w:numPr>
        <w:rPr>
          <w:rFonts w:ascii="Arial" w:cs="Arial" w:eastAsia="Arial" w:hAnsi="Arial"/>
          <w:sz w:val="22"/>
          <w:szCs w:val="22"/>
          <w:color w:val="auto"/>
        </w:rPr>
      </w:pPr>
      <w:r>
        <w:rPr>
          <w:rFonts w:ascii="Arial" w:cs="Arial" w:eastAsia="Arial" w:hAnsi="Arial"/>
          <w:sz w:val="22"/>
          <w:szCs w:val="22"/>
          <w:color w:val="auto"/>
        </w:rPr>
        <w:t>each partial assignment shall be made as an assignment of a proportionate part of all the assigning Lender’s rights and obligations under this Agreement;</w:t>
      </w:r>
    </w:p>
    <w:p>
      <w:pPr>
        <w:spacing w:after="0" w:line="158" w:lineRule="exact"/>
        <w:rPr>
          <w:rFonts w:ascii="Arial" w:cs="Arial" w:eastAsia="Arial" w:hAnsi="Arial"/>
          <w:sz w:val="22"/>
          <w:szCs w:val="22"/>
          <w:color w:val="auto"/>
        </w:rPr>
      </w:pPr>
    </w:p>
    <w:p>
      <w:pPr>
        <w:ind w:left="4" w:firstLine="1292"/>
        <w:spacing w:after="0" w:line="232" w:lineRule="auto"/>
        <w:tabs>
          <w:tab w:leader="none" w:pos="1852" w:val="left"/>
        </w:tabs>
        <w:numPr>
          <w:ilvl w:val="3"/>
          <w:numId w:val="205"/>
        </w:numPr>
        <w:rPr>
          <w:rFonts w:ascii="Arial" w:cs="Arial" w:eastAsia="Arial" w:hAnsi="Arial"/>
          <w:sz w:val="22"/>
          <w:szCs w:val="22"/>
          <w:color w:val="auto"/>
        </w:rPr>
      </w:pPr>
      <w:r>
        <w:rPr>
          <w:rFonts w:ascii="Arial" w:cs="Arial" w:eastAsia="Arial" w:hAnsi="Arial"/>
          <w:sz w:val="22"/>
          <w:szCs w:val="22"/>
          <w:color w:val="auto"/>
        </w:rPr>
        <w:t>the parties to each assignment shall execute and deliver to the Administrative Agent an Assignment and Assumption, together with a processing and recordation fee of $3,500;</w:t>
      </w:r>
    </w:p>
    <w:p>
      <w:pPr>
        <w:spacing w:after="0" w:line="158" w:lineRule="exact"/>
        <w:rPr>
          <w:rFonts w:ascii="Arial" w:cs="Arial" w:eastAsia="Arial" w:hAnsi="Arial"/>
          <w:sz w:val="22"/>
          <w:szCs w:val="22"/>
          <w:color w:val="auto"/>
        </w:rPr>
      </w:pPr>
    </w:p>
    <w:p>
      <w:pPr>
        <w:jc w:val="both"/>
        <w:ind w:left="4" w:firstLine="1292"/>
        <w:spacing w:after="0" w:line="214" w:lineRule="auto"/>
        <w:tabs>
          <w:tab w:leader="none" w:pos="1929" w:val="left"/>
        </w:tabs>
        <w:numPr>
          <w:ilvl w:val="3"/>
          <w:numId w:val="205"/>
        </w:numPr>
        <w:rPr>
          <w:rFonts w:ascii="Arial" w:cs="Arial" w:eastAsia="Arial" w:hAnsi="Arial"/>
          <w:sz w:val="22"/>
          <w:szCs w:val="22"/>
          <w:color w:val="auto"/>
        </w:rPr>
      </w:pPr>
      <w:r>
        <w:rPr>
          <w:rFonts w:ascii="Arial" w:cs="Arial" w:eastAsia="Arial" w:hAnsi="Arial"/>
          <w:sz w:val="22"/>
          <w:szCs w:val="22"/>
          <w:color w:val="auto"/>
        </w:rPr>
        <w:t>the assignee, if it shall not be a Lender, shall deliver to the Administrative Agent any tax forms required by Section 2.16(e) and an Administrative Questionnaire in which the assignee designates one or more credit contacts to whom all syndicate-level information (which may contain material non-public information about the Borrowers and their Related Parties or their respective securities) will be made available and who may receive such information in accordance with the assignee’s compliance procedures and applicable laws, including Federal and state securities laws;</w:t>
      </w:r>
    </w:p>
    <w:p>
      <w:pPr>
        <w:spacing w:after="0" w:line="158" w:lineRule="exact"/>
        <w:rPr>
          <w:rFonts w:ascii="Arial" w:cs="Arial" w:eastAsia="Arial" w:hAnsi="Arial"/>
          <w:sz w:val="22"/>
          <w:szCs w:val="22"/>
          <w:color w:val="auto"/>
        </w:rPr>
      </w:pPr>
    </w:p>
    <w:p>
      <w:pPr>
        <w:jc w:val="both"/>
        <w:ind w:left="4" w:firstLine="1292"/>
        <w:spacing w:after="0" w:line="223" w:lineRule="auto"/>
        <w:tabs>
          <w:tab w:leader="none" w:pos="1864" w:val="left"/>
        </w:tabs>
        <w:numPr>
          <w:ilvl w:val="3"/>
          <w:numId w:val="205"/>
        </w:numPr>
        <w:rPr>
          <w:rFonts w:ascii="Arial" w:cs="Arial" w:eastAsia="Arial" w:hAnsi="Arial"/>
          <w:sz w:val="22"/>
          <w:szCs w:val="22"/>
          <w:color w:val="auto"/>
        </w:rPr>
      </w:pPr>
      <w:r>
        <w:rPr>
          <w:rFonts w:ascii="Arial" w:cs="Arial" w:eastAsia="Arial" w:hAnsi="Arial"/>
          <w:sz w:val="22"/>
          <w:szCs w:val="22"/>
          <w:color w:val="auto"/>
        </w:rPr>
        <w:t>no such assignment shall be made to (i) any Loan Party nor any Affiliate of a Loan Party, (ii) any Defaulting Lender or any of its subsidiaries, or any Person, who, upon becoming a Lender hereunder, would constitute any of the foregoing Persons described in this clause (ii) or (iii) any Disqualified Lender; and</w:t>
      </w:r>
    </w:p>
    <w:p>
      <w:pPr>
        <w:spacing w:after="0" w:line="158" w:lineRule="exact"/>
        <w:rPr>
          <w:rFonts w:ascii="Arial" w:cs="Arial" w:eastAsia="Arial" w:hAnsi="Arial"/>
          <w:sz w:val="22"/>
          <w:szCs w:val="22"/>
          <w:color w:val="auto"/>
        </w:rPr>
      </w:pPr>
    </w:p>
    <w:p>
      <w:pPr>
        <w:ind w:left="4" w:firstLine="1292"/>
        <w:spacing w:after="0" w:line="232" w:lineRule="auto"/>
        <w:tabs>
          <w:tab w:leader="none" w:pos="1818" w:val="left"/>
        </w:tabs>
        <w:numPr>
          <w:ilvl w:val="3"/>
          <w:numId w:val="205"/>
        </w:numPr>
        <w:rPr>
          <w:rFonts w:ascii="Arial" w:cs="Arial" w:eastAsia="Arial" w:hAnsi="Arial"/>
          <w:sz w:val="22"/>
          <w:szCs w:val="22"/>
          <w:color w:val="auto"/>
        </w:rPr>
      </w:pPr>
      <w:r>
        <w:rPr>
          <w:rFonts w:ascii="Arial" w:cs="Arial" w:eastAsia="Arial" w:hAnsi="Arial"/>
          <w:sz w:val="22"/>
          <w:szCs w:val="22"/>
          <w:color w:val="auto"/>
        </w:rPr>
        <w:t>in connection with any assignment of rights and obligations of any Defaulting Lender hereunder, no such assignment shall be effective unless and until, in</w:t>
      </w:r>
    </w:p>
    <w:p>
      <w:pPr>
        <w:sectPr>
          <w:pgSz w:w="11900" w:h="16838" w:orient="portrait"/>
          <w:cols w:equalWidth="0" w:num="1">
            <w:col w:w="10584"/>
          </w:cols>
          <w:pgMar w:left="976" w:top="1401" w:right="339" w:bottom="1440" w:gutter="0" w:footer="0" w:header="0"/>
        </w:sectPr>
      </w:pPr>
    </w:p>
    <w:bookmarkStart w:id="184" w:name="page185"/>
    <w:bookmarkEnd w:id="184"/>
    <w:p>
      <w:pPr>
        <w:jc w:val="both"/>
        <w:ind w:left="660"/>
        <w:spacing w:after="0" w:line="243" w:lineRule="auto"/>
        <w:rPr>
          <w:sz w:val="20"/>
          <w:szCs w:val="20"/>
          <w:color w:val="auto"/>
        </w:rPr>
      </w:pPr>
      <w:r>
        <w:rPr>
          <w:rFonts w:ascii="Arial" w:cs="Arial" w:eastAsia="Arial" w:hAnsi="Arial"/>
          <w:sz w:val="19"/>
          <w:szCs w:val="19"/>
          <w:color w:val="auto"/>
        </w:rPr>
        <w:t xml:space="preserve">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For the purposes of this Section, the term “Approved Fund” has the following meaning:</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xml:space="preserve"> ”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61" w:lineRule="exact"/>
        <w:rPr>
          <w:sz w:val="20"/>
          <w:szCs w:val="20"/>
          <w:color w:val="auto"/>
        </w:rPr>
      </w:pPr>
    </w:p>
    <w:p>
      <w:pPr>
        <w:jc w:val="both"/>
        <w:ind w:left="660" w:firstLine="644"/>
        <w:spacing w:after="0" w:line="242" w:lineRule="auto"/>
        <w:tabs>
          <w:tab w:leader="none" w:pos="1867" w:val="left"/>
        </w:tabs>
        <w:numPr>
          <w:ilvl w:val="0"/>
          <w:numId w:val="206"/>
        </w:numPr>
        <w:rPr>
          <w:rFonts w:ascii="Arial" w:cs="Arial" w:eastAsia="Arial" w:hAnsi="Arial"/>
          <w:sz w:val="19"/>
          <w:szCs w:val="19"/>
          <w:color w:val="auto"/>
        </w:rPr>
      </w:pPr>
      <w:r>
        <w:rPr>
          <w:rFonts w:ascii="Arial" w:cs="Arial" w:eastAsia="Arial" w:hAnsi="Arial"/>
          <w:sz w:val="19"/>
          <w:szCs w:val="19"/>
          <w:color w:val="auto"/>
        </w:rPr>
        <w:t xml:space="preserve">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Section shall be treated for purposes of this Agreement as a sale by such Lender of a participation in such rights and obligations in accordance with paragraph (c) of this Section.</w:t>
      </w:r>
    </w:p>
    <w:p>
      <w:pPr>
        <w:spacing w:after="0" w:line="164" w:lineRule="exact"/>
        <w:rPr>
          <w:rFonts w:ascii="Arial" w:cs="Arial" w:eastAsia="Arial" w:hAnsi="Arial"/>
          <w:sz w:val="19"/>
          <w:szCs w:val="19"/>
          <w:color w:val="auto"/>
        </w:rPr>
      </w:pPr>
    </w:p>
    <w:p>
      <w:pPr>
        <w:jc w:val="both"/>
        <w:ind w:left="660" w:firstLine="644"/>
        <w:spacing w:after="0" w:line="246" w:lineRule="auto"/>
        <w:tabs>
          <w:tab w:leader="none" w:pos="1865" w:val="left"/>
        </w:tabs>
        <w:numPr>
          <w:ilvl w:val="0"/>
          <w:numId w:val="206"/>
        </w:numPr>
        <w:rPr>
          <w:rFonts w:ascii="Arial" w:cs="Arial" w:eastAsia="Arial" w:hAnsi="Arial"/>
          <w:sz w:val="19"/>
          <w:szCs w:val="19"/>
          <w:color w:val="auto"/>
        </w:rPr>
      </w:pPr>
      <w:r>
        <w:rPr>
          <w:rFonts w:ascii="Arial" w:cs="Arial" w:eastAsia="Arial" w:hAnsi="Arial"/>
          <w:sz w:val="19"/>
          <w:szCs w:val="19"/>
          <w:color w:val="auto"/>
        </w:rPr>
        <w:t>The Administrative Agent, acting for this purpose as a non-fiduciary agent of the Borrowers, shall maintain at one of its offices a copy of each Assignment and Assumption delivered to it and a register for the recordation of the names and addresses of the Lenders, and the Commitment of, and amounts on the Loans owing to, and drawings under Letters of Credit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 and the Borrowers, the Administrative Agent, the Issuing Banks and the Lenders shall treat each Person whose name is recorded in the Register pursuant to the terms hereof as a Lender hereunder for all purposes of this Agreement, notwithstanding notice to the contrary. The Register is intended to establish that each Commitment, Loan, Letter of Credit or other obligation is in registered form under Section 5f.103-1(c) of the</w:t>
      </w:r>
    </w:p>
    <w:p>
      <w:pPr>
        <w:sectPr>
          <w:pgSz w:w="11900" w:h="16838" w:orient="portrait"/>
          <w:cols w:equalWidth="0" w:num="1">
            <w:col w:w="11240"/>
          </w:cols>
          <w:pgMar w:left="320" w:top="1401" w:right="339" w:bottom="1440" w:gutter="0" w:footer="0" w:header="0"/>
        </w:sectPr>
      </w:pPr>
    </w:p>
    <w:bookmarkStart w:id="185" w:name="page186"/>
    <w:bookmarkEnd w:id="185"/>
    <w:p>
      <w:pPr>
        <w:jc w:val="both"/>
        <w:ind w:left="571"/>
        <w:spacing w:after="0" w:line="221" w:lineRule="auto"/>
        <w:rPr>
          <w:sz w:val="20"/>
          <w:szCs w:val="20"/>
          <w:color w:val="auto"/>
        </w:rPr>
      </w:pPr>
      <w:r>
        <w:rPr>
          <w:rFonts w:ascii="Arial" w:cs="Arial" w:eastAsia="Arial" w:hAnsi="Arial"/>
          <w:sz w:val="21"/>
          <w:szCs w:val="21"/>
          <w:color w:val="auto"/>
        </w:rPr>
        <w:t xml:space="preserve">United States Treasury Regulations. The Register shall be available for inspection by the Borrowers, any Issuing Bank and any Lender, at any reasonable time and from time to time upon reasonable prior notice. The Borrowers jointly and severally agree to indemnify the Administrative Agent from and against any and all losses, claims, damages and liabilities of whatsoever nature which may be imposed on, asserted against or incurred by the Administrative Agent in performing its duties under this </w:t>
      </w:r>
      <w:r>
        <w:rPr>
          <w:rFonts w:ascii="Arial" w:cs="Arial" w:eastAsia="Arial" w:hAnsi="Arial"/>
          <w:sz w:val="21"/>
          <w:szCs w:val="21"/>
          <w:u w:val="single" w:color="auto"/>
          <w:color w:val="auto"/>
        </w:rPr>
        <w:t>Section 10.4(b)(iv)</w:t>
      </w:r>
      <w:r>
        <w:rPr>
          <w:rFonts w:ascii="Arial" w:cs="Arial" w:eastAsia="Arial" w:hAnsi="Arial"/>
          <w:sz w:val="21"/>
          <w:szCs w:val="21"/>
          <w:color w:val="auto"/>
        </w:rPr>
        <w:t>, except to the extent that such losses, claims, damages or liabilities are determined by a court of competent jurisdiction by final and non-appealable judgment to have resulted from the gross negligence or willful misconduct of the Administrative Agent. The Loans (including principal and interest) are registered obligations and the right, title, and interest of any Lender or its assigns in and to such Loans shall be transferable only upon notation of such transfer in the Register.</w:t>
      </w:r>
    </w:p>
    <w:p>
      <w:pPr>
        <w:spacing w:after="0" w:line="159" w:lineRule="exact"/>
        <w:rPr>
          <w:sz w:val="20"/>
          <w:szCs w:val="20"/>
          <w:color w:val="auto"/>
        </w:rPr>
      </w:pPr>
    </w:p>
    <w:p>
      <w:pPr>
        <w:jc w:val="both"/>
        <w:ind w:left="571" w:firstLine="644"/>
        <w:spacing w:after="0" w:line="244" w:lineRule="auto"/>
        <w:tabs>
          <w:tab w:leader="none" w:pos="1742" w:val="left"/>
        </w:tabs>
        <w:numPr>
          <w:ilvl w:val="1"/>
          <w:numId w:val="207"/>
        </w:numPr>
        <w:rPr>
          <w:rFonts w:ascii="Arial" w:cs="Arial" w:eastAsia="Arial" w:hAnsi="Arial"/>
          <w:sz w:val="19"/>
          <w:szCs w:val="19"/>
          <w:color w:val="auto"/>
        </w:rPr>
      </w:pPr>
      <w:r>
        <w:rPr>
          <w:rFonts w:ascii="Arial" w:cs="Arial" w:eastAsia="Arial" w:hAnsi="Arial"/>
          <w:sz w:val="19"/>
          <w:szCs w:val="19"/>
          <w:color w:val="auto"/>
        </w:rPr>
        <w:t xml:space="preserve">Upon its receipt of a duly completed Assignment and Assumption executed by an assigning Lender and an assignee, the assignee’s completed Administrative Questionnaire and any tax forms required by Section 2.16(e)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either the assigning Lender or the assignee shall have failed to make any payment required to be made by it pursuant to </w:t>
      </w:r>
      <w:r>
        <w:rPr>
          <w:rFonts w:ascii="Arial" w:cs="Arial" w:eastAsia="Arial" w:hAnsi="Arial"/>
          <w:sz w:val="19"/>
          <w:szCs w:val="19"/>
          <w:u w:val="single" w:color="auto"/>
          <w:color w:val="auto"/>
        </w:rPr>
        <w:t>Section 2.6(b)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2.17(d)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10.3(d)</w:t>
      </w:r>
      <w:r>
        <w:rPr>
          <w:rFonts w:ascii="Arial" w:cs="Arial" w:eastAsia="Arial" w:hAnsi="Arial"/>
          <w:sz w:val="19"/>
          <w:szCs w:val="19"/>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54" w:lineRule="exact"/>
        <w:rPr>
          <w:rFonts w:ascii="Arial" w:cs="Arial" w:eastAsia="Arial" w:hAnsi="Arial"/>
          <w:sz w:val="19"/>
          <w:szCs w:val="19"/>
          <w:color w:val="auto"/>
        </w:rPr>
      </w:pPr>
    </w:p>
    <w:p>
      <w:pPr>
        <w:jc w:val="both"/>
        <w:ind w:left="-9" w:firstLine="1305"/>
        <w:spacing w:after="0" w:line="238" w:lineRule="auto"/>
        <w:tabs>
          <w:tab w:leader="none" w:pos="1814" w:val="left"/>
        </w:tabs>
        <w:numPr>
          <w:ilvl w:val="2"/>
          <w:numId w:val="207"/>
        </w:numPr>
        <w:rPr>
          <w:rFonts w:ascii="Arial" w:cs="Arial" w:eastAsia="Arial" w:hAnsi="Arial"/>
          <w:sz w:val="19"/>
          <w:szCs w:val="19"/>
          <w:color w:val="auto"/>
        </w:rPr>
      </w:pPr>
      <w:r>
        <w:rPr>
          <w:rFonts w:ascii="Arial" w:cs="Arial" w:eastAsia="Arial" w:hAnsi="Arial"/>
          <w:sz w:val="19"/>
          <w:szCs w:val="19"/>
          <w:color w:val="auto"/>
        </w:rPr>
        <w:t>(i) Any Lender may, without the consent of, or notice to, the Borrowers or the Administrative Agent, sell participations to one or more banks or other entities (but not to any Borrower or an Affiliate thereof or any natural person)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 obligations under this Agreement (including all or a portion of its Commitment and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Lender’s obligations under this Agreement shall remain unchanged, (B) such Lender shall remain solely responsible to the other parties hereto for the performance of such obligations and (C) the Borrowers,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or any other Loan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9"/>
          <w:szCs w:val="19"/>
          <w:u w:val="single" w:color="auto"/>
          <w:color w:val="auto"/>
        </w:rPr>
        <w:t>Section 10.2(b)</w:t>
      </w:r>
      <w:r>
        <w:rPr>
          <w:rFonts w:ascii="Arial" w:cs="Arial" w:eastAsia="Arial" w:hAnsi="Arial"/>
          <w:sz w:val="19"/>
          <w:szCs w:val="19"/>
          <w:color w:val="auto"/>
        </w:rPr>
        <w:t xml:space="preserve"> that affects such Participant. Subject to paragraph (c)(ii) of this Section, the Borrowers agree that each Participant shall be entitled to the benefits of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(subject to the requirements and limitations therein, including the requirements under Section 2.16(e) (it being understood and agreed that the documentation required under Section 2.16(e) shall be delivered to the participating Lender)) to the same extent as if it were a Lender and had acquired its interest by assignment pursuant to paragraph</w:t>
      </w:r>
    </w:p>
    <w:p>
      <w:pPr>
        <w:spacing w:after="0" w:line="8" w:lineRule="exact"/>
        <w:rPr>
          <w:rFonts w:ascii="Arial" w:cs="Arial" w:eastAsia="Arial" w:hAnsi="Arial"/>
          <w:sz w:val="19"/>
          <w:szCs w:val="19"/>
          <w:color w:val="auto"/>
        </w:rPr>
      </w:pPr>
    </w:p>
    <w:p>
      <w:pPr>
        <w:jc w:val="both"/>
        <w:ind w:left="-9" w:firstLine="9"/>
        <w:spacing w:after="0" w:line="214" w:lineRule="auto"/>
        <w:tabs>
          <w:tab w:leader="none" w:pos="300" w:val="left"/>
        </w:tabs>
        <w:numPr>
          <w:ilvl w:val="0"/>
          <w:numId w:val="208"/>
        </w:numPr>
        <w:rPr>
          <w:rFonts w:ascii="Arial" w:cs="Arial" w:eastAsia="Arial" w:hAnsi="Arial"/>
          <w:sz w:val="22"/>
          <w:szCs w:val="22"/>
          <w:color w:val="auto"/>
        </w:rPr>
      </w:pPr>
      <w:r>
        <w:rPr>
          <w:rFonts w:ascii="Arial" w:cs="Arial" w:eastAsia="Arial" w:hAnsi="Arial"/>
          <w:sz w:val="22"/>
          <w:szCs w:val="22"/>
          <w:color w:val="auto"/>
        </w:rPr>
        <w:t xml:space="preserve">of this Section; provided that such Participant agrees to be subject to the provisions of Section 10.12 as if it were an assignee under paragraph (b) of this Section. To the extent permitted by law, each Participant also shall be entitled to the benefits of </w:t>
      </w:r>
      <w:r>
        <w:rPr>
          <w:rFonts w:ascii="Arial" w:cs="Arial" w:eastAsia="Arial" w:hAnsi="Arial"/>
          <w:sz w:val="22"/>
          <w:szCs w:val="22"/>
          <w:u w:val="single" w:color="auto"/>
          <w:color w:val="auto"/>
        </w:rPr>
        <w:t>Section 10.8</w:t>
      </w:r>
      <w:r>
        <w:rPr>
          <w:rFonts w:ascii="Arial" w:cs="Arial" w:eastAsia="Arial" w:hAnsi="Arial"/>
          <w:sz w:val="22"/>
          <w:szCs w:val="22"/>
          <w:color w:val="auto"/>
        </w:rPr>
        <w:t xml:space="preserve"> as though it were a Lender,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Participant agrees to be subject to </w:t>
      </w:r>
      <w:r>
        <w:rPr>
          <w:rFonts w:ascii="Arial" w:cs="Arial" w:eastAsia="Arial" w:hAnsi="Arial"/>
          <w:sz w:val="22"/>
          <w:szCs w:val="22"/>
          <w:u w:val="single" w:color="auto"/>
          <w:color w:val="auto"/>
        </w:rPr>
        <w:t>Section 2.17(c)</w:t>
      </w:r>
      <w:r>
        <w:rPr>
          <w:rFonts w:ascii="Arial" w:cs="Arial" w:eastAsia="Arial" w:hAnsi="Arial"/>
          <w:sz w:val="22"/>
          <w:szCs w:val="22"/>
          <w:color w:val="auto"/>
        </w:rPr>
        <w:t xml:space="preserve"> as though it were a Lender.</w:t>
      </w:r>
    </w:p>
    <w:p>
      <w:pPr>
        <w:sectPr>
          <w:pgSz w:w="11900" w:h="16838" w:orient="portrait"/>
          <w:cols w:equalWidth="0" w:num="1">
            <w:col w:w="11151"/>
          </w:cols>
          <w:pgMar w:left="409" w:top="1401" w:right="339" w:bottom="1440" w:gutter="0" w:footer="0" w:header="0"/>
        </w:sectPr>
      </w:pPr>
    </w:p>
    <w:bookmarkStart w:id="186" w:name="page187"/>
    <w:bookmarkEnd w:id="186"/>
    <w:p>
      <w:pPr>
        <w:jc w:val="both"/>
        <w:ind w:left="-460" w:firstLine="644"/>
        <w:spacing w:after="0" w:line="221" w:lineRule="auto"/>
        <w:tabs>
          <w:tab w:leader="none" w:pos="692" w:val="left"/>
        </w:tabs>
        <w:numPr>
          <w:ilvl w:val="0"/>
          <w:numId w:val="209"/>
        </w:numPr>
        <w:rPr>
          <w:rFonts w:ascii="Arial" w:cs="Arial" w:eastAsia="Arial" w:hAnsi="Arial"/>
          <w:sz w:val="21"/>
          <w:szCs w:val="21"/>
          <w:color w:val="auto"/>
        </w:rPr>
      </w:pPr>
      <w:r>
        <w:rPr>
          <w:rFonts w:ascii="Arial" w:cs="Arial" w:eastAsia="Arial" w:hAnsi="Arial"/>
          <w:sz w:val="21"/>
          <w:szCs w:val="21"/>
          <w:color w:val="auto"/>
        </w:rPr>
        <w:t xml:space="preserve">The Borrowers agree that each Participant shall be entitled to the benefits of Sections 2.14 and 2.16 (subject to the requirements and limitations therein, including the requirements under Section 2.16(e) (it being understood that the documentation required under Section 2.16(e) shall be delivered to the participating Lender)) to the same extent as if it were a Lender and had acquired its interest by assignment pursuant to paragraph (b) of this Section; </w:t>
      </w:r>
      <w:r>
        <w:rPr>
          <w:rFonts w:ascii="Arial" w:cs="Arial" w:eastAsia="Arial" w:hAnsi="Arial"/>
          <w:sz w:val="21"/>
          <w:szCs w:val="21"/>
          <w:u w:val="single" w:color="auto"/>
          <w:color w:val="auto"/>
        </w:rPr>
        <w:t>provided</w:t>
      </w:r>
      <w:r>
        <w:rPr>
          <w:rFonts w:ascii="Arial" w:cs="Arial" w:eastAsia="Arial" w:hAnsi="Arial"/>
          <w:sz w:val="21"/>
          <w:szCs w:val="21"/>
          <w:color w:val="auto"/>
        </w:rPr>
        <w:t>, that a Participant shall not be entitled to receive any greater payment under Section 2.14 or Section 2.16 than the applicable Lender would have been entitled to receive with respect to the participation sold to such Participant except to the extent such entitlement to receive a greater payment results from a Change in Law that occurs after the Participant acquired the applicable participation.</w:t>
      </w:r>
    </w:p>
    <w:p>
      <w:pPr>
        <w:spacing w:after="0" w:line="165" w:lineRule="exact"/>
        <w:rPr>
          <w:rFonts w:ascii="Arial" w:cs="Arial" w:eastAsia="Arial" w:hAnsi="Arial"/>
          <w:sz w:val="21"/>
          <w:szCs w:val="21"/>
          <w:color w:val="auto"/>
        </w:rPr>
      </w:pPr>
    </w:p>
    <w:p>
      <w:pPr>
        <w:jc w:val="both"/>
        <w:ind w:left="-460" w:firstLine="644"/>
        <w:spacing w:after="0" w:line="242" w:lineRule="auto"/>
        <w:tabs>
          <w:tab w:leader="none" w:pos="754" w:val="left"/>
        </w:tabs>
        <w:numPr>
          <w:ilvl w:val="0"/>
          <w:numId w:val="209"/>
        </w:numPr>
        <w:rPr>
          <w:rFonts w:ascii="Arial" w:cs="Arial" w:eastAsia="Arial" w:hAnsi="Arial"/>
          <w:sz w:val="19"/>
          <w:szCs w:val="19"/>
          <w:color w:val="auto"/>
        </w:rPr>
      </w:pPr>
      <w:r>
        <w:rPr>
          <w:rFonts w:ascii="Arial" w:cs="Arial" w:eastAsia="Arial" w:hAnsi="Arial"/>
          <w:sz w:val="19"/>
          <w:szCs w:val="19"/>
          <w:color w:val="auto"/>
        </w:rPr>
        <w:t>Each Lender that sells a participation shall, acting solely for United States federal income tax purposes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64" w:lineRule="exact"/>
        <w:rPr>
          <w:rFonts w:ascii="Arial" w:cs="Arial" w:eastAsia="Arial" w:hAnsi="Arial"/>
          <w:sz w:val="19"/>
          <w:szCs w:val="19"/>
          <w:color w:val="auto"/>
        </w:rPr>
      </w:pPr>
    </w:p>
    <w:p>
      <w:pPr>
        <w:jc w:val="both"/>
        <w:ind w:left="-1040" w:firstLine="1305"/>
        <w:spacing w:after="0" w:line="216" w:lineRule="auto"/>
        <w:tabs>
          <w:tab w:leader="none" w:pos="749" w:val="left"/>
        </w:tabs>
        <w:numPr>
          <w:ilvl w:val="1"/>
          <w:numId w:val="209"/>
        </w:numPr>
        <w:rPr>
          <w:rFonts w:ascii="Arial" w:cs="Arial" w:eastAsia="Arial" w:hAnsi="Arial"/>
          <w:sz w:val="22"/>
          <w:szCs w:val="22"/>
          <w:color w:val="auto"/>
        </w:rPr>
      </w:pPr>
      <w:r>
        <w:rPr>
          <w:rFonts w:ascii="Arial" w:cs="Arial" w:eastAsia="Arial" w:hAnsi="Arial"/>
          <w:sz w:val="22"/>
          <w:szCs w:val="22"/>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157" w:lineRule="exact"/>
        <w:rPr>
          <w:rFonts w:ascii="Arial" w:cs="Arial" w:eastAsia="Arial" w:hAnsi="Arial"/>
          <w:sz w:val="22"/>
          <w:szCs w:val="22"/>
          <w:color w:val="auto"/>
        </w:rPr>
      </w:pPr>
    </w:p>
    <w:p>
      <w:pPr>
        <w:jc w:val="both"/>
        <w:ind w:left="-1040" w:firstLine="1305"/>
        <w:spacing w:after="0" w:line="244" w:lineRule="auto"/>
        <w:tabs>
          <w:tab w:leader="none" w:pos="728" w:val="left"/>
        </w:tabs>
        <w:numPr>
          <w:ilvl w:val="1"/>
          <w:numId w:val="209"/>
        </w:numPr>
        <w:rPr>
          <w:rFonts w:ascii="Arial" w:cs="Arial" w:eastAsia="Arial" w:hAnsi="Arial"/>
          <w:sz w:val="19"/>
          <w:szCs w:val="19"/>
          <w:color w:val="auto"/>
        </w:rPr>
      </w:pPr>
      <w:r>
        <w:rPr>
          <w:rFonts w:ascii="Arial" w:cs="Arial" w:eastAsia="Arial" w:hAnsi="Arial"/>
          <w:sz w:val="19"/>
          <w:szCs w:val="19"/>
          <w:color w:val="auto"/>
        </w:rPr>
        <w:t>(i) No assignment or participation shall be made to any Person that was a Disqualified Lender as of the date (the “</w:t>
      </w:r>
      <w:r>
        <w:rPr>
          <w:rFonts w:ascii="Arial" w:cs="Arial" w:eastAsia="Arial" w:hAnsi="Arial"/>
          <w:sz w:val="19"/>
          <w:szCs w:val="19"/>
          <w:u w:val="single" w:color="auto"/>
          <w:color w:val="auto"/>
        </w:rPr>
        <w:t>Trade Date</w:t>
      </w:r>
      <w:r>
        <w:rPr>
          <w:rFonts w:ascii="Arial" w:cs="Arial" w:eastAsia="Arial" w:hAnsi="Arial"/>
          <w:sz w:val="19"/>
          <w:szCs w:val="19"/>
          <w:color w:val="auto"/>
        </w:rPr>
        <w:t>”) on which the assigning Lender entered into a binding agreement to sell and assign all or a portion of its rights and obligations under this Agreement to such Person (unless the Borrowers have consented to such assignment in writing in its sole and absolute discretion, in which case such Person will not be considered a Disqualified Lender for the purpose of such assignment or participation). For the avoidance of doubt, with respect to any assignee that becomes a Disqualified Lender after the applicable Trade Date (including as a result of the delivery of a notice pursuant to, and/or the expiration of the notice period referred to in, the definition of “Disqualified Lender”), (A) such assignee shall not retroactively be disqualified from becoming a Lender and (B) the execution by the Borrowers of an Assignment and Assumption with respect to such assignee will not by itself result in such assignee no longer being considered a Disqualified Lender. Any assignment in violation of this clause (e)(i) shall not be void, but the other provisions of this clause (e) shall apply.</w:t>
      </w:r>
    </w:p>
    <w:p>
      <w:pPr>
        <w:spacing w:after="0" w:line="155" w:lineRule="exact"/>
        <w:rPr>
          <w:sz w:val="20"/>
          <w:szCs w:val="20"/>
          <w:color w:val="auto"/>
        </w:rPr>
      </w:pPr>
    </w:p>
    <w:p>
      <w:pPr>
        <w:jc w:val="both"/>
        <w:ind w:left="-460" w:firstLine="644"/>
        <w:spacing w:after="0" w:line="268" w:lineRule="auto"/>
        <w:tabs>
          <w:tab w:leader="none" w:pos="721" w:val="left"/>
        </w:tabs>
        <w:numPr>
          <w:ilvl w:val="0"/>
          <w:numId w:val="210"/>
        </w:numPr>
        <w:rPr>
          <w:rFonts w:ascii="Arial" w:cs="Arial" w:eastAsia="Arial" w:hAnsi="Arial"/>
          <w:sz w:val="19"/>
          <w:szCs w:val="19"/>
          <w:color w:val="auto"/>
        </w:rPr>
      </w:pPr>
      <w:r>
        <w:rPr>
          <w:rFonts w:ascii="Arial" w:cs="Arial" w:eastAsia="Arial" w:hAnsi="Arial"/>
          <w:sz w:val="19"/>
          <w:szCs w:val="19"/>
          <w:color w:val="auto"/>
        </w:rPr>
        <w:t>If any assignment or participation is made to any Disqualified Lender without the Borrowers’ prior written consent in violation of clause (e)(i) above, or if any Person becomes a Disqualified Lender after the applicable Trade Date, the Borrowers may, at their sole expense and effort, upon notice to the applicable Disqualified Lender</w:t>
      </w:r>
    </w:p>
    <w:p>
      <w:pPr>
        <w:sectPr>
          <w:pgSz w:w="11900" w:h="16838" w:orient="portrait"/>
          <w:cols w:equalWidth="0" w:num="1">
            <w:col w:w="10120"/>
          </w:cols>
          <w:pgMar w:left="1440" w:top="1401" w:right="339" w:bottom="1440" w:gutter="0" w:footer="0" w:header="0"/>
        </w:sectPr>
      </w:pPr>
    </w:p>
    <w:bookmarkStart w:id="187" w:name="page188"/>
    <w:bookmarkEnd w:id="187"/>
    <w:p>
      <w:pPr>
        <w:jc w:val="both"/>
        <w:ind w:left="660"/>
        <w:spacing w:after="0" w:line="246" w:lineRule="auto"/>
        <w:rPr>
          <w:sz w:val="20"/>
          <w:szCs w:val="20"/>
          <w:color w:val="auto"/>
        </w:rPr>
      </w:pPr>
      <w:r>
        <w:rPr>
          <w:rFonts w:ascii="Arial" w:cs="Arial" w:eastAsia="Arial" w:hAnsi="Arial"/>
          <w:sz w:val="19"/>
          <w:szCs w:val="19"/>
          <w:color w:val="auto"/>
        </w:rPr>
        <w:t>and the Administrative Agent, (A) in the case of outstanding Loans held by Disqualified Lenders, purchase or prepay such Loans by paying the lesser of (x) the principal amount thereof and (y) the amount that such Disqualified Lender paid to acquire such Loans, in each case plus accrued interest, accrued fees and all other amounts (other than principal amounts) payable to it hereunder and/or (B) require such Disqualified Lender to assign, without recourse (in accordance with and subject to the restrictions contained in this Section 10.4), all of its interest, rights and obligations under this Agreement to one or more Persons at the lesser of (x) the principal amount thereof and (y) the amount that such Disqualified Lender paid to acquire such interests, rights and obligations, in each case plus accrued interest, accrued fees and all other amounts (other than principal amounts) payable to it hereunder.</w:t>
      </w:r>
    </w:p>
    <w:p>
      <w:pPr>
        <w:spacing w:after="0" w:line="152" w:lineRule="exact"/>
        <w:rPr>
          <w:sz w:val="20"/>
          <w:szCs w:val="20"/>
          <w:color w:val="auto"/>
        </w:rPr>
      </w:pPr>
    </w:p>
    <w:p>
      <w:pPr>
        <w:jc w:val="both"/>
        <w:ind w:left="660" w:firstLine="644"/>
        <w:spacing w:after="0" w:line="243" w:lineRule="auto"/>
        <w:tabs>
          <w:tab w:leader="none" w:pos="1858" w:val="left"/>
        </w:tabs>
        <w:numPr>
          <w:ilvl w:val="1"/>
          <w:numId w:val="211"/>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Agreement, Disqualified Lenders (A) will not (x) have the right to receive information, reports or other materials provided to Lenders by the Borrowers, the Administrative Agent or any other Lender, (y) attend or participate in meetings attended by the Lenders and the Administrative Agent, or</w:t>
      </w:r>
    </w:p>
    <w:p>
      <w:pPr>
        <w:spacing w:after="0" w:line="2" w:lineRule="exact"/>
        <w:rPr>
          <w:rFonts w:ascii="Arial" w:cs="Arial" w:eastAsia="Arial" w:hAnsi="Arial"/>
          <w:sz w:val="19"/>
          <w:szCs w:val="19"/>
          <w:color w:val="auto"/>
        </w:rPr>
      </w:pPr>
    </w:p>
    <w:p>
      <w:pPr>
        <w:jc w:val="both"/>
        <w:ind w:left="660" w:hanging="4"/>
        <w:spacing w:after="0"/>
        <w:tabs>
          <w:tab w:leader="none" w:pos="983" w:val="left"/>
        </w:tabs>
        <w:numPr>
          <w:ilvl w:val="0"/>
          <w:numId w:val="212"/>
        </w:numPr>
        <w:rPr>
          <w:rFonts w:ascii="Arial" w:cs="Arial" w:eastAsia="Arial" w:hAnsi="Arial"/>
          <w:sz w:val="19"/>
          <w:szCs w:val="19"/>
          <w:color w:val="auto"/>
        </w:rPr>
      </w:pPr>
      <w:r>
        <w:rPr>
          <w:rFonts w:ascii="Arial" w:cs="Arial" w:eastAsia="Arial" w:hAnsi="Arial"/>
          <w:sz w:val="19"/>
          <w:szCs w:val="19"/>
          <w:color w:val="auto"/>
        </w:rPr>
        <w:t>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Lender will be deemed to have consented in the same proportion as the Lenders that are not Disqualified Lenders consented to such matter, and (y) for purposes of voting on any plan of reorganization or plan of liquidation pursuant to any Debtor Relief Laws, each Disqualified Lender party hereto hereby agrees (1) not to vote on such plan, (2) if such Disqualified Lender does vote on such plan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spacing w:after="0" w:line="166" w:lineRule="exact"/>
        <w:rPr>
          <w:sz w:val="20"/>
          <w:szCs w:val="20"/>
          <w:color w:val="auto"/>
        </w:rPr>
      </w:pPr>
    </w:p>
    <w:p>
      <w:pPr>
        <w:jc w:val="both"/>
        <w:ind w:left="660" w:firstLine="644"/>
        <w:spacing w:after="0" w:line="247" w:lineRule="auto"/>
        <w:tabs>
          <w:tab w:leader="none" w:pos="2088" w:val="left"/>
        </w:tabs>
        <w:numPr>
          <w:ilvl w:val="0"/>
          <w:numId w:val="213"/>
        </w:numPr>
        <w:rPr>
          <w:rFonts w:ascii="Arial" w:cs="Arial" w:eastAsia="Arial" w:hAnsi="Arial"/>
          <w:sz w:val="19"/>
          <w:szCs w:val="19"/>
          <w:color w:val="auto"/>
        </w:rPr>
      </w:pPr>
      <w:r>
        <w:rPr>
          <w:rFonts w:ascii="Arial" w:cs="Arial" w:eastAsia="Arial" w:hAnsi="Arial"/>
          <w:sz w:val="19"/>
          <w:szCs w:val="19"/>
          <w:color w:val="auto"/>
        </w:rPr>
        <w:t>The Administrative Agent shall have the right, and the Borrowers hereby expressly authorize the Administrative Agent to (1) post the list of Disqualified Lenders provided by the Borrowers and any updates thereto from time to time (collectively, the “</w:t>
      </w:r>
      <w:r>
        <w:rPr>
          <w:rFonts w:ascii="Arial" w:cs="Arial" w:eastAsia="Arial" w:hAnsi="Arial"/>
          <w:sz w:val="19"/>
          <w:szCs w:val="19"/>
          <w:u w:val="single" w:color="auto"/>
          <w:color w:val="auto"/>
        </w:rPr>
        <w:t>DQ List</w:t>
      </w:r>
      <w:r>
        <w:rPr>
          <w:rFonts w:ascii="Arial" w:cs="Arial" w:eastAsia="Arial" w:hAnsi="Arial"/>
          <w:sz w:val="19"/>
          <w:szCs w:val="19"/>
          <w:color w:val="auto"/>
        </w:rPr>
        <w:t xml:space="preserve">”) on the Platform and/or (2) provide the DQ List to each Lender requesting the same (including for the purpose of sharing with potential assignees and participants). The parties to this Agreement hereby acknowledge and agree that the Administrative Agent will not have </w:t>
      </w:r>
      <w:r>
        <w:rPr>
          <w:rFonts w:ascii="Arial" w:cs="Arial" w:eastAsia="Arial" w:hAnsi="Arial"/>
          <w:sz w:val="17"/>
          <w:szCs w:val="17"/>
          <w:color w:val="auto"/>
        </w:rPr>
        <w:t>any duty</w:t>
      </w:r>
      <w:r>
        <w:rPr>
          <w:rFonts w:ascii="Arial" w:cs="Arial" w:eastAsia="Arial" w:hAnsi="Arial"/>
          <w:sz w:val="19"/>
          <w:szCs w:val="19"/>
          <w:color w:val="auto"/>
        </w:rPr>
        <w:t xml:space="preserve"> to ascertain, monitor or enforce compliance with the DQ List or any duty, responsibility or liability to monitor or enforce assignments, participations or other actions in respect of Disqualified Lenders, or otherwise take (or omit to take) any action with respect thereto.</w:t>
      </w:r>
    </w:p>
    <w:p>
      <w:pPr>
        <w:spacing w:after="0" w:line="154"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 xml:space="preserve">Section 10.5 </w:t>
      </w:r>
      <w:r>
        <w:rPr>
          <w:rFonts w:ascii="Arial" w:cs="Arial" w:eastAsia="Arial" w:hAnsi="Arial"/>
          <w:sz w:val="22"/>
          <w:szCs w:val="22"/>
          <w:u w:val="single" w:color="auto"/>
          <w:color w:val="auto"/>
        </w:rPr>
        <w:t>Survival</w:t>
      </w:r>
      <w:r>
        <w:rPr>
          <w:rFonts w:ascii="Arial" w:cs="Arial" w:eastAsia="Arial" w:hAnsi="Arial"/>
          <w:sz w:val="22"/>
          <w:szCs w:val="22"/>
          <w:color w:val="auto"/>
        </w:rPr>
        <w:t>. All covenants, agreements, representations and warranties made by the Loan Parties herein or in the other Loan Documents and in the certificates or other instruments delivered in connection with or pursuant to this Agreement or any other Loan Document shall be considered to have been relied upon by the other parties hereto and shall survive the execution and delivery of this Agreement and the making of any Loans and issuance or any Letters of Credit, regardless of any investigation made by any such other party or on its behalf and notwithstanding that the Agent, the Issuing Bank or any Lender</w:t>
      </w:r>
    </w:p>
    <w:p>
      <w:pPr>
        <w:sectPr>
          <w:pgSz w:w="11900" w:h="16838" w:orient="portrait"/>
          <w:cols w:equalWidth="0" w:num="1">
            <w:col w:w="11240"/>
          </w:cols>
          <w:pgMar w:left="320" w:top="1401" w:right="339" w:bottom="1440" w:gutter="0" w:footer="0" w:header="0"/>
        </w:sectPr>
      </w:pPr>
    </w:p>
    <w:bookmarkStart w:id="188" w:name="page189"/>
    <w:bookmarkEnd w:id="188"/>
    <w:p>
      <w:pPr>
        <w:jc w:val="both"/>
        <w:spacing w:after="0" w:line="246" w:lineRule="auto"/>
        <w:rPr>
          <w:sz w:val="20"/>
          <w:szCs w:val="20"/>
          <w:color w:val="auto"/>
        </w:rPr>
      </w:pPr>
      <w:r>
        <w:rPr>
          <w:rFonts w:ascii="Arial" w:cs="Arial" w:eastAsia="Arial" w:hAnsi="Arial"/>
          <w:sz w:val="19"/>
          <w:szCs w:val="19"/>
          <w:color w:val="auto"/>
        </w:rPr>
        <w:t xml:space="preserve">may have had notice or knowledge of any Default or incorrect representation or warranty at the time any Loan Document is executed and delivered or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shall survive and remain in full force and effect regardless of the consummation of the transactions contemplated hereby, the repayment of the Loans, the expiration or termination of the Commitments, the cancellation or expiration of the Letters of Credit and the reimbursement of any amounts drawn thereunder, the resignation of any Agent, the replacement of any Lender, or the termination of this Agreement or any provision hereof.</w:t>
      </w:r>
    </w:p>
    <w:p>
      <w:pPr>
        <w:spacing w:after="0" w:line="152"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 xml:space="preserve">Section 10.6 </w:t>
      </w:r>
      <w:r>
        <w:rPr>
          <w:rFonts w:ascii="Arial" w:cs="Arial" w:eastAsia="Arial" w:hAnsi="Arial"/>
          <w:sz w:val="22"/>
          <w:szCs w:val="22"/>
          <w:u w:val="single" w:color="auto"/>
          <w:color w:val="auto"/>
        </w:rPr>
        <w:t>Integration; Effectiveness</w:t>
      </w:r>
      <w:r>
        <w:rPr>
          <w:rFonts w:ascii="Arial" w:cs="Arial" w:eastAsia="Arial" w:hAnsi="Arial"/>
          <w:sz w:val="22"/>
          <w:szCs w:val="22"/>
          <w:color w:val="auto"/>
        </w:rPr>
        <w:t xml:space="preserve">. This Agreement, the other Loan Documents and any separate letter agreements with respect to fees payable to the Agent constitute the entire contract among the parties relating to the subject matter hereof and supersede any and all previous agreements and understandings, oral or written, relating to the subject matter hereof. This Agreement shall become effective as provided in </w:t>
      </w:r>
      <w:r>
        <w:rPr>
          <w:rFonts w:ascii="Arial" w:cs="Arial" w:eastAsia="Arial" w:hAnsi="Arial"/>
          <w:sz w:val="22"/>
          <w:szCs w:val="22"/>
          <w:u w:val="single" w:color="auto"/>
          <w:color w:val="auto"/>
        </w:rPr>
        <w:t>Section 4.1</w:t>
      </w:r>
      <w:r>
        <w:rPr>
          <w:rFonts w:ascii="Arial" w:cs="Arial" w:eastAsia="Arial" w:hAnsi="Arial"/>
          <w:sz w:val="22"/>
          <w:szCs w:val="22"/>
          <w:color w:val="auto"/>
        </w:rPr>
        <w:t>.</w:t>
      </w:r>
    </w:p>
    <w:p>
      <w:pPr>
        <w:spacing w:after="0" w:line="161"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 xml:space="preserve">Section 10.7 </w:t>
      </w:r>
      <w:r>
        <w:rPr>
          <w:rFonts w:ascii="Arial" w:cs="Arial" w:eastAsia="Arial" w:hAnsi="Arial"/>
          <w:sz w:val="21"/>
          <w:szCs w:val="21"/>
          <w:u w:val="single" w:color="auto"/>
          <w:color w:val="auto"/>
        </w:rPr>
        <w:t>Severability</w:t>
      </w:r>
      <w:r>
        <w:rPr>
          <w:rFonts w:ascii="Arial" w:cs="Arial" w:eastAsia="Arial" w:hAnsi="Arial"/>
          <w:sz w:val="21"/>
          <w:szCs w:val="21"/>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Section,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164"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 xml:space="preserve">Section 10.8 </w:t>
      </w:r>
      <w:r>
        <w:rPr>
          <w:rFonts w:ascii="Arial" w:cs="Arial" w:eastAsia="Arial" w:hAnsi="Arial"/>
          <w:sz w:val="19"/>
          <w:szCs w:val="19"/>
          <w:u w:val="single" w:color="auto"/>
          <w:color w:val="auto"/>
        </w:rPr>
        <w:t>Right of Setoff</w:t>
      </w:r>
      <w:r>
        <w:rPr>
          <w:rFonts w:ascii="Arial" w:cs="Arial" w:eastAsia="Arial" w:hAnsi="Arial"/>
          <w:sz w:val="19"/>
          <w:szCs w:val="19"/>
          <w:color w:val="auto"/>
        </w:rPr>
        <w:t xml:space="preserve">. If an Event of Default shall have occurred and be continuing, each Lender, each Issuing Bank and each of its respective Affiliates is hereby authorized at any time and from time to time, to the fullest extent permitted by applicable law, to set off and apply any and all deposits (general or special, time or demand, provisional or final, in whatever currency) or other amounts at any time held by, and other obligations (in whatever currency) at any time owing by such Lender, Issuing Bank or Affiliate to or for the credit or the account of any Loan Party against any of and all the obligations of such Loan Party now or hereafter existing under this Agreement or any other Loan Document held by such Lender or Issuing Bank, irrespective of whether or not such Lender or Issuing Bank shall have made any demand under this Agreement or such other Loan Document and although such obligations may be unmatured;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obligations owing to such Defaulting Lender as to which it exercised such right of setoff. The rights of each Lender and Issuing Bank under this Section are in addition to other rights and remedies (including other rights of setoff) which such Lender or Issuing Bank may have. Each Lender and Issuing Bank agrees to notify the Borrowers and the Administrative Agent promptly after any such setoff and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w:t>
      </w:r>
    </w:p>
    <w:p>
      <w:pPr>
        <w:spacing w:after="0" w:line="372"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 xml:space="preserve">Section 10.9 </w:t>
      </w:r>
      <w:r>
        <w:rPr>
          <w:rFonts w:ascii="Arial" w:cs="Arial" w:eastAsia="Arial" w:hAnsi="Arial"/>
          <w:sz w:val="22"/>
          <w:szCs w:val="22"/>
          <w:u w:val="single" w:color="auto"/>
          <w:color w:val="auto"/>
        </w:rPr>
        <w:t>Governing Law; Jurisdiction; Consent to Service of Process</w:t>
      </w:r>
      <w:r>
        <w:rPr>
          <w:rFonts w:ascii="Arial" w:cs="Arial" w:eastAsia="Arial" w:hAnsi="Arial"/>
          <w:sz w:val="22"/>
          <w:szCs w:val="22"/>
          <w:color w:val="auto"/>
        </w:rPr>
        <w:t xml:space="preserve">. (a) </w:t>
      </w:r>
      <w:r>
        <w:rPr>
          <w:rFonts w:ascii="Arial" w:cs="Arial" w:eastAsia="Arial" w:hAnsi="Arial"/>
          <w:sz w:val="22"/>
          <w:szCs w:val="22"/>
          <w:b w:val="1"/>
          <w:bCs w:val="1"/>
          <w:color w:val="auto"/>
        </w:rPr>
        <w:t>THIS AGREEMENT AND THE</w:t>
      </w:r>
      <w:r>
        <w:rPr>
          <w:rFonts w:ascii="Arial" w:cs="Arial" w:eastAsia="Arial" w:hAnsi="Arial"/>
          <w:sz w:val="22"/>
          <w:szCs w:val="22"/>
          <w:color w:val="auto"/>
        </w:rPr>
        <w:t xml:space="preserve"> </w:t>
      </w:r>
      <w:r>
        <w:rPr>
          <w:rFonts w:ascii="Arial" w:cs="Arial" w:eastAsia="Arial" w:hAnsi="Arial"/>
          <w:sz w:val="22"/>
          <w:szCs w:val="22"/>
          <w:b w:val="1"/>
          <w:bCs w:val="1"/>
          <w:color w:val="auto"/>
        </w:rPr>
        <w:t>OTHER LOAN DOCUMENTS AND ANY CLAIM, CONTROVERSY OR DISPUTE UNDER, ARISING OUT OF OR RELATING TO THIS</w:t>
      </w:r>
    </w:p>
    <w:p>
      <w:pPr>
        <w:sectPr>
          <w:pgSz w:w="11900" w:h="16838" w:orient="portrait"/>
          <w:cols w:equalWidth="0" w:num="1">
            <w:col w:w="11240"/>
          </w:cols>
          <w:pgMar w:left="320" w:top="1401" w:right="339" w:bottom="1440" w:gutter="0" w:footer="0" w:header="0"/>
        </w:sectPr>
      </w:pPr>
    </w:p>
    <w:bookmarkStart w:id="189" w:name="page190"/>
    <w:bookmarkEnd w:id="189"/>
    <w:p>
      <w:pPr>
        <w:jc w:val="both"/>
        <w:spacing w:after="0" w:line="220" w:lineRule="auto"/>
        <w:rPr>
          <w:sz w:val="20"/>
          <w:szCs w:val="20"/>
          <w:color w:val="auto"/>
        </w:rPr>
      </w:pPr>
      <w:r>
        <w:rPr>
          <w:rFonts w:ascii="Arial" w:cs="Arial" w:eastAsia="Arial" w:hAnsi="Arial"/>
          <w:sz w:val="22"/>
          <w:szCs w:val="22"/>
          <w:b w:val="1"/>
          <w:bCs w:val="1"/>
          <w:color w:val="auto"/>
        </w:rPr>
        <w:t>AGREEMENT OR THE OTHER LOAN DOCUMENTS AND THE TRANSACTIONS CONTEMPLATED HEREBY AND THEREBY, WHETHER BASED IN CONTRACT (AT LAW OR IN EQUITY), TORT OR ANY OTHER THEORY, SHALL BE GOVERNED BY, AND CONSTRUED IN ACCORDANCE WITH AND GOVERNED BY THE LAW OF THE STATE OF NEW YORK.</w:t>
      </w:r>
    </w:p>
    <w:p>
      <w:pPr>
        <w:spacing w:after="0" w:line="158" w:lineRule="exact"/>
        <w:rPr>
          <w:sz w:val="20"/>
          <w:szCs w:val="20"/>
          <w:color w:val="auto"/>
        </w:rPr>
      </w:pPr>
    </w:p>
    <w:p>
      <w:pPr>
        <w:jc w:val="both"/>
        <w:ind w:left="80" w:firstLine="1305"/>
        <w:spacing w:after="0" w:line="243" w:lineRule="auto"/>
        <w:tabs>
          <w:tab w:leader="none" w:pos="1877" w:val="left"/>
        </w:tabs>
        <w:numPr>
          <w:ilvl w:val="0"/>
          <w:numId w:val="214"/>
        </w:numPr>
        <w:rPr>
          <w:rFonts w:ascii="Arial" w:cs="Arial" w:eastAsia="Arial" w:hAnsi="Arial"/>
          <w:sz w:val="19"/>
          <w:szCs w:val="19"/>
          <w:color w:val="auto"/>
        </w:rPr>
      </w:pPr>
      <w:r>
        <w:rPr>
          <w:rFonts w:ascii="Arial" w:cs="Arial" w:eastAsia="Arial" w:hAnsi="Arial"/>
          <w:sz w:val="19"/>
          <w:szCs w:val="19"/>
          <w:color w:val="auto"/>
        </w:rPr>
        <w:t>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shall be heard and determined, exclusively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any Agent, the Issuing Bank or any Lender may otherwise have to bring any action or proceeding relating to this Agreement against any Loan Party or its properties in the courts of any jurisdiction.</w:t>
      </w:r>
    </w:p>
    <w:p>
      <w:pPr>
        <w:spacing w:after="0" w:line="158" w:lineRule="exact"/>
        <w:rPr>
          <w:rFonts w:ascii="Arial" w:cs="Arial" w:eastAsia="Arial" w:hAnsi="Arial"/>
          <w:sz w:val="19"/>
          <w:szCs w:val="19"/>
          <w:color w:val="auto"/>
        </w:rPr>
      </w:pPr>
    </w:p>
    <w:p>
      <w:pPr>
        <w:jc w:val="both"/>
        <w:ind w:left="80" w:firstLine="1305"/>
        <w:spacing w:after="0" w:line="226" w:lineRule="auto"/>
        <w:tabs>
          <w:tab w:leader="none" w:pos="1916" w:val="left"/>
        </w:tabs>
        <w:numPr>
          <w:ilvl w:val="0"/>
          <w:numId w:val="214"/>
        </w:numPr>
        <w:rPr>
          <w:rFonts w:ascii="Arial" w:cs="Arial" w:eastAsia="Arial" w:hAnsi="Arial"/>
          <w:sz w:val="21"/>
          <w:szCs w:val="21"/>
          <w:color w:val="auto"/>
        </w:rPr>
      </w:pPr>
      <w:r>
        <w:rPr>
          <w:rFonts w:ascii="Arial" w:cs="Arial" w:eastAsia="Arial" w:hAnsi="Arial"/>
          <w:sz w:val="21"/>
          <w:szCs w:val="21"/>
          <w:color w:val="auto"/>
        </w:rPr>
        <w:t>Each party to this Agreement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the first sentence of paragraph (b) of this Section. Each of the parties hereto hereby irrevocably waives, to the fullest extent permitted by law, the defense of an inconvenient forum to the maintenance of such action or proceeding in any such court.</w:t>
      </w:r>
    </w:p>
    <w:p>
      <w:pPr>
        <w:spacing w:after="0" w:line="159" w:lineRule="exact"/>
        <w:rPr>
          <w:rFonts w:ascii="Arial" w:cs="Arial" w:eastAsia="Arial" w:hAnsi="Arial"/>
          <w:sz w:val="21"/>
          <w:szCs w:val="21"/>
          <w:color w:val="auto"/>
        </w:rPr>
      </w:pPr>
    </w:p>
    <w:p>
      <w:pPr>
        <w:jc w:val="both"/>
        <w:ind w:left="80" w:firstLine="1305"/>
        <w:spacing w:after="0" w:line="223" w:lineRule="auto"/>
        <w:tabs>
          <w:tab w:leader="none" w:pos="1879" w:val="left"/>
        </w:tabs>
        <w:numPr>
          <w:ilvl w:val="0"/>
          <w:numId w:val="214"/>
        </w:numPr>
        <w:rPr>
          <w:rFonts w:ascii="Arial" w:cs="Arial" w:eastAsia="Arial" w:hAnsi="Arial"/>
          <w:sz w:val="22"/>
          <w:szCs w:val="22"/>
          <w:color w:val="auto"/>
        </w:rPr>
      </w:pPr>
      <w:r>
        <w:rPr>
          <w:rFonts w:ascii="Arial" w:cs="Arial" w:eastAsia="Arial" w:hAnsi="Arial"/>
          <w:sz w:val="22"/>
          <w:szCs w:val="22"/>
          <w:color w:val="auto"/>
        </w:rPr>
        <w:t xml:space="preserve">Each party to this Agreement irrevocably consents to service of process in the manner provided for notices in </w:t>
      </w:r>
      <w:r>
        <w:rPr>
          <w:rFonts w:ascii="Arial" w:cs="Arial" w:eastAsia="Arial" w:hAnsi="Arial"/>
          <w:sz w:val="22"/>
          <w:szCs w:val="22"/>
          <w:u w:val="single" w:color="auto"/>
          <w:color w:val="auto"/>
        </w:rPr>
        <w:t>Section 10.1</w:t>
      </w:r>
      <w:r>
        <w:rPr>
          <w:rFonts w:ascii="Arial" w:cs="Arial" w:eastAsia="Arial" w:hAnsi="Arial"/>
          <w:sz w:val="22"/>
          <w:szCs w:val="22"/>
          <w:color w:val="auto"/>
        </w:rPr>
        <w:t>. Nothing in this Agreement will affect the right of any party to this Agreement to serve process in any other manner permitted by law.</w:t>
      </w:r>
    </w:p>
    <w:p>
      <w:pPr>
        <w:spacing w:after="0" w:line="153" w:lineRule="exact"/>
        <w:rPr>
          <w:sz w:val="20"/>
          <w:szCs w:val="20"/>
          <w:color w:val="auto"/>
        </w:rPr>
      </w:pPr>
    </w:p>
    <w:p>
      <w:pPr>
        <w:jc w:val="both"/>
        <w:ind w:firstLine="1296"/>
        <w:spacing w:after="0" w:line="211" w:lineRule="auto"/>
        <w:rPr>
          <w:sz w:val="20"/>
          <w:szCs w:val="20"/>
          <w:color w:val="auto"/>
        </w:rPr>
      </w:pPr>
      <w:r>
        <w:rPr>
          <w:rFonts w:ascii="Arial" w:cs="Arial" w:eastAsia="Arial" w:hAnsi="Arial"/>
          <w:sz w:val="22"/>
          <w:szCs w:val="22"/>
          <w:color w:val="auto"/>
        </w:rPr>
        <w:t xml:space="preserve">Section 10.10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xml:space="preserve">. </w:t>
      </w:r>
      <w:r>
        <w:rPr>
          <w:rFonts w:ascii="Arial" w:cs="Arial" w:eastAsia="Arial" w:hAnsi="Arial"/>
          <w:sz w:val="22"/>
          <w:szCs w:val="22"/>
          <w:b w:val="1"/>
          <w:bCs w:val="1"/>
          <w:color w:val="auto"/>
        </w:rPr>
        <w:t>EACH PARTY HERETO HEREBY IRREVOCABLY WAIVES,</w:t>
      </w:r>
      <w:r>
        <w:rPr>
          <w:rFonts w:ascii="Arial" w:cs="Arial" w:eastAsia="Arial" w:hAnsi="Arial"/>
          <w:sz w:val="22"/>
          <w:szCs w:val="22"/>
          <w:color w:val="auto"/>
        </w:rPr>
        <w:t xml:space="preserve"> </w:t>
      </w:r>
      <w:r>
        <w:rPr>
          <w:rFonts w:ascii="Arial" w:cs="Arial" w:eastAsia="Arial" w:hAnsi="Arial"/>
          <w:sz w:val="22"/>
          <w:szCs w:val="22"/>
          <w:b w:val="1"/>
          <w:bCs w:val="1"/>
          <w:color w:val="auto"/>
        </w:rPr>
        <w:t>TO THE FULLEST EXTENT PERMITTED BY APPLICABLE LAW, ANY RIGHT IT MAY HAVE TO A TRIAL BY JURY IN ANY LEGAL PROCEEDING DIRECTLY OR INDIRECTLY ARISING OUT OF OR RELATING TO THIS AGREEMENT, ANY OTHER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5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Section 10.11 </w:t>
      </w:r>
      <w:r>
        <w:rPr>
          <w:rFonts w:ascii="Arial" w:cs="Arial" w:eastAsia="Arial" w:hAnsi="Arial"/>
          <w:sz w:val="22"/>
          <w:szCs w:val="22"/>
          <w:u w:val="single" w:color="auto"/>
          <w:color w:val="auto"/>
        </w:rPr>
        <w:t>Headings</w:t>
      </w:r>
      <w:r>
        <w:rPr>
          <w:rFonts w:ascii="Arial" w:cs="Arial" w:eastAsia="Arial" w:hAnsi="Arial"/>
          <w:sz w:val="22"/>
          <w:szCs w:val="22"/>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ectPr>
          <w:pgSz w:w="11900" w:h="16838" w:orient="portrait"/>
          <w:cols w:equalWidth="0" w:num="1">
            <w:col w:w="11240"/>
          </w:cols>
          <w:pgMar w:left="320" w:top="1395" w:right="339" w:bottom="1440" w:gutter="0" w:footer="0" w:header="0"/>
        </w:sectPr>
      </w:pPr>
    </w:p>
    <w:bookmarkStart w:id="190" w:name="page191"/>
    <w:bookmarkEnd w:id="190"/>
    <w:p>
      <w:pPr>
        <w:jc w:val="both"/>
        <w:ind w:firstLine="1296"/>
        <w:spacing w:after="0" w:line="238" w:lineRule="auto"/>
        <w:rPr>
          <w:sz w:val="20"/>
          <w:szCs w:val="20"/>
          <w:color w:val="auto"/>
        </w:rPr>
      </w:pPr>
      <w:r>
        <w:rPr>
          <w:rFonts w:ascii="Arial" w:cs="Arial" w:eastAsia="Arial" w:hAnsi="Arial"/>
          <w:sz w:val="19"/>
          <w:szCs w:val="19"/>
          <w:color w:val="auto"/>
        </w:rPr>
        <w:t xml:space="preserve">Section 10.12 </w:t>
      </w: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(a) Each of the Agents and the Lenders (which term shall for the purposes of this </w:t>
      </w:r>
      <w:r>
        <w:rPr>
          <w:rFonts w:ascii="Arial" w:cs="Arial" w:eastAsia="Arial" w:hAnsi="Arial"/>
          <w:sz w:val="19"/>
          <w:szCs w:val="19"/>
          <w:u w:val="single" w:color="auto"/>
          <w:color w:val="auto"/>
        </w:rPr>
        <w:t>Section 10.12</w:t>
      </w:r>
      <w:r>
        <w:rPr>
          <w:rFonts w:ascii="Arial" w:cs="Arial" w:eastAsia="Arial" w:hAnsi="Arial"/>
          <w:sz w:val="19"/>
          <w:szCs w:val="19"/>
          <w:color w:val="auto"/>
        </w:rPr>
        <w:t xml:space="preserve"> includes the Issuing Banks) agrees to (i) maintain the confidentiality of the Information (as defined below), (ii) not disclose any Information to any individual or organization, either internally or externally, without the prior written consent of the Borrowers (which consent shall not be unreasonably withheld, conditioned or delayed), and (iii) not use the Information for any purpose except in connection with the Loan Documents, except that Information may be disclosed (A) to its Affiliates and its and its Affiliates’ directors, officers, employees and agents, including accountants, legal counsel and other advisors, or to any credit insurance provider relating to any Loan Party and its obligations, in each case whom it reasonably determines needs to know such information in connection with this Agreement and the transactions contemplated hereby (it being understood that the Persons to whom such disclosure is made will be informed of the confidential nature of such Information and instructed to keep such Information confidential), (B) to the extent requested by any regulatory authority or any Governmental Authority or self-regulatory body claiming oversight over any Lender or any of its Affiliates, (C) to the extent required by applicable laws or regulations or by any subpoena or similar legal process (in which case such Agent or such Lender, as applicable, agrees, to the extent permitted by applicable law, to inform the Borrowers promptly thereof), (D) to any other party to this Agreement, (E) in connection with the exercise of any remedies hereunder or under any Loan Document or any suit, action or proceeding relating to this Agreement or the enforcement of rights hereunder or under any Loan Document, (F) subject to an agreement containing provisions substantially the same as those of this Section, to any assignee of any of its rights or obligations under this Agreement,</w:t>
      </w:r>
    </w:p>
    <w:p>
      <w:pPr>
        <w:spacing w:after="0" w:line="7" w:lineRule="exact"/>
        <w:rPr>
          <w:sz w:val="20"/>
          <w:szCs w:val="20"/>
          <w:color w:val="auto"/>
        </w:rPr>
      </w:pPr>
    </w:p>
    <w:p>
      <w:pPr>
        <w:jc w:val="both"/>
        <w:ind w:firstLine="8"/>
        <w:spacing w:after="0" w:line="239" w:lineRule="auto"/>
        <w:tabs>
          <w:tab w:leader="none" w:pos="358" w:val="left"/>
        </w:tabs>
        <w:numPr>
          <w:ilvl w:val="0"/>
          <w:numId w:val="215"/>
        </w:numPr>
        <w:rPr>
          <w:rFonts w:ascii="Arial" w:cs="Arial" w:eastAsia="Arial" w:hAnsi="Arial"/>
          <w:sz w:val="19"/>
          <w:szCs w:val="19"/>
          <w:color w:val="auto"/>
        </w:rPr>
      </w:pPr>
      <w:r>
        <w:rPr>
          <w:rFonts w:ascii="Arial" w:cs="Arial" w:eastAsia="Arial" w:hAnsi="Arial"/>
          <w:sz w:val="19"/>
          <w:szCs w:val="19"/>
          <w:color w:val="auto"/>
        </w:rPr>
        <w:t xml:space="preserve">with the consent of the Borrowers, (H) to the extent such Information (x) becomes publicly available other than as a result of a breach of this Section or (y) becomes available to any Agent or any Lender on a non-confidential basis from a source other than the Borrowers, (I) to any Participant or “bona fide” prospective Participant in, or any “bona fide” prospective assignee of, the Commitments, the Loans or any Lender’s rights or obligations under this Agreement (in each case other than any Disqualified Lender) or (J) to any actual or prospective counterparty (or its advisors) to any swap or derivative transaction relating to any Borrower and its obligations in each case other than any Disqualified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clauses (I) and (J) of this </w:t>
      </w:r>
      <w:r>
        <w:rPr>
          <w:rFonts w:ascii="Arial" w:cs="Arial" w:eastAsia="Arial" w:hAnsi="Arial"/>
          <w:sz w:val="19"/>
          <w:szCs w:val="19"/>
          <w:u w:val="single" w:color="auto"/>
          <w:color w:val="auto"/>
        </w:rPr>
        <w:t>Section 10.12</w:t>
      </w:r>
      <w:r>
        <w:rPr>
          <w:rFonts w:ascii="Arial" w:cs="Arial" w:eastAsia="Arial" w:hAnsi="Arial"/>
          <w:sz w:val="19"/>
          <w:szCs w:val="19"/>
          <w:color w:val="auto"/>
        </w:rPr>
        <w:t xml:space="preserve"> such Participant, prospective Participant, prospective assignee, actual or prospective counterparty or advisor is advised of and agrees, in advance of such disclosure, in writing (including pursuant to customary “click-through” procedures), to be bound by either the provisions of this </w:t>
      </w:r>
      <w:r>
        <w:rPr>
          <w:rFonts w:ascii="Arial" w:cs="Arial" w:eastAsia="Arial" w:hAnsi="Arial"/>
          <w:sz w:val="19"/>
          <w:szCs w:val="19"/>
          <w:u w:val="single" w:color="auto"/>
          <w:color w:val="auto"/>
        </w:rPr>
        <w:t>Section 10.12</w:t>
      </w:r>
      <w:r>
        <w:rPr>
          <w:rFonts w:ascii="Arial" w:cs="Arial" w:eastAsia="Arial" w:hAnsi="Arial"/>
          <w:sz w:val="19"/>
          <w:szCs w:val="19"/>
          <w:color w:val="auto"/>
        </w:rPr>
        <w:t xml:space="preserve"> or other provisions that are at least as restrictive as the provisions contained in this </w:t>
      </w:r>
      <w:r>
        <w:rPr>
          <w:rFonts w:ascii="Arial" w:cs="Arial" w:eastAsia="Arial" w:hAnsi="Arial"/>
          <w:sz w:val="19"/>
          <w:szCs w:val="19"/>
          <w:u w:val="single" w:color="auto"/>
          <w:color w:val="auto"/>
        </w:rPr>
        <w:t>Section 10.12</w:t>
      </w:r>
      <w:r>
        <w:rPr>
          <w:rFonts w:ascii="Arial" w:cs="Arial" w:eastAsia="Arial" w:hAnsi="Arial"/>
          <w:sz w:val="19"/>
          <w:szCs w:val="19"/>
          <w:color w:val="auto"/>
        </w:rPr>
        <w:t>. In addition, the Administrative Agent, the Lenders, and any of their respective Related Parties, may use any information (not constituting Information subject to the foregoing confidentiality restrictions) related to the syndication and arrangement of the credit facilities contemplated by this Agreement in connection with marketing, league tables, press releases, or other transactional announcements or updates provided to investor or trade publications, including the placement of “tombstone” advertisements in publications of its choice at its own expense. For the purposes of this Section, “</w:t>
      </w:r>
      <w:r>
        <w:rPr>
          <w:rFonts w:ascii="Arial" w:cs="Arial" w:eastAsia="Arial" w:hAnsi="Arial"/>
          <w:sz w:val="19"/>
          <w:szCs w:val="19"/>
          <w:u w:val="single" w:color="auto"/>
          <w:color w:val="auto"/>
        </w:rPr>
        <w:t>Information</w:t>
      </w:r>
      <w:r>
        <w:rPr>
          <w:rFonts w:ascii="Arial" w:cs="Arial" w:eastAsia="Arial" w:hAnsi="Arial"/>
          <w:sz w:val="19"/>
          <w:szCs w:val="19"/>
          <w:color w:val="auto"/>
        </w:rPr>
        <w:t>” means all information received from the Borrowers, or from any of their Affiliates, representatives or advisors on behalf of the Borrowers, relating to the Borrowers or their business (including, for the avoidance of doubt, the DQ List), other than any such information that is available to the Administrative Agent or any Lender on a non-confidential basis prior to disclosure by the Borrowers, or by any of their Affiliates, representatives or advisors on behalf of the Borrowers and other than customary information pertaining to this Agreement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ectPr>
          <w:pgSz w:w="11900" w:h="16838" w:orient="portrait"/>
          <w:cols w:equalWidth="0" w:num="1">
            <w:col w:w="11240"/>
          </w:cols>
          <w:pgMar w:left="320" w:top="1401" w:right="339" w:bottom="1440" w:gutter="0" w:footer="0" w:header="0"/>
        </w:sectPr>
      </w:pPr>
    </w:p>
    <w:bookmarkStart w:id="191" w:name="page192"/>
    <w:bookmarkEnd w:id="191"/>
    <w:p>
      <w:pPr>
        <w:jc w:val="both"/>
        <w:ind w:left="80" w:firstLine="1305"/>
        <w:spacing w:after="0" w:line="212" w:lineRule="auto"/>
        <w:tabs>
          <w:tab w:leader="none" w:pos="2111" w:val="left"/>
        </w:tabs>
        <w:numPr>
          <w:ilvl w:val="0"/>
          <w:numId w:val="216"/>
        </w:numPr>
        <w:rPr>
          <w:rFonts w:ascii="Arial" w:cs="Arial" w:eastAsia="Arial" w:hAnsi="Arial"/>
          <w:sz w:val="22"/>
          <w:szCs w:val="22"/>
          <w:color w:val="auto"/>
        </w:rPr>
      </w:pPr>
      <w:r>
        <w:rPr>
          <w:rFonts w:ascii="Arial" w:cs="Arial" w:eastAsia="Arial" w:hAnsi="Arial"/>
          <w:sz w:val="22"/>
          <w:szCs w:val="22"/>
          <w:color w:val="auto"/>
        </w:rPr>
        <w:t xml:space="preserve">EACH LENDER AND EACH ISSUING BANK ACKNOWLEDGES THAT INFORMATION AS DEFINED IN </w:t>
      </w:r>
      <w:r>
        <w:rPr>
          <w:rFonts w:ascii="Arial" w:cs="Arial" w:eastAsia="Arial" w:hAnsi="Arial"/>
          <w:sz w:val="22"/>
          <w:szCs w:val="22"/>
          <w:u w:val="single" w:color="auto"/>
          <w:color w:val="auto"/>
        </w:rPr>
        <w:t>SECTION 10.12(a)</w:t>
      </w:r>
      <w:r>
        <w:rPr>
          <w:rFonts w:ascii="Arial" w:cs="Arial" w:eastAsia="Arial" w:hAnsi="Arial"/>
          <w:sz w:val="22"/>
          <w:szCs w:val="22"/>
          <w:color w:val="auto"/>
        </w:rPr>
        <w:t xml:space="preserve">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63" w:lineRule="exact"/>
        <w:rPr>
          <w:rFonts w:ascii="Arial" w:cs="Arial" w:eastAsia="Arial" w:hAnsi="Arial"/>
          <w:sz w:val="22"/>
          <w:szCs w:val="22"/>
          <w:color w:val="auto"/>
        </w:rPr>
      </w:pPr>
    </w:p>
    <w:p>
      <w:pPr>
        <w:jc w:val="both"/>
        <w:ind w:left="80" w:firstLine="1305"/>
        <w:spacing w:after="0" w:line="221" w:lineRule="auto"/>
        <w:tabs>
          <w:tab w:leader="none" w:pos="1869" w:val="left"/>
        </w:tabs>
        <w:numPr>
          <w:ilvl w:val="0"/>
          <w:numId w:val="216"/>
        </w:numPr>
        <w:rPr>
          <w:rFonts w:ascii="Arial" w:cs="Arial" w:eastAsia="Arial" w:hAnsi="Arial"/>
          <w:sz w:val="21"/>
          <w:szCs w:val="21"/>
          <w:color w:val="auto"/>
        </w:rPr>
      </w:pPr>
      <w:r>
        <w:rPr>
          <w:rFonts w:ascii="Arial" w:cs="Arial" w:eastAsia="Arial" w:hAnsi="Arial"/>
          <w:sz w:val="21"/>
          <w:szCs w:val="2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AND ITS RELATED PARTIES OR ITS SECURITIES. ACCORDINGLY, EACH LENDER AND EACH ISSUING BANK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6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Section 10.13 </w:t>
      </w: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xml:space="preserve">. Notwithstanding anything herein to the contrary, if at any time the interest rate applicable to any Loan, together with all fees, charges and other amounts which are treated as interest on such Loan under applicable law (collectively the “ </w:t>
      </w:r>
      <w:r>
        <w:rPr>
          <w:rFonts w:ascii="Arial" w:cs="Arial" w:eastAsia="Arial" w:hAnsi="Arial"/>
          <w:sz w:val="19"/>
          <w:szCs w:val="19"/>
          <w:u w:val="single" w:color="auto"/>
          <w:color w:val="auto"/>
        </w:rPr>
        <w:t>Charges</w:t>
      </w:r>
      <w:r>
        <w:rPr>
          <w:rFonts w:ascii="Arial" w:cs="Arial" w:eastAsia="Arial" w:hAnsi="Arial"/>
          <w:sz w:val="19"/>
          <w:szCs w:val="19"/>
          <w:color w:val="auto"/>
        </w:rPr>
        <w:t>”), shall exceed the maximum lawful rate (the “</w:t>
      </w:r>
      <w:r>
        <w:rPr>
          <w:rFonts w:ascii="Arial" w:cs="Arial" w:eastAsia="Arial" w:hAnsi="Arial"/>
          <w:sz w:val="19"/>
          <w:szCs w:val="19"/>
          <w:u w:val="single" w:color="auto"/>
          <w:color w:val="auto"/>
        </w:rPr>
        <w:t>Maximum Rate</w:t>
      </w:r>
      <w:r>
        <w:rPr>
          <w:rFonts w:ascii="Arial" w:cs="Arial" w:eastAsia="Arial" w:hAnsi="Arial"/>
          <w:sz w:val="19"/>
          <w:szCs w:val="19"/>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spacing w:after="0" w:line="161"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1"/>
          <w:szCs w:val="21"/>
          <w:color w:val="auto"/>
        </w:rPr>
        <w:t xml:space="preserve">Section 10.14 </w:t>
      </w:r>
      <w:r>
        <w:rPr>
          <w:rFonts w:ascii="Arial" w:cs="Arial" w:eastAsia="Arial" w:hAnsi="Arial"/>
          <w:sz w:val="21"/>
          <w:szCs w:val="21"/>
          <w:u w:val="single" w:color="auto"/>
          <w:color w:val="auto"/>
        </w:rPr>
        <w:t>No Advisory or Fiduciary Responsibility</w:t>
      </w:r>
      <w:r>
        <w:rPr>
          <w:rFonts w:ascii="Arial" w:cs="Arial" w:eastAsia="Arial" w:hAnsi="Arial"/>
          <w:sz w:val="21"/>
          <w:szCs w:val="21"/>
          <w:color w:val="auto"/>
        </w:rPr>
        <w:t>. In connection with all aspects of each Transaction contemplated hereby (including in connection with any amendment, waiver or other modification hereof or of any other Loan Document), each Loan Party acknowledges and agrees, and acknowledges its subsidiaries’ understanding, that: (i) (A) the arranging and other services regarding this Agreement provided by the Agent, the Arrangers, the Bookrunner and the Lenders (which term shall for the purposes of this Section include the Issuing Banks) are arm’s-length commercial transactions between such Loan Party and its Affiliates, on the one hand, and the Agent, the Arrangers, the Bookrunner and the Lenders, on the other hand, (B) such Loan Party has consulted its own legal, accounting, regulatory and tax advisors to the extent it has deemed appropriate, and (C) such Loan Party is capable of evaluating, and understands and accepts, the terms, risks and conditions of the Transactions contemplated hereby and by the other Loan Documents; (ii) (A) each of the Agent, the Arrangers, the Bookrunner and the Lenders is and has been acting solely as a principal and, except as expressly agreed in writing by the relevant parties, has not been, is not, and will not be acting as an advisor, agent or fiduciary for any Loan Party or any of its subsidiaries, or any other Person and (B) none of any Agent, any Arranger, the Bookrunner or any Lender has any obligation to any Loan Party or any of its Affiliates with respect to the Transactions contemplated hereby except those obligations expressly set forth herein and in the other Loan</w:t>
      </w:r>
    </w:p>
    <w:p>
      <w:pPr>
        <w:sectPr>
          <w:pgSz w:w="11900" w:h="16838" w:orient="portrait"/>
          <w:cols w:equalWidth="0" w:num="1">
            <w:col w:w="11240"/>
          </w:cols>
          <w:pgMar w:left="320" w:top="1401" w:right="339" w:bottom="1440" w:gutter="0" w:footer="0" w:header="0"/>
        </w:sectPr>
      </w:pPr>
    </w:p>
    <w:bookmarkStart w:id="192" w:name="page193"/>
    <w:bookmarkEnd w:id="192"/>
    <w:p>
      <w:pPr>
        <w:jc w:val="both"/>
        <w:spacing w:after="0" w:line="244" w:lineRule="auto"/>
        <w:rPr>
          <w:sz w:val="20"/>
          <w:szCs w:val="20"/>
          <w:color w:val="auto"/>
        </w:rPr>
      </w:pPr>
      <w:r>
        <w:rPr>
          <w:rFonts w:ascii="Arial" w:cs="Arial" w:eastAsia="Arial" w:hAnsi="Arial"/>
          <w:sz w:val="19"/>
          <w:szCs w:val="19"/>
          <w:color w:val="auto"/>
        </w:rPr>
        <w:t>Documents; and (iii) the Agents, the Arrangers, the Bookrunner and the Lenders and their respective Affiliates may be engaged in a broad range of transactions that involve interests that differ from those of such Loan Party and its Affiliates, and neither any Agent, any Arranger, the Bookrunner nor any Lender has any obligation to disclose any of such interests to such Loan Party or its Affiliates. Each Borrower agrees that nothing in the Loan Documents or otherwise will be deemed to create an advisory, fiduciary or agency relationship or fiduciary or other implied duty between the Administrative Agent, any Issuing Bank, any Arranger, the Bookrunner or any Lender, on the one hand, and such Borrower, any of its Subsidiaries, or their respective equityholders or Affiliates, on the other. To the fullest extent permitted by law, each Borrower agrees that it will not assert any claim against any Agent, any Arranger, the Bookrunner, any Issuing Bank or any Lender based on an alleged breach of agency or fiduciary duty by any such Agent, Arranger, Bookrunner, Issuing Bank or Lender in connection with this Agreement and the transactions contemplated hereby.</w:t>
      </w:r>
    </w:p>
    <w:p>
      <w:pPr>
        <w:spacing w:after="0" w:line="377"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22"/>
          <w:szCs w:val="22"/>
          <w:color w:val="auto"/>
        </w:rPr>
        <w:t>Section 10.15</w:t>
      </w:r>
      <w:r>
        <w:rPr>
          <w:sz w:val="20"/>
          <w:szCs w:val="20"/>
          <w:color w:val="auto"/>
        </w:rPr>
        <w:tab/>
      </w:r>
      <w:r>
        <w:rPr>
          <w:rFonts w:ascii="Arial" w:cs="Arial" w:eastAsia="Arial" w:hAnsi="Arial"/>
          <w:sz w:val="19"/>
          <w:szCs w:val="19"/>
          <w:u w:val="single" w:color="auto"/>
          <w:color w:val="auto"/>
        </w:rPr>
        <w:t>Counterparts; Integration; Effectiveness, Electronic Execution</w:t>
      </w:r>
      <w:r>
        <w:rPr>
          <w:rFonts w:ascii="Arial" w:cs="Arial" w:eastAsia="Arial" w:hAnsi="Arial"/>
          <w:sz w:val="19"/>
          <w:szCs w:val="19"/>
          <w:color w:val="auto"/>
        </w:rPr>
        <w:t>.</w:t>
      </w:r>
    </w:p>
    <w:p>
      <w:pPr>
        <w:spacing w:after="0" w:line="179" w:lineRule="exact"/>
        <w:rPr>
          <w:sz w:val="20"/>
          <w:szCs w:val="20"/>
          <w:color w:val="auto"/>
        </w:rPr>
      </w:pPr>
    </w:p>
    <w:p>
      <w:pPr>
        <w:jc w:val="both"/>
        <w:ind w:left="80" w:firstLine="1305"/>
        <w:spacing w:after="0" w:line="244" w:lineRule="auto"/>
        <w:tabs>
          <w:tab w:leader="none" w:pos="1860" w:val="left"/>
        </w:tabs>
        <w:numPr>
          <w:ilvl w:val="1"/>
          <w:numId w:val="217"/>
        </w:numPr>
        <w:rPr>
          <w:rFonts w:ascii="Arial" w:cs="Arial" w:eastAsia="Arial" w:hAnsi="Arial"/>
          <w:sz w:val="19"/>
          <w:szCs w:val="19"/>
          <w:color w:val="auto"/>
        </w:rPr>
      </w:pPr>
      <w:r>
        <w:rPr>
          <w:rFonts w:ascii="Arial" w:cs="Arial" w:eastAsia="Arial" w:hAnsi="Arial"/>
          <w:sz w:val="19"/>
          <w:szCs w:val="19"/>
          <w:color w:val="auto"/>
        </w:rPr>
        <w:t>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by any Borrower or any other Loan Party or the Issuing Bank Sublimit of any Issuing Bank constitute the entire contract among the parties relating to the subject matter hereof and supersede any and all previous agreements and understandings, oral or written, relating to the subject matter hereof. Except as provided in Section 4.1,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60" w:lineRule="exact"/>
        <w:rPr>
          <w:rFonts w:ascii="Arial" w:cs="Arial" w:eastAsia="Arial" w:hAnsi="Arial"/>
          <w:sz w:val="19"/>
          <w:szCs w:val="19"/>
          <w:color w:val="auto"/>
        </w:rPr>
      </w:pPr>
    </w:p>
    <w:p>
      <w:pPr>
        <w:jc w:val="both"/>
        <w:ind w:left="80" w:firstLine="1305"/>
        <w:spacing w:after="0" w:line="238" w:lineRule="auto"/>
        <w:tabs>
          <w:tab w:leader="none" w:pos="1845" w:val="left"/>
        </w:tabs>
        <w:numPr>
          <w:ilvl w:val="1"/>
          <w:numId w:val="217"/>
        </w:numPr>
        <w:rPr>
          <w:rFonts w:ascii="Arial" w:cs="Arial" w:eastAsia="Arial" w:hAnsi="Arial"/>
          <w:sz w:val="19"/>
          <w:szCs w:val="19"/>
          <w:color w:val="auto"/>
        </w:rPr>
      </w:pPr>
      <w:r>
        <w:rPr>
          <w:rFonts w:ascii="Arial" w:cs="Arial" w:eastAsia="Arial" w:hAnsi="Arial"/>
          <w:sz w:val="19"/>
          <w:szCs w:val="19"/>
          <w:color w:val="auto"/>
        </w:rPr>
        <w:t>Delivery of an executed counterpart of a signature page of (x) this Agreement, (y) any other Loan Document and/or (z) any document, amendment, approval, consent, information, notice, certificate, request, statement, disclosure or authorization related to this Agreement, any other Loan Document and/or the transactions contemplated hereby and/or thereby (each, an “</w:t>
      </w:r>
      <w:r>
        <w:rPr>
          <w:rFonts w:ascii="Arial" w:cs="Arial" w:eastAsia="Arial" w:hAnsi="Arial"/>
          <w:sz w:val="19"/>
          <w:szCs w:val="19"/>
          <w:u w:val="single" w:color="auto"/>
          <w:color w:val="auto"/>
        </w:rPr>
        <w:t>Ancillary Document</w:t>
      </w:r>
      <w:r>
        <w:rPr>
          <w:rFonts w:ascii="Arial" w:cs="Arial" w:eastAsia="Arial" w:hAnsi="Arial"/>
          <w:sz w:val="19"/>
          <w:szCs w:val="19"/>
          <w:color w:val="auto"/>
        </w:rPr>
        <w:t xml:space="preserve">”) that is an Electronic Signature transmitted by telecopy, emailed pdf. or any other electronic means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require the Administrative Agent to accept Electronic Signatures in any form or format without its prior written consent and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any Borrower or any other Loan Party without further verification thereof and without any obligation to review the appearance or form of any such Electronic Signature and</w:t>
      </w:r>
    </w:p>
    <w:p>
      <w:pPr>
        <w:spacing w:after="0" w:line="8" w:lineRule="exact"/>
        <w:rPr>
          <w:rFonts w:ascii="Arial" w:cs="Arial" w:eastAsia="Arial" w:hAnsi="Arial"/>
          <w:sz w:val="19"/>
          <w:szCs w:val="19"/>
          <w:color w:val="auto"/>
        </w:rPr>
      </w:pPr>
    </w:p>
    <w:p>
      <w:pPr>
        <w:jc w:val="both"/>
        <w:ind w:left="80" w:firstLine="9"/>
        <w:spacing w:after="0" w:line="214" w:lineRule="auto"/>
        <w:tabs>
          <w:tab w:leader="none" w:pos="431" w:val="left"/>
        </w:tabs>
        <w:numPr>
          <w:ilvl w:val="0"/>
          <w:numId w:val="218"/>
        </w:numPr>
        <w:rPr>
          <w:rFonts w:ascii="Arial" w:cs="Arial" w:eastAsia="Arial" w:hAnsi="Arial"/>
          <w:sz w:val="22"/>
          <w:szCs w:val="22"/>
          <w:color w:val="auto"/>
        </w:rPr>
      </w:pPr>
      <w:r>
        <w:rPr>
          <w:rFonts w:ascii="Arial" w:cs="Arial" w:eastAsia="Arial" w:hAnsi="Arial"/>
          <w:sz w:val="22"/>
          <w:szCs w:val="22"/>
          <w:color w:val="auto"/>
        </w:rPr>
        <w:t>upon the request of the Administrative Agent or any Lender, any Electronic Signature shall be promptly followed by a manually executed counterpart. Without limiting the generality of the foregoing, each Borrower and each other Loan Party hereby (i) agrees that, for all purposes, including without limitation, in connection with any workout, restructuring, enforcement of remedies, bankruptcy proceedings or litigation among</w:t>
      </w:r>
    </w:p>
    <w:p>
      <w:pPr>
        <w:sectPr>
          <w:pgSz w:w="11900" w:h="16838" w:orient="portrait"/>
          <w:cols w:equalWidth="0" w:num="1">
            <w:col w:w="11240"/>
          </w:cols>
          <w:pgMar w:left="320" w:top="1401" w:right="339" w:bottom="1440" w:gutter="0" w:footer="0" w:header="0"/>
        </w:sectPr>
      </w:pPr>
    </w:p>
    <w:bookmarkStart w:id="193" w:name="page194"/>
    <w:bookmarkEnd w:id="193"/>
    <w:p>
      <w:pPr>
        <w:jc w:val="both"/>
        <w:ind w:left="80"/>
        <w:spacing w:after="0" w:line="241" w:lineRule="auto"/>
        <w:rPr>
          <w:sz w:val="20"/>
          <w:szCs w:val="20"/>
          <w:color w:val="auto"/>
        </w:rPr>
      </w:pPr>
      <w:r>
        <w:rPr>
          <w:rFonts w:ascii="Arial" w:cs="Arial" w:eastAsia="Arial" w:hAnsi="Arial"/>
          <w:sz w:val="19"/>
          <w:szCs w:val="19"/>
          <w:color w:val="auto"/>
        </w:rPr>
        <w:t>the Administrative Agent, the Lenders, the Borrowers and the other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including any Liabilities arising as a result of the failure of any Borrower and/or any Loan Party to use any available security measures in connection with the execution, delivery or transmission of any Electronic Signature.</w:t>
      </w:r>
    </w:p>
    <w:p>
      <w:pPr>
        <w:spacing w:after="0" w:line="384"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 xml:space="preserve">Section 10.16 </w:t>
      </w:r>
      <w:r>
        <w:rPr>
          <w:rFonts w:ascii="Arial" w:cs="Arial" w:eastAsia="Arial" w:hAnsi="Arial"/>
          <w:sz w:val="19"/>
          <w:szCs w:val="19"/>
          <w:u w:val="single" w:color="auto"/>
          <w:color w:val="auto"/>
        </w:rPr>
        <w:t>USA PATRIOT Act and Beneficial Ownership</w:t>
      </w:r>
      <w:r>
        <w:rPr>
          <w:rFonts w:ascii="Arial" w:cs="Arial" w:eastAsia="Arial" w:hAnsi="Arial"/>
          <w:sz w:val="19"/>
          <w:szCs w:val="19"/>
          <w:color w:val="auto"/>
        </w:rPr>
        <w:t>. Each Lender (which term shall for the purposes of this Section include the Issuing Banks) that is subject to the requirements of the USA Patriot Act and/or the Beneficial Ownership Regulation and the Administrative Agent (for itself and not on behalf of any Lenders) hereby notifies each Loan Party that pursuant to the requirements of the USA Patriot Act and the Beneficial Ownership Regulation, it is required to obtain, verify and record information that identifies such Loan Party, which information includes the name, address and tax information number of such Loan Party and other information that will allow such Lender or the Administrative Agent, as applicable, to identify such Loan Party in accordance with the USA Patriot Act and the Beneficial Ownership Regulation. Each Loan Party shall, promptly following a request by the Administrative Agent or any Lender, provide all documentation and other information that the Administrative Agent or such Lender reasonably requests from time to time in order to comply with its ongoing obligations under applicable “know your customer” and anti-money laundering rules and regulations, including the USA Patriot Act and the Beneficial Ownership Regulation.;</w:t>
      </w:r>
    </w:p>
    <w:p>
      <w:pPr>
        <w:spacing w:after="0" w:line="380"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22"/>
          <w:szCs w:val="22"/>
          <w:color w:val="auto"/>
        </w:rPr>
        <w:t>Section 10.17</w:t>
      </w:r>
      <w:r>
        <w:rPr>
          <w:sz w:val="20"/>
          <w:szCs w:val="20"/>
          <w:color w:val="auto"/>
        </w:rPr>
        <w:tab/>
      </w:r>
      <w:r>
        <w:rPr>
          <w:rFonts w:ascii="Arial" w:cs="Arial" w:eastAsia="Arial" w:hAnsi="Arial"/>
          <w:sz w:val="19"/>
          <w:szCs w:val="19"/>
          <w:u w:val="single" w:color="auto"/>
          <w:color w:val="auto"/>
        </w:rPr>
        <w:t>Release of Liens and Guarantors</w:t>
      </w:r>
      <w:r>
        <w:rPr>
          <w:rFonts w:ascii="Arial" w:cs="Arial" w:eastAsia="Arial" w:hAnsi="Arial"/>
          <w:sz w:val="19"/>
          <w:szCs w:val="19"/>
          <w:color w:val="auto"/>
        </w:rPr>
        <w:t>.</w:t>
      </w:r>
    </w:p>
    <w:p>
      <w:pPr>
        <w:spacing w:after="0" w:line="179" w:lineRule="exact"/>
        <w:rPr>
          <w:sz w:val="20"/>
          <w:szCs w:val="20"/>
          <w:color w:val="auto"/>
        </w:rPr>
      </w:pPr>
    </w:p>
    <w:p>
      <w:pPr>
        <w:jc w:val="both"/>
        <w:ind w:left="80" w:firstLine="1305"/>
        <w:spacing w:after="0" w:line="242" w:lineRule="auto"/>
        <w:tabs>
          <w:tab w:leader="none" w:pos="1972" w:val="left"/>
        </w:tabs>
        <w:numPr>
          <w:ilvl w:val="0"/>
          <w:numId w:val="219"/>
        </w:numPr>
        <w:rPr>
          <w:rFonts w:ascii="Arial" w:cs="Arial" w:eastAsia="Arial" w:hAnsi="Arial"/>
          <w:sz w:val="19"/>
          <w:szCs w:val="19"/>
          <w:color w:val="auto"/>
        </w:rPr>
      </w:pPr>
      <w:r>
        <w:rPr>
          <w:rFonts w:ascii="Arial" w:cs="Arial" w:eastAsia="Arial" w:hAnsi="Arial"/>
          <w:sz w:val="19"/>
          <w:szCs w:val="19"/>
          <w:color w:val="auto"/>
        </w:rPr>
        <w:t>The Lenders, the Issuing Banks and the other Secured Parties hereby irrevocably agree that the Liens granted to the Collateral Agent by the Loan Parties on any Collateral shall (1) be automatically released: (i) in full upon the occurrence of the Termination Date as set forth in Section 10.17(c) below; (ii) upon the disposition (other than any lease or license) of such Collateral by any Loan Party to a person that is not (and is not required to become) a Loan Party in a transaction permitted by this Agreement (and the Collateral Agent may rely conclusively on a certificate to that effect provided to it by any Loan Party upon its reasonable request without further inquiry), (iii) to the extent that such Collateral comprises property leased to a Loan Party, upon termination or expiration of such lease (and the Collateral Agent may rely conclusively on a certificate to that effect provided to it by any Loan Party upon its reasonable request without further inquiry), (iv) if the release of such Lien is approved, authorized or ratified in writing by the Required Lenders (or such other percentage of the Lenders whose consent may be required in accordance with Section 10.2), (v) to the extent that the property constituting such Collateral is owned by any Guarantor, upon the release of such Guarantor from its obligations under the Guaranty in accordance with clause (b) below (and the Collateral Agent may rely conclusively on a certificate to that effect provided to it by any Loan</w:t>
      </w:r>
    </w:p>
    <w:p>
      <w:pPr>
        <w:sectPr>
          <w:pgSz w:w="11900" w:h="16838" w:orient="portrait"/>
          <w:cols w:equalWidth="0" w:num="1">
            <w:col w:w="11240"/>
          </w:cols>
          <w:pgMar w:left="320" w:top="1401" w:right="339" w:bottom="1440" w:gutter="0" w:footer="0" w:header="0"/>
        </w:sectPr>
      </w:pPr>
    </w:p>
    <w:bookmarkStart w:id="194" w:name="page195"/>
    <w:bookmarkEnd w:id="194"/>
    <w:p>
      <w:pPr>
        <w:jc w:val="both"/>
        <w:spacing w:after="0" w:line="241" w:lineRule="auto"/>
        <w:rPr>
          <w:sz w:val="20"/>
          <w:szCs w:val="20"/>
          <w:color w:val="auto"/>
        </w:rPr>
      </w:pPr>
      <w:r>
        <w:rPr>
          <w:rFonts w:ascii="Arial" w:cs="Arial" w:eastAsia="Arial" w:hAnsi="Arial"/>
          <w:sz w:val="19"/>
          <w:szCs w:val="19"/>
          <w:color w:val="auto"/>
        </w:rPr>
        <w:t>Party upon its reasonable request without further inquiry) or (vi) as required by the Collateral Agent to effect any disposition of Collateral in connection with any exercise of remedies of the Collateral Agent pursuant to the Collateral Documents and (2) be released upon the request of Holdings (i) to the holder of any Lien on such property that is permitted by clause (c) or (d) of Section 6.2 to the extent the contract or agreement pursuant to which such Lien is granted prohibits any other Liens on such property or (ii) to the extent such Collateral is or becomes Excluded Assets (as defined in the Security Agreement); provided, that prior to any such request, Holdings shall have in each case delivered to the Administrative Agent a certificate of a Responsible Officer of Holdings certifying (x) in the case of a request pursuant to clause (i) of this clause (2), that such Lien is permitted under this Agreement, (y) in the case of a request pursuant to clause (i) of this clause (2), that the contract or agreement pursuant to which such Lien is granted prohibits any other Lien on such property and (z) in the case of a request pursuant to clause (ii) of this clause (2), that (A) such property is or has become Excluded Assets (as defined in the Security Agreement) and (B) if such property has become Excluded Assets (as defined in the Security Agreement) as a result of a contractual restriction, such restriction does not violate Section 6.5. Any such release shall not in any manner discharge, affect, or impair the Obligations or any Liens (other than those being released) upon (or obligations (other than those being released) of the Loan Parties in respect of) all interests retained by the Loan Parties, including the proceeds of any disposition, all of which shall continue to constitute part of the Collateral except to the extent otherwise released in accordance with the provisions of the Loan Documents.</w:t>
      </w:r>
    </w:p>
    <w:p>
      <w:pPr>
        <w:spacing w:after="0" w:line="381" w:lineRule="exact"/>
        <w:rPr>
          <w:sz w:val="20"/>
          <w:szCs w:val="20"/>
          <w:color w:val="auto"/>
        </w:rPr>
      </w:pPr>
    </w:p>
    <w:p>
      <w:pPr>
        <w:jc w:val="both"/>
        <w:ind w:firstLine="1305"/>
        <w:spacing w:after="0"/>
        <w:tabs>
          <w:tab w:leader="none" w:pos="1806" w:val="left"/>
        </w:tabs>
        <w:numPr>
          <w:ilvl w:val="0"/>
          <w:numId w:val="220"/>
        </w:numPr>
        <w:rPr>
          <w:rFonts w:ascii="Arial" w:cs="Arial" w:eastAsia="Arial" w:hAnsi="Arial"/>
          <w:sz w:val="19"/>
          <w:szCs w:val="19"/>
          <w:color w:val="auto"/>
        </w:rPr>
      </w:pPr>
      <w:r>
        <w:rPr>
          <w:rFonts w:ascii="Arial" w:cs="Arial" w:eastAsia="Arial" w:hAnsi="Arial"/>
          <w:sz w:val="19"/>
          <w:szCs w:val="19"/>
          <w:color w:val="auto"/>
        </w:rPr>
        <w:t>In addition, the Lenders, the Issuing Banks and the other Secured Parties hereby irrevocably agree that the respective Guarantor (other than a Borrower in its capacity as a Guarantor) shall be released from its respective Guaranty (i) upon consummation of any transaction permitted hereunder (x) resulting in such Subsidiary ceasing to constitute a Restricted Subsidiary or (y) in the case of any Guarantor which would not be required to be a Guarantor because it is or has become an Excluded Subsidiary, in each case following a written request by Holdings to the Administrative Agent requesting that such person no longer constitute a Guarantor and certifying its entitlement to the requested release (and the Collateral Agent may rely conclusively on a certificate to the foregoing effect without further inquiry); provided, that any such release pursuant to preceding clause (y) shall only be effective if (A) no Default or Event of Default has occurred and is continuing or would result therefrom, (B) such Subsidiary owns no assets which were previously transferred to it by another Loan Party which constituted Collateral or proceeds of Collateral (or any such transfer of any such assets would be permitted hereunder immediately following such release), and (C) at the time of such release (and after giving effect thereto and any simultaneous release of other Indebtedness), all outstanding Indebtedness of, and Investments previously made in, such Subsidiary would then be permitted to be made in accordance with the relevant provisions of Sections 6.1 and 6.7 (for this purpose, with the Borrowers being required to reclassify any such items made in reliance upon the respective Subsidiary being a Guarantor on another basis as would be permitted by such applicable Section), and any previous dispositions thereto pursuant to Section 6.3 shall be re-characterized and would then be permitted as if same were made to a Subsidiary that was not a Guarantor (and all items described above in this clause (C) shall thereafter be deemed recharacterized as provided above in this clause (C)) and (D) such Subsidiary shall not be (or shall be simultaneously released as) a guarantor with respect to any Indebtedness permitted only by Section 6.1(u) or (ii) if the release of such Guarantor is approved, authorized or ratified by the Required Lenders (or such other percentage of Lenders whose consent is required in accordance with Section 10.2).</w:t>
      </w:r>
    </w:p>
    <w:p>
      <w:pPr>
        <w:spacing w:after="0" w:line="384" w:lineRule="exact"/>
        <w:rPr>
          <w:rFonts w:ascii="Arial" w:cs="Arial" w:eastAsia="Arial" w:hAnsi="Arial"/>
          <w:sz w:val="19"/>
          <w:szCs w:val="19"/>
          <w:color w:val="auto"/>
        </w:rPr>
      </w:pPr>
    </w:p>
    <w:p>
      <w:pPr>
        <w:jc w:val="both"/>
        <w:ind w:firstLine="1305"/>
        <w:spacing w:after="0" w:line="268" w:lineRule="auto"/>
        <w:tabs>
          <w:tab w:leader="none" w:pos="1806" w:val="left"/>
        </w:tabs>
        <w:numPr>
          <w:ilvl w:val="0"/>
          <w:numId w:val="220"/>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or any other Loan Document, upon the date on which all Commitments shall have been terminated, all Obligations (other than contingent indemnification obligations for which no claim has been made and Obligations under or in respect of Secured Swap Agreements or Secured Cash</w:t>
      </w:r>
    </w:p>
    <w:p>
      <w:pPr>
        <w:sectPr>
          <w:pgSz w:w="11900" w:h="16838" w:orient="portrait"/>
          <w:cols w:equalWidth="0" w:num="1">
            <w:col w:w="11160"/>
          </w:cols>
          <w:pgMar w:left="400" w:top="1401" w:right="339" w:bottom="1440" w:gutter="0" w:footer="0" w:header="0"/>
        </w:sectPr>
      </w:pPr>
    </w:p>
    <w:bookmarkStart w:id="195" w:name="page196"/>
    <w:bookmarkEnd w:id="195"/>
    <w:p>
      <w:pPr>
        <w:jc w:val="both"/>
        <w:spacing w:after="0" w:line="247" w:lineRule="auto"/>
        <w:rPr>
          <w:sz w:val="20"/>
          <w:szCs w:val="20"/>
          <w:color w:val="auto"/>
        </w:rPr>
      </w:pPr>
      <w:r>
        <w:rPr>
          <w:rFonts w:ascii="Arial" w:cs="Arial" w:eastAsia="Arial" w:hAnsi="Arial"/>
          <w:sz w:val="19"/>
          <w:szCs w:val="19"/>
          <w:color w:val="auto"/>
        </w:rPr>
        <w:t xml:space="preserve">Management Agreements) under any Loan Document shall have been paid in full and all Letters of Credit shall have expired or been terminated (unless such Letters of Credit have been (i) cash collateralized in an amount equal to 103% of Letter of Credit Usage at such time on terms reasonably satisfactory to the applicable Issuing Bank, (ii) backstopped in an amount equal to 103% of Letter of Credit Usage by a letter of credit in form and substance and by an institution reasonably satisfactory to the applicable Issuing Bank or (iii) deemed reissued under another facility reasonably acceptable to the applicable Issuing Bank) (such date, the “ </w:t>
      </w:r>
      <w:r>
        <w:rPr>
          <w:rFonts w:ascii="Arial" w:cs="Arial" w:eastAsia="Arial" w:hAnsi="Arial"/>
          <w:sz w:val="19"/>
          <w:szCs w:val="19"/>
          <w:u w:val="single" w:color="auto"/>
          <w:color w:val="auto"/>
        </w:rPr>
        <w:t>Termination Date</w:t>
      </w:r>
      <w:r>
        <w:rPr>
          <w:rFonts w:ascii="Arial" w:cs="Arial" w:eastAsia="Arial" w:hAnsi="Arial"/>
          <w:sz w:val="19"/>
          <w:szCs w:val="19"/>
          <w:color w:val="auto"/>
        </w:rPr>
        <w:t>”), all obligations under the Loan Documents and all Liens granted to the Collateral Agent by the Loan Parties on any Collateral shall be automatically released.</w:t>
      </w:r>
    </w:p>
    <w:p>
      <w:pPr>
        <w:spacing w:after="0" w:line="154" w:lineRule="exact"/>
        <w:rPr>
          <w:sz w:val="20"/>
          <w:szCs w:val="20"/>
          <w:color w:val="auto"/>
        </w:rPr>
      </w:pPr>
    </w:p>
    <w:p>
      <w:pPr>
        <w:jc w:val="both"/>
        <w:ind w:firstLine="1305"/>
        <w:spacing w:after="0" w:line="249" w:lineRule="auto"/>
        <w:tabs>
          <w:tab w:leader="none" w:pos="1981" w:val="left"/>
        </w:tabs>
        <w:numPr>
          <w:ilvl w:val="0"/>
          <w:numId w:val="221"/>
        </w:numPr>
        <w:rPr>
          <w:rFonts w:ascii="Arial" w:cs="Arial" w:eastAsia="Arial" w:hAnsi="Arial"/>
          <w:sz w:val="19"/>
          <w:szCs w:val="19"/>
          <w:color w:val="auto"/>
        </w:rPr>
      </w:pPr>
      <w:r>
        <w:rPr>
          <w:rFonts w:ascii="Arial" w:cs="Arial" w:eastAsia="Arial" w:hAnsi="Arial"/>
          <w:sz w:val="19"/>
          <w:szCs w:val="19"/>
          <w:color w:val="auto"/>
        </w:rPr>
        <w:t>Obligations of any Loan Party under any Secured Cash Management Agreement or Secured Swap Agreement shall be secured and guaranteed under the Loan Documents only to the extent that, and for so long as, the other Obligations are so secured and guaranteed. No Person shall have any voting rights under any Loan Document solely as a result of the existence of obligations owed to it under any Secured Swap Agreement or Secured Cash Management Agreement. For the avoidance of doubt, no release of Collateral or Guarantors effected in the manner permitted by this Agreement shall require the consent of any holder of obligations under any Secured Swap Agreements or any Secured Cash Management Agreements.</w:t>
      </w:r>
    </w:p>
    <w:p>
      <w:pPr>
        <w:spacing w:after="0" w:line="151" w:lineRule="exact"/>
        <w:rPr>
          <w:rFonts w:ascii="Arial" w:cs="Arial" w:eastAsia="Arial" w:hAnsi="Arial"/>
          <w:sz w:val="19"/>
          <w:szCs w:val="19"/>
          <w:color w:val="auto"/>
        </w:rPr>
      </w:pPr>
    </w:p>
    <w:p>
      <w:pPr>
        <w:jc w:val="both"/>
        <w:ind w:firstLine="1305"/>
        <w:spacing w:after="0" w:line="242" w:lineRule="auto"/>
        <w:tabs>
          <w:tab w:leader="none" w:pos="1807" w:val="left"/>
        </w:tabs>
        <w:numPr>
          <w:ilvl w:val="0"/>
          <w:numId w:val="221"/>
        </w:numPr>
        <w:rPr>
          <w:rFonts w:ascii="Arial" w:cs="Arial" w:eastAsia="Arial" w:hAnsi="Arial"/>
          <w:sz w:val="19"/>
          <w:szCs w:val="19"/>
          <w:color w:val="auto"/>
        </w:rPr>
      </w:pPr>
      <w:r>
        <w:rPr>
          <w:rFonts w:ascii="Arial" w:cs="Arial" w:eastAsia="Arial" w:hAnsi="Arial"/>
          <w:sz w:val="19"/>
          <w:szCs w:val="19"/>
          <w:color w:val="auto"/>
        </w:rPr>
        <w:t>In connection with any release pursuant to this Section 10.17, the Administrative Agent and the Collateral Agent shall promptly (and the Lenders, the Issuing Banks and the other Secured Parties hereby authorize the Administrative Agent and the Collateral Agent to) take such action and execute any such documents as may be reasonably requested by any Borrower and at such Borrower’s expense in connection with the release of any Guaranty or any Liens created by any Loan Document in respect of any Subsidiary, property or asset; provided, that (i) the Administrative Agent shall have received a certificate of a Responsible Officer of such Borrower containing such certifications as the Administrative Agent shall reasonably request, (ii) the Administrative Agent or the Collateral Agent shall not be required to execute any such document on terms which, in the applicable Agent’s reasonable opinion, would expose such Agent to liability or create any obligation or entail any consequence other than the release of such Liens without recourse or warranty, and (iii) such release shall not in any manner discharge, affect or impair the Obligations or any Liens upon (or obligations of any Borrower or any Subsidiary in respect of) all interests retained by any Borrower or any Subsidiary, including the proceeds of any disposition, all of which shall continue to constitute part of the Collateral except to the extent otherwise released in accordance with the provisions of the Loan Documents. Any execution and delivery of documents pursuant to this Section 10.17(e) shall be without recourse to or warranty by the Administrative Agent or Collateral Agent.</w:t>
      </w:r>
    </w:p>
    <w:p>
      <w:pPr>
        <w:spacing w:after="0" w:line="376" w:lineRule="exact"/>
        <w:rPr>
          <w:rFonts w:ascii="Arial" w:cs="Arial" w:eastAsia="Arial" w:hAnsi="Arial"/>
          <w:sz w:val="19"/>
          <w:szCs w:val="19"/>
          <w:color w:val="auto"/>
        </w:rPr>
      </w:pPr>
    </w:p>
    <w:p>
      <w:pPr>
        <w:jc w:val="both"/>
        <w:ind w:firstLine="1305"/>
        <w:spacing w:after="0" w:line="224" w:lineRule="auto"/>
        <w:tabs>
          <w:tab w:leader="none" w:pos="2026" w:val="left"/>
        </w:tabs>
        <w:numPr>
          <w:ilvl w:val="0"/>
          <w:numId w:val="221"/>
        </w:numPr>
        <w:rPr>
          <w:rFonts w:ascii="Arial" w:cs="Arial" w:eastAsia="Arial" w:hAnsi="Arial"/>
          <w:sz w:val="21"/>
          <w:szCs w:val="21"/>
          <w:color w:val="auto"/>
        </w:rPr>
      </w:pPr>
      <w:r>
        <w:rPr>
          <w:rFonts w:ascii="Arial" w:cs="Arial" w:eastAsia="Arial" w:hAnsi="Arial"/>
          <w:sz w:val="21"/>
          <w:szCs w:val="21"/>
          <w:color w:val="auto"/>
        </w:rPr>
        <w:t>The Lenders, the Issuing Banks and the other Secured Parties hereby irrevocably authorize the Administrative Agent and the Collateral Agent, as applicable, to execute and deliver any instruments, documents, and agreements necessary or desirable to evidence and confirm the release of any Guarantor or Collateral pursuant to the foregoing provisions of this Section 10.17, all without the further consent or joinder of any Lender, any Issuing Bank or any other Secured Party. Upon the effectiveness of any such release, any representation, warranty or covenant contained in any Loan Document relating to any such Collateral or Guarantor shall no longer be deemed to be made.</w:t>
      </w:r>
    </w:p>
    <w:p>
      <w:pPr>
        <w:spacing w:after="0" w:line="159" w:lineRule="exact"/>
        <w:rPr>
          <w:rFonts w:ascii="Arial" w:cs="Arial" w:eastAsia="Arial" w:hAnsi="Arial"/>
          <w:sz w:val="21"/>
          <w:szCs w:val="21"/>
          <w:color w:val="auto"/>
        </w:rPr>
      </w:pPr>
    </w:p>
    <w:p>
      <w:pPr>
        <w:jc w:val="both"/>
        <w:ind w:firstLine="1305"/>
        <w:spacing w:after="0" w:line="218" w:lineRule="auto"/>
        <w:tabs>
          <w:tab w:leader="none" w:pos="191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The Administrative Agent shall not be responsible for or have a duty to ascertain or inquire into any representation or warranty regarding the existence, value or collectability of the Collateral, the existence, priority or perfection of any Agent’s Lien thereon, or any certificate prepared by any Loan Party in connection therewith, nor shall the Administrative Agent be responsible or liable to the Lenders for any failure to monitor or</w:t>
      </w:r>
    </w:p>
    <w:p>
      <w:pPr>
        <w:sectPr>
          <w:pgSz w:w="11900" w:h="16838" w:orient="portrait"/>
          <w:cols w:equalWidth="0" w:num="1">
            <w:col w:w="11160"/>
          </w:cols>
          <w:pgMar w:left="400" w:top="1401" w:right="339" w:bottom="1440" w:gutter="0" w:footer="0" w:header="0"/>
        </w:sectPr>
      </w:pPr>
    </w:p>
    <w:bookmarkStart w:id="196" w:name="page197"/>
    <w:bookmarkEnd w:id="196"/>
    <w:p>
      <w:pPr>
        <w:ind w:left="80"/>
        <w:spacing w:after="0" w:line="232" w:lineRule="auto"/>
        <w:rPr>
          <w:sz w:val="20"/>
          <w:szCs w:val="20"/>
          <w:color w:val="auto"/>
        </w:rPr>
      </w:pPr>
      <w:r>
        <w:rPr>
          <w:rFonts w:ascii="Arial" w:cs="Arial" w:eastAsia="Arial" w:hAnsi="Arial"/>
          <w:sz w:val="22"/>
          <w:szCs w:val="22"/>
          <w:color w:val="auto"/>
        </w:rPr>
        <w:t>maintain any portion of the Collateral. The Administrative Agent and Collateral Agent may rely conclusively on any certificate delivered in connection with this Section 10.17 without any further inquiry.</w:t>
      </w:r>
    </w:p>
    <w:p>
      <w:pPr>
        <w:spacing w:after="0" w:line="15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 xml:space="preserve">Section 10.18 </w:t>
      </w:r>
      <w:r>
        <w:rPr>
          <w:rFonts w:ascii="Arial" w:cs="Arial" w:eastAsia="Arial" w:hAnsi="Arial"/>
          <w:sz w:val="22"/>
          <w:szCs w:val="22"/>
          <w:u w:val="single" w:color="auto"/>
          <w:color w:val="auto"/>
        </w:rPr>
        <w:t>Acknowledgement and Consent to Bail-In of Affected Financial Institutions</w:t>
      </w:r>
      <w:r>
        <w:rPr>
          <w:rFonts w:ascii="Arial" w:cs="Arial" w:eastAsia="Arial" w:hAnsi="Arial"/>
          <w:sz w:val="22"/>
          <w:szCs w:val="22"/>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58" w:lineRule="exact"/>
        <w:rPr>
          <w:sz w:val="20"/>
          <w:szCs w:val="20"/>
          <w:color w:val="auto"/>
        </w:rPr>
      </w:pPr>
    </w:p>
    <w:p>
      <w:pPr>
        <w:ind w:left="80" w:firstLine="1305"/>
        <w:spacing w:after="0" w:line="298" w:lineRule="auto"/>
        <w:tabs>
          <w:tab w:leader="none" w:pos="1897" w:val="left"/>
        </w:tabs>
        <w:numPr>
          <w:ilvl w:val="0"/>
          <w:numId w:val="222"/>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05" w:lineRule="exact"/>
        <w:rPr>
          <w:rFonts w:ascii="Arial" w:cs="Arial" w:eastAsia="Arial" w:hAnsi="Arial"/>
          <w:sz w:val="19"/>
          <w:szCs w:val="19"/>
          <w:color w:val="auto"/>
        </w:rPr>
      </w:pPr>
    </w:p>
    <w:p>
      <w:pPr>
        <w:ind w:left="1860" w:hanging="475"/>
        <w:spacing w:after="0"/>
        <w:tabs>
          <w:tab w:leader="none" w:pos="186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179" w:lineRule="exact"/>
        <w:rPr>
          <w:rFonts w:ascii="Arial" w:cs="Arial" w:eastAsia="Arial" w:hAnsi="Arial"/>
          <w:sz w:val="22"/>
          <w:szCs w:val="22"/>
          <w:color w:val="auto"/>
        </w:rPr>
      </w:pPr>
    </w:p>
    <w:p>
      <w:pPr>
        <w:ind w:left="2460" w:hanging="508"/>
        <w:spacing w:after="0"/>
        <w:tabs>
          <w:tab w:leader="none" w:pos="2460" w:val="left"/>
        </w:tabs>
        <w:numPr>
          <w:ilvl w:val="1"/>
          <w:numId w:val="222"/>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179" w:lineRule="exact"/>
        <w:rPr>
          <w:rFonts w:ascii="Arial" w:cs="Arial" w:eastAsia="Arial" w:hAnsi="Arial"/>
          <w:sz w:val="22"/>
          <w:szCs w:val="22"/>
          <w:color w:val="auto"/>
        </w:rPr>
      </w:pPr>
    </w:p>
    <w:p>
      <w:pPr>
        <w:jc w:val="both"/>
        <w:ind w:left="660" w:firstLine="1292"/>
        <w:spacing w:after="0" w:line="218" w:lineRule="auto"/>
        <w:tabs>
          <w:tab w:leader="none" w:pos="2539" w:val="left"/>
        </w:tabs>
        <w:numPr>
          <w:ilvl w:val="1"/>
          <w:numId w:val="222"/>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0" w:lineRule="exact"/>
        <w:rPr>
          <w:rFonts w:ascii="Arial" w:cs="Arial" w:eastAsia="Arial" w:hAnsi="Arial"/>
          <w:sz w:val="22"/>
          <w:szCs w:val="22"/>
          <w:color w:val="auto"/>
        </w:rPr>
      </w:pPr>
    </w:p>
    <w:p>
      <w:pPr>
        <w:ind w:left="660" w:firstLine="1292"/>
        <w:spacing w:after="0" w:line="232" w:lineRule="auto"/>
        <w:tabs>
          <w:tab w:leader="none" w:pos="2542" w:val="left"/>
        </w:tabs>
        <w:numPr>
          <w:ilvl w:val="1"/>
          <w:numId w:val="222"/>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the applicable Resolution Authority.</w:t>
      </w:r>
    </w:p>
    <w:p>
      <w:pPr>
        <w:spacing w:after="0" w:line="15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 xml:space="preserve">Section 10.19 </w:t>
      </w:r>
      <w:r>
        <w:rPr>
          <w:rFonts w:ascii="Arial" w:cs="Arial" w:eastAsia="Arial" w:hAnsi="Arial"/>
          <w:sz w:val="22"/>
          <w:szCs w:val="22"/>
          <w:u w:val="single" w:color="auto"/>
          <w:color w:val="auto"/>
        </w:rPr>
        <w:t>Conversion of Currencies</w:t>
      </w:r>
      <w:r>
        <w:rPr>
          <w:rFonts w:ascii="Arial" w:cs="Arial" w:eastAsia="Arial" w:hAnsi="Arial"/>
          <w:sz w:val="22"/>
          <w:szCs w:val="22"/>
          <w:color w:val="auto"/>
        </w:rPr>
        <w:t>. (a) 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158" w:lineRule="exact"/>
        <w:rPr>
          <w:sz w:val="20"/>
          <w:szCs w:val="20"/>
          <w:color w:val="auto"/>
        </w:rPr>
      </w:pPr>
    </w:p>
    <w:p>
      <w:pPr>
        <w:jc w:val="both"/>
        <w:ind w:left="80" w:firstLine="1305"/>
        <w:spacing w:after="0" w:line="220" w:lineRule="auto"/>
        <w:tabs>
          <w:tab w:leader="none" w:pos="1986" w:val="left"/>
        </w:tabs>
        <w:numPr>
          <w:ilvl w:val="0"/>
          <w:numId w:val="223"/>
        </w:numPr>
        <w:rPr>
          <w:rFonts w:ascii="Arial" w:cs="Arial" w:eastAsia="Arial" w:hAnsi="Arial"/>
          <w:sz w:val="21"/>
          <w:szCs w:val="21"/>
          <w:color w:val="auto"/>
        </w:rPr>
      </w:pPr>
      <w:r>
        <w:rPr>
          <w:rFonts w:ascii="Arial" w:cs="Arial" w:eastAsia="Arial" w:hAnsi="Arial"/>
          <w:sz w:val="21"/>
          <w:szCs w:val="21"/>
          <w:color w:val="auto"/>
        </w:rPr>
        <w:t>The obligations of the Borrowers in respect of any sum due to any party hereto or any holder of the obligations owing hereunder (the “</w:t>
      </w:r>
      <w:r>
        <w:rPr>
          <w:rFonts w:ascii="Arial" w:cs="Arial" w:eastAsia="Arial" w:hAnsi="Arial"/>
          <w:sz w:val="21"/>
          <w:szCs w:val="21"/>
          <w:u w:val="single" w:color="auto"/>
          <w:color w:val="auto"/>
        </w:rPr>
        <w:t>Applicable Creditor</w:t>
      </w:r>
      <w:r>
        <w:rPr>
          <w:rFonts w:ascii="Arial" w:cs="Arial" w:eastAsia="Arial" w:hAnsi="Arial"/>
          <w:sz w:val="21"/>
          <w:szCs w:val="21"/>
          <w:color w:val="auto"/>
        </w:rPr>
        <w:t>”) shall, notwithstanding any judgment in a currency (the “</w:t>
      </w:r>
      <w:r>
        <w:rPr>
          <w:rFonts w:ascii="Arial" w:cs="Arial" w:eastAsia="Arial" w:hAnsi="Arial"/>
          <w:sz w:val="21"/>
          <w:szCs w:val="21"/>
          <w:u w:val="single" w:color="auto"/>
          <w:color w:val="auto"/>
        </w:rPr>
        <w:t>Judgment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Currency</w:t>
      </w:r>
      <w:r>
        <w:rPr>
          <w:rFonts w:ascii="Arial" w:cs="Arial" w:eastAsia="Arial" w:hAnsi="Arial"/>
          <w:sz w:val="21"/>
          <w:szCs w:val="21"/>
          <w:color w:val="auto"/>
        </w:rPr>
        <w:t>”) other than the currency in which such sum is stated to be due hereunder (the “</w:t>
      </w:r>
      <w:r>
        <w:rPr>
          <w:rFonts w:ascii="Arial" w:cs="Arial" w:eastAsia="Arial" w:hAnsi="Arial"/>
          <w:sz w:val="21"/>
          <w:szCs w:val="21"/>
          <w:u w:val="single" w:color="auto"/>
          <w:color w:val="auto"/>
        </w:rPr>
        <w:t>Agreement Currency</w:t>
      </w:r>
      <w:r>
        <w:rPr>
          <w:rFonts w:ascii="Arial" w:cs="Arial" w:eastAsia="Arial" w:hAnsi="Arial"/>
          <w:sz w:val="21"/>
          <w:szCs w:val="21"/>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Borrowers jointly and severally agree, as a separate obligation and notwithstanding any such judgment, to indemnify the Applicable Creditor against such loss. The obligations of the Borrowers contained in this Section shall survive the termination of this Agreement and the payment of all other amounts owing hereunder.</w:t>
      </w:r>
    </w:p>
    <w:p>
      <w:pPr>
        <w:spacing w:after="0" w:line="162"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Section 10.20 </w:t>
      </w:r>
      <w:r>
        <w:rPr>
          <w:rFonts w:ascii="Arial" w:cs="Arial" w:eastAsia="Arial" w:hAnsi="Arial"/>
          <w:sz w:val="22"/>
          <w:szCs w:val="22"/>
          <w:u w:val="single" w:color="auto"/>
          <w:color w:val="auto"/>
        </w:rPr>
        <w:t>Acknowledgement Regarding Any Supported QFCs</w:t>
      </w:r>
      <w:r>
        <w:rPr>
          <w:rFonts w:ascii="Arial" w:cs="Arial" w:eastAsia="Arial" w:hAnsi="Arial"/>
          <w:sz w:val="22"/>
          <w:szCs w:val="22"/>
          <w:color w:val="auto"/>
        </w:rPr>
        <w:t>. To the extent that the Loan Documents provide support, through a guarantee or otherwise, for Swap Agreements or any other agreement or instrument that is a QFC (such support, “</w:t>
      </w:r>
      <w:r>
        <w:rPr>
          <w:rFonts w:ascii="Arial" w:cs="Arial" w:eastAsia="Arial" w:hAnsi="Arial"/>
          <w:sz w:val="22"/>
          <w:szCs w:val="22"/>
          <w:u w:val="single" w:color="auto"/>
          <w:color w:val="auto"/>
        </w:rPr>
        <w:t>QFC Credit</w:t>
      </w:r>
    </w:p>
    <w:p>
      <w:pPr>
        <w:sectPr>
          <w:pgSz w:w="11900" w:h="16838" w:orient="portrait"/>
          <w:cols w:equalWidth="0" w:num="1">
            <w:col w:w="11240"/>
          </w:cols>
          <w:pgMar w:left="320" w:top="1401" w:right="339" w:bottom="1440" w:gutter="0" w:footer="0" w:header="0"/>
        </w:sectPr>
      </w:pPr>
    </w:p>
    <w:bookmarkStart w:id="197" w:name="page198"/>
    <w:bookmarkEnd w:id="197"/>
    <w:p>
      <w:pPr>
        <w:jc w:val="both"/>
        <w:spacing w:after="0"/>
        <w:rPr>
          <w:sz w:val="20"/>
          <w:szCs w:val="20"/>
          <w:color w:val="auto"/>
        </w:rPr>
      </w:pPr>
      <w:r>
        <w:rPr>
          <w:rFonts w:ascii="Arial" w:cs="Arial" w:eastAsia="Arial" w:hAnsi="Arial"/>
          <w:sz w:val="19"/>
          <w:szCs w:val="19"/>
          <w:u w:val="single" w:color="auto"/>
          <w:color w:val="auto"/>
        </w:rPr>
        <w:t>Support</w:t>
      </w:r>
      <w:r>
        <w:rPr>
          <w:rFonts w:ascii="Arial" w:cs="Arial" w:eastAsia="Arial" w:hAnsi="Arial"/>
          <w:sz w:val="19"/>
          <w:szCs w:val="19"/>
          <w:color w:val="auto"/>
        </w:rPr>
        <w:t>” and each such QFC, a “</w:t>
      </w:r>
      <w:r>
        <w:rPr>
          <w:rFonts w:ascii="Arial" w:cs="Arial" w:eastAsia="Arial" w:hAnsi="Arial"/>
          <w:sz w:val="19"/>
          <w:szCs w:val="19"/>
          <w:u w:val="single" w:color="auto"/>
          <w:color w:val="auto"/>
        </w:rPr>
        <w:t>Supported QFC</w:t>
      </w:r>
      <w:r>
        <w:rPr>
          <w:rFonts w:ascii="Arial" w:cs="Arial" w:eastAsia="Arial" w:hAnsi="Arial"/>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u w:val="single" w:color="auto"/>
          <w:color w:val="auto"/>
        </w:rPr>
        <w:t>U.S. Special Resolution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Regimes</w:t>
      </w:r>
      <w:r>
        <w:rPr>
          <w:rFonts w:ascii="Arial" w:cs="Arial" w:eastAsia="Arial" w:hAnsi="Arial"/>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Arial" w:cs="Arial" w:eastAsia="Arial" w:hAnsi="Arial"/>
          <w:sz w:val="19"/>
          <w:szCs w:val="19"/>
          <w:u w:val="single" w:color="auto"/>
          <w:color w:val="auto"/>
        </w:rPr>
        <w:t>Covered Party</w:t>
      </w:r>
      <w:r>
        <w:rPr>
          <w:rFonts w:ascii="Arial" w:cs="Arial" w:eastAsia="Arial" w:hAnsi="Arial"/>
          <w:sz w:val="19"/>
          <w:szCs w:val="19"/>
          <w:color w:val="auto"/>
        </w:rPr>
        <w:t xml:space="preserve"> ”)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1"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22"/>
          <w:szCs w:val="22"/>
          <w:color w:val="auto"/>
        </w:rPr>
        <w:t>Section 10.21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179"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22"/>
          <w:szCs w:val="22"/>
          <w:color w:val="auto"/>
        </w:rPr>
        <w:t>Section 10.22</w:t>
      </w:r>
      <w:r>
        <w:rPr>
          <w:sz w:val="20"/>
          <w:szCs w:val="20"/>
          <w:color w:val="auto"/>
        </w:rPr>
        <w:tab/>
      </w:r>
      <w:r>
        <w:rPr>
          <w:rFonts w:ascii="Arial" w:cs="Arial" w:eastAsia="Arial" w:hAnsi="Arial"/>
          <w:sz w:val="19"/>
          <w:szCs w:val="19"/>
          <w:u w:val="single" w:color="auto"/>
          <w:color w:val="auto"/>
        </w:rPr>
        <w:t>Certain ERISA Matters</w:t>
      </w:r>
      <w:r>
        <w:rPr>
          <w:rFonts w:ascii="Arial" w:cs="Arial" w:eastAsia="Arial" w:hAnsi="Arial"/>
          <w:sz w:val="19"/>
          <w:szCs w:val="19"/>
          <w:color w:val="auto"/>
        </w:rPr>
        <w:t>.</w:t>
      </w:r>
    </w:p>
    <w:p>
      <w:pPr>
        <w:spacing w:after="0" w:line="179" w:lineRule="exact"/>
        <w:rPr>
          <w:sz w:val="20"/>
          <w:szCs w:val="20"/>
          <w:color w:val="auto"/>
        </w:rPr>
      </w:pPr>
    </w:p>
    <w:p>
      <w:pPr>
        <w:ind w:left="1880" w:hanging="495"/>
        <w:spacing w:after="0"/>
        <w:tabs>
          <w:tab w:leader="none" w:pos="1880" w:val="left"/>
        </w:tabs>
        <w:numPr>
          <w:ilvl w:val="2"/>
          <w:numId w:val="224"/>
        </w:numPr>
        <w:rPr>
          <w:rFonts w:ascii="Arial" w:cs="Arial" w:eastAsia="Arial" w:hAnsi="Arial"/>
          <w:sz w:val="19"/>
          <w:szCs w:val="19"/>
          <w:color w:val="auto"/>
        </w:rPr>
      </w:pPr>
      <w:r>
        <w:rPr>
          <w:rFonts w:ascii="Arial" w:cs="Arial" w:eastAsia="Arial" w:hAnsi="Arial"/>
          <w:sz w:val="19"/>
          <w:szCs w:val="19"/>
          <w:color w:val="auto"/>
        </w:rPr>
        <w:t>Each Lender (x) represents and warrants, as of the date such Person became a Lender party hereto, to, and</w:t>
      </w:r>
    </w:p>
    <w:p>
      <w:pPr>
        <w:spacing w:after="0" w:line="15" w:lineRule="exact"/>
        <w:rPr>
          <w:rFonts w:ascii="Arial" w:cs="Arial" w:eastAsia="Arial" w:hAnsi="Arial"/>
          <w:sz w:val="19"/>
          <w:szCs w:val="19"/>
          <w:color w:val="auto"/>
        </w:rPr>
      </w:pPr>
    </w:p>
    <w:p>
      <w:pPr>
        <w:jc w:val="both"/>
        <w:ind w:left="80" w:firstLine="9"/>
        <w:spacing w:after="0" w:line="217" w:lineRule="auto"/>
        <w:tabs>
          <w:tab w:leader="none" w:pos="41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covenants, from the date such Person became a Lender party hereto to the date such Person ceases being a Lender party hereto, for the benefit of, the Administrative Agent and not, for the avoidance of doubt, to or for the benefit of any Borrower or any other Loan Party, that at least one of the following is and will be true:</w:t>
      </w:r>
    </w:p>
    <w:p>
      <w:pPr>
        <w:spacing w:after="0" w:line="159" w:lineRule="exact"/>
        <w:rPr>
          <w:rFonts w:ascii="Arial" w:cs="Arial" w:eastAsia="Arial" w:hAnsi="Arial"/>
          <w:sz w:val="22"/>
          <w:szCs w:val="22"/>
          <w:color w:val="auto"/>
        </w:rPr>
      </w:pPr>
    </w:p>
    <w:p>
      <w:pPr>
        <w:jc w:val="both"/>
        <w:ind w:left="660" w:firstLine="644"/>
        <w:spacing w:after="0" w:line="223" w:lineRule="auto"/>
        <w:tabs>
          <w:tab w:leader="none" w:pos="1736" w:val="left"/>
        </w:tabs>
        <w:numPr>
          <w:ilvl w:val="1"/>
          <w:numId w:val="225"/>
        </w:numPr>
        <w:rPr>
          <w:rFonts w:ascii="Arial" w:cs="Arial" w:eastAsia="Arial" w:hAnsi="Arial"/>
          <w:sz w:val="22"/>
          <w:szCs w:val="22"/>
          <w:color w:val="auto"/>
        </w:rPr>
      </w:pPr>
      <w:r>
        <w:rPr>
          <w:rFonts w:ascii="Arial" w:cs="Arial" w:eastAsia="Arial" w:hAnsi="Arial"/>
          <w:sz w:val="22"/>
          <w:szCs w:val="22"/>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58" w:lineRule="exact"/>
        <w:rPr>
          <w:rFonts w:ascii="Arial" w:cs="Arial" w:eastAsia="Arial" w:hAnsi="Arial"/>
          <w:sz w:val="22"/>
          <w:szCs w:val="22"/>
          <w:color w:val="auto"/>
        </w:rPr>
      </w:pPr>
    </w:p>
    <w:p>
      <w:pPr>
        <w:jc w:val="both"/>
        <w:ind w:left="660" w:firstLine="644"/>
        <w:spacing w:after="0" w:line="247" w:lineRule="auto"/>
        <w:tabs>
          <w:tab w:leader="none" w:pos="1837" w:val="left"/>
        </w:tabs>
        <w:numPr>
          <w:ilvl w:val="1"/>
          <w:numId w:val="225"/>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53" w:lineRule="exact"/>
        <w:rPr>
          <w:rFonts w:ascii="Arial" w:cs="Arial" w:eastAsia="Arial" w:hAnsi="Arial"/>
          <w:sz w:val="19"/>
          <w:szCs w:val="19"/>
          <w:color w:val="auto"/>
        </w:rPr>
      </w:pPr>
    </w:p>
    <w:p>
      <w:pPr>
        <w:ind w:left="660" w:firstLine="644"/>
        <w:spacing w:after="0" w:line="232" w:lineRule="auto"/>
        <w:tabs>
          <w:tab w:leader="none" w:pos="1910" w:val="left"/>
        </w:tabs>
        <w:numPr>
          <w:ilvl w:val="1"/>
          <w:numId w:val="225"/>
        </w:numPr>
        <w:rPr>
          <w:rFonts w:ascii="Arial" w:cs="Arial" w:eastAsia="Arial" w:hAnsi="Arial"/>
          <w:sz w:val="22"/>
          <w:szCs w:val="22"/>
          <w:color w:val="auto"/>
        </w:rPr>
      </w:pPr>
      <w:r>
        <w:rPr>
          <w:rFonts w:ascii="Arial" w:cs="Arial" w:eastAsia="Arial" w:hAnsi="Arial"/>
          <w:sz w:val="22"/>
          <w:szCs w:val="22"/>
          <w:color w:val="auto"/>
        </w:rPr>
        <w:t>(A) such Lender is an investment fund managed by a “Qualified Professional Asset Manager” (within the meaning of Part VI of PTE 84-14), (B) such</w:t>
      </w:r>
    </w:p>
    <w:p>
      <w:pPr>
        <w:sectPr>
          <w:pgSz w:w="11900" w:h="16838" w:orient="portrait"/>
          <w:cols w:equalWidth="0" w:num="1">
            <w:col w:w="11240"/>
          </w:cols>
          <w:pgMar w:left="320" w:top="1401" w:right="339" w:bottom="1440" w:gutter="0" w:footer="0" w:header="0"/>
        </w:sectPr>
      </w:pPr>
    </w:p>
    <w:bookmarkStart w:id="198" w:name="page199"/>
    <w:bookmarkEnd w:id="198"/>
    <w:p>
      <w:pPr>
        <w:jc w:val="both"/>
        <w:ind w:left="580"/>
        <w:spacing w:after="0" w:line="222" w:lineRule="auto"/>
        <w:rPr>
          <w:sz w:val="20"/>
          <w:szCs w:val="20"/>
          <w:color w:val="auto"/>
        </w:rPr>
      </w:pPr>
      <w:r>
        <w:rPr>
          <w:rFonts w:ascii="Arial" w:cs="Arial" w:eastAsia="Arial" w:hAnsi="Arial"/>
          <w:sz w:val="21"/>
          <w:szCs w:val="21"/>
          <w:color w:val="auto"/>
        </w:rPr>
        <w:t>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64" w:lineRule="exact"/>
        <w:rPr>
          <w:sz w:val="20"/>
          <w:szCs w:val="20"/>
          <w:color w:val="auto"/>
        </w:rPr>
      </w:pPr>
    </w:p>
    <w:p>
      <w:pPr>
        <w:ind w:left="580" w:firstLine="644"/>
        <w:spacing w:after="0" w:line="232" w:lineRule="auto"/>
        <w:tabs>
          <w:tab w:leader="none" w:pos="1819" w:val="left"/>
        </w:tabs>
        <w:numPr>
          <w:ilvl w:val="0"/>
          <w:numId w:val="226"/>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w:t>
      </w:r>
    </w:p>
    <w:p>
      <w:pPr>
        <w:spacing w:after="0" w:line="158" w:lineRule="exact"/>
        <w:rPr>
          <w:rFonts w:ascii="Arial" w:cs="Arial" w:eastAsia="Arial" w:hAnsi="Arial"/>
          <w:sz w:val="22"/>
          <w:szCs w:val="22"/>
          <w:color w:val="auto"/>
        </w:rPr>
      </w:pPr>
    </w:p>
    <w:p>
      <w:pPr>
        <w:jc w:val="both"/>
        <w:ind w:firstLine="1305"/>
        <w:spacing w:after="0" w:line="244" w:lineRule="auto"/>
        <w:tabs>
          <w:tab w:leader="none" w:pos="1799" w:val="left"/>
        </w:tabs>
        <w:numPr>
          <w:ilvl w:val="1"/>
          <w:numId w:val="226"/>
        </w:numPr>
        <w:rPr>
          <w:rFonts w:ascii="Arial" w:cs="Arial" w:eastAsia="Arial" w:hAnsi="Arial"/>
          <w:sz w:val="19"/>
          <w:szCs w:val="19"/>
          <w:color w:val="auto"/>
        </w:rPr>
      </w:pPr>
      <w:r>
        <w:rPr>
          <w:rFonts w:ascii="Arial" w:cs="Arial" w:eastAsia="Arial" w:hAnsi="Arial"/>
          <w:sz w:val="19"/>
          <w:szCs w:val="19"/>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of exercise or any rights by the Administrative Agent under this Agreement, any Loan Document or any documents related hereto or thereto).</w:t>
      </w:r>
    </w:p>
    <w:p>
      <w:pPr>
        <w:spacing w:after="0" w:line="16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[Remainder of Page Intentionally Left Blank]</w:t>
      </w:r>
    </w:p>
    <w:p>
      <w:pPr>
        <w:sectPr>
          <w:pgSz w:w="11900" w:h="16838" w:orient="portrait"/>
          <w:cols w:equalWidth="0" w:num="1">
            <w:col w:w="11160"/>
          </w:cols>
          <w:pgMar w:left="400" w:top="1401" w:right="339" w:bottom="1440" w:gutter="0" w:footer="0" w:header="0"/>
        </w:sectPr>
      </w:pPr>
    </w:p>
    <w:bookmarkStart w:id="199" w:name="page200"/>
    <w:bookmarkEnd w:id="199"/>
    <w:p>
      <w:pPr>
        <w:ind w:left="10320"/>
        <w:spacing w:after="0"/>
        <w:rPr>
          <w:sz w:val="20"/>
          <w:szCs w:val="20"/>
          <w:color w:val="auto"/>
        </w:rPr>
      </w:pPr>
      <w:r>
        <w:rPr>
          <w:rFonts w:ascii="Arial" w:cs="Arial" w:eastAsia="Arial" w:hAnsi="Arial"/>
          <w:sz w:val="16"/>
          <w:szCs w:val="16"/>
          <w:b w:val="1"/>
          <w:bCs w:val="1"/>
          <w:color w:val="auto"/>
        </w:rPr>
        <w:t>Exhibit 31.1</w:t>
      </w:r>
    </w:p>
    <w:p>
      <w:pPr>
        <w:spacing w:after="0" w:line="289" w:lineRule="exact"/>
        <w:rPr>
          <w:sz w:val="20"/>
          <w:szCs w:val="20"/>
          <w:color w:val="auto"/>
        </w:rPr>
      </w:pPr>
    </w:p>
    <w:p>
      <w:pPr>
        <w:jc w:val="center"/>
        <w:ind w:left="340" w:right="400"/>
        <w:spacing w:after="0" w:line="289"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Matthew Oppenheimer, certify that:</w:t>
      </w:r>
    </w:p>
    <w:p>
      <w:pPr>
        <w:spacing w:after="0" w:line="306" w:lineRule="exact"/>
        <w:rPr>
          <w:sz w:val="20"/>
          <w:szCs w:val="20"/>
          <w:color w:val="auto"/>
        </w:rPr>
      </w:pPr>
    </w:p>
    <w:p>
      <w:pPr>
        <w:ind w:left="640" w:hanging="308"/>
        <w:spacing w:after="0"/>
        <w:tabs>
          <w:tab w:leader="none" w:pos="6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Remitly Global, Inc.;</w:t>
      </w:r>
    </w:p>
    <w:p>
      <w:pPr>
        <w:spacing w:after="0" w:line="319" w:lineRule="exact"/>
        <w:rPr>
          <w:rFonts w:ascii="Arial" w:cs="Arial" w:eastAsia="Arial" w:hAnsi="Arial"/>
          <w:sz w:val="18"/>
          <w:szCs w:val="18"/>
          <w:color w:val="auto"/>
        </w:rPr>
      </w:pPr>
    </w:p>
    <w:p>
      <w:pPr>
        <w:jc w:val="both"/>
        <w:ind w:left="340" w:hanging="8"/>
        <w:spacing w:after="0" w:line="357" w:lineRule="auto"/>
        <w:tabs>
          <w:tab w:leader="none" w:pos="67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8"/>
        <w:spacing w:after="0" w:line="387" w:lineRule="auto"/>
        <w:tabs>
          <w:tab w:leader="none" w:pos="669" w:val="left"/>
        </w:tabs>
        <w:numPr>
          <w:ilvl w:val="0"/>
          <w:numId w:val="2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jc w:val="both"/>
        <w:ind w:left="340" w:hanging="8"/>
        <w:spacing w:after="0" w:line="365" w:lineRule="auto"/>
        <w:tabs>
          <w:tab w:leader="none" w:pos="71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jc w:val="both"/>
        <w:ind w:left="660" w:hanging="4"/>
        <w:spacing w:after="0" w:line="357" w:lineRule="auto"/>
        <w:tabs>
          <w:tab w:leader="none" w:pos="989" w:val="left"/>
        </w:tabs>
        <w:numPr>
          <w:ilvl w:val="1"/>
          <w:numId w:val="2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8"/>
          <w:szCs w:val="18"/>
          <w:color w:val="auto"/>
        </w:rPr>
      </w:pPr>
    </w:p>
    <w:p>
      <w:pPr>
        <w:jc w:val="both"/>
        <w:ind w:left="660" w:hanging="4"/>
        <w:spacing w:after="0" w:line="357" w:lineRule="auto"/>
        <w:tabs>
          <w:tab w:leader="none" w:pos="1067" w:val="left"/>
        </w:tabs>
        <w:numPr>
          <w:ilvl w:val="1"/>
          <w:numId w:val="2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4"/>
        <w:spacing w:after="0" w:line="424" w:lineRule="auto"/>
        <w:tabs>
          <w:tab w:leader="none" w:pos="1082" w:val="left"/>
        </w:tabs>
        <w:numPr>
          <w:ilvl w:val="1"/>
          <w:numId w:val="2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7"/>
          <w:szCs w:val="17"/>
          <w:color w:val="auto"/>
        </w:rPr>
      </w:pPr>
    </w:p>
    <w:p>
      <w:pPr>
        <w:jc w:val="both"/>
        <w:ind w:left="660" w:hanging="4"/>
        <w:spacing w:after="0" w:line="357" w:lineRule="auto"/>
        <w:tabs>
          <w:tab w:leader="none" w:pos="997" w:val="left"/>
        </w:tabs>
        <w:numPr>
          <w:ilvl w:val="1"/>
          <w:numId w:val="2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8"/>
          <w:szCs w:val="18"/>
          <w:color w:val="auto"/>
        </w:rPr>
      </w:pPr>
    </w:p>
    <w:p>
      <w:pPr>
        <w:ind w:left="340" w:hanging="8"/>
        <w:spacing w:after="0" w:line="407" w:lineRule="auto"/>
        <w:tabs>
          <w:tab w:leader="none" w:pos="657"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60" w:hanging="4"/>
        <w:spacing w:after="0" w:line="387" w:lineRule="auto"/>
        <w:tabs>
          <w:tab w:leader="none" w:pos="1122"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660" w:hanging="4"/>
        <w:spacing w:after="0" w:line="371" w:lineRule="auto"/>
        <w:tabs>
          <w:tab w:leader="none" w:pos="1067"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Date: August 3, 2023</w:t>
      </w:r>
    </w:p>
    <w:p>
      <w:pPr>
        <w:spacing w:after="0" w:line="3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31750</wp:posOffset>
            </wp:positionV>
            <wp:extent cx="36518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4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Matthew Oppenheimer</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31" w:right="339" w:bottom="1440" w:gutter="0" w:footer="0" w:header="0"/>
        </w:sectPr>
      </w:pPr>
    </w:p>
    <w:bookmarkStart w:id="200" w:name="page201"/>
    <w:bookmarkEnd w:id="200"/>
    <w:p>
      <w:pPr>
        <w:ind w:left="10320"/>
        <w:spacing w:after="0"/>
        <w:rPr>
          <w:sz w:val="20"/>
          <w:szCs w:val="20"/>
          <w:color w:val="auto"/>
        </w:rPr>
      </w:pPr>
      <w:r>
        <w:rPr>
          <w:rFonts w:ascii="Arial" w:cs="Arial" w:eastAsia="Arial" w:hAnsi="Arial"/>
          <w:sz w:val="16"/>
          <w:szCs w:val="16"/>
          <w:b w:val="1"/>
          <w:bCs w:val="1"/>
          <w:color w:val="auto"/>
        </w:rPr>
        <w:t>Exhibit 31.2</w:t>
      </w:r>
    </w:p>
    <w:p>
      <w:pPr>
        <w:spacing w:after="0" w:line="289" w:lineRule="exact"/>
        <w:rPr>
          <w:sz w:val="20"/>
          <w:szCs w:val="20"/>
          <w:color w:val="auto"/>
        </w:rPr>
      </w:pPr>
    </w:p>
    <w:p>
      <w:pPr>
        <w:jc w:val="center"/>
        <w:ind w:left="340" w:right="400"/>
        <w:spacing w:after="0" w:line="289"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Hemanth Munipalli, certify that:</w:t>
      </w:r>
    </w:p>
    <w:p>
      <w:pPr>
        <w:spacing w:after="0" w:line="306" w:lineRule="exact"/>
        <w:rPr>
          <w:sz w:val="20"/>
          <w:szCs w:val="20"/>
          <w:color w:val="auto"/>
        </w:rPr>
      </w:pPr>
    </w:p>
    <w:p>
      <w:pPr>
        <w:ind w:left="640" w:hanging="308"/>
        <w:spacing w:after="0"/>
        <w:tabs>
          <w:tab w:leader="none" w:pos="64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Remitly Global, Inc.;</w:t>
      </w:r>
    </w:p>
    <w:p>
      <w:pPr>
        <w:spacing w:after="0" w:line="319" w:lineRule="exact"/>
        <w:rPr>
          <w:rFonts w:ascii="Arial" w:cs="Arial" w:eastAsia="Arial" w:hAnsi="Arial"/>
          <w:sz w:val="18"/>
          <w:szCs w:val="18"/>
          <w:color w:val="auto"/>
        </w:rPr>
      </w:pPr>
    </w:p>
    <w:p>
      <w:pPr>
        <w:jc w:val="both"/>
        <w:ind w:left="340" w:hanging="8"/>
        <w:spacing w:after="0" w:line="357" w:lineRule="auto"/>
        <w:tabs>
          <w:tab w:leader="none" w:pos="672" w:val="left"/>
        </w:tabs>
        <w:numPr>
          <w:ilvl w:val="1"/>
          <w:numId w:val="2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8"/>
        <w:spacing w:after="0" w:line="387" w:lineRule="auto"/>
        <w:tabs>
          <w:tab w:leader="none" w:pos="669" w:val="left"/>
        </w:tabs>
        <w:numPr>
          <w:ilvl w:val="1"/>
          <w:numId w:val="2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jc w:val="both"/>
        <w:ind w:left="340" w:hanging="8"/>
        <w:spacing w:after="0" w:line="365" w:lineRule="auto"/>
        <w:tabs>
          <w:tab w:leader="none" w:pos="71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jc w:val="both"/>
        <w:ind w:left="660" w:hanging="4"/>
        <w:spacing w:after="0" w:line="357" w:lineRule="auto"/>
        <w:tabs>
          <w:tab w:leader="none" w:pos="989" w:val="left"/>
        </w:tabs>
        <w:numPr>
          <w:ilvl w:val="2"/>
          <w:numId w:val="2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8"/>
          <w:szCs w:val="18"/>
          <w:color w:val="auto"/>
        </w:rPr>
      </w:pPr>
    </w:p>
    <w:p>
      <w:pPr>
        <w:jc w:val="both"/>
        <w:ind w:left="660" w:hanging="4"/>
        <w:spacing w:after="0" w:line="357" w:lineRule="auto"/>
        <w:tabs>
          <w:tab w:leader="none" w:pos="1067" w:val="left"/>
        </w:tabs>
        <w:numPr>
          <w:ilvl w:val="2"/>
          <w:numId w:val="2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4"/>
        <w:spacing w:after="0" w:line="424" w:lineRule="auto"/>
        <w:tabs>
          <w:tab w:leader="none" w:pos="1082" w:val="left"/>
        </w:tabs>
        <w:numPr>
          <w:ilvl w:val="2"/>
          <w:numId w:val="2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32" w:lineRule="exact"/>
        <w:rPr>
          <w:rFonts w:ascii="Arial" w:cs="Arial" w:eastAsia="Arial" w:hAnsi="Arial"/>
          <w:sz w:val="17"/>
          <w:szCs w:val="17"/>
          <w:color w:val="auto"/>
        </w:rPr>
      </w:pPr>
    </w:p>
    <w:p>
      <w:pPr>
        <w:jc w:val="both"/>
        <w:ind w:left="660" w:hanging="4"/>
        <w:spacing w:after="0" w:line="357" w:lineRule="auto"/>
        <w:tabs>
          <w:tab w:leader="none" w:pos="997" w:val="left"/>
        </w:tabs>
        <w:numPr>
          <w:ilvl w:val="2"/>
          <w:numId w:val="2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8"/>
          <w:szCs w:val="18"/>
          <w:color w:val="auto"/>
        </w:rPr>
      </w:pPr>
    </w:p>
    <w:p>
      <w:pPr>
        <w:ind w:firstLine="8"/>
        <w:spacing w:after="0" w:line="407" w:lineRule="auto"/>
        <w:tabs>
          <w:tab w:leader="none" w:pos="197"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60" w:hanging="4"/>
        <w:spacing w:after="0" w:line="387" w:lineRule="auto"/>
        <w:tabs>
          <w:tab w:leader="none" w:pos="1122" w:val="left"/>
        </w:tabs>
        <w:numPr>
          <w:ilvl w:val="2"/>
          <w:numId w:val="2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660" w:hanging="4"/>
        <w:spacing w:after="0" w:line="371" w:lineRule="auto"/>
        <w:tabs>
          <w:tab w:leader="none" w:pos="1067" w:val="left"/>
        </w:tabs>
        <w:numPr>
          <w:ilvl w:val="2"/>
          <w:numId w:val="2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Date: August 3, 2023</w:t>
      </w:r>
    </w:p>
    <w:p>
      <w:pPr>
        <w:spacing w:after="0" w:line="3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Hemanth Munipalli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14605</wp:posOffset>
            </wp:positionV>
            <wp:extent cx="37293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3729355" cy="8890"/>
                    </a:xfrm>
                    <a:prstGeom prst="rect">
                      <a:avLst/>
                    </a:prstGeom>
                    <a:noFill/>
                  </pic:spPr>
                </pic:pic>
              </a:graphicData>
            </a:graphic>
          </wp:anchor>
        </w:drawing>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Hemanth Munipalli</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i w:val="1"/>
          <w:iCs w:val="1"/>
          <w:color w:val="auto"/>
        </w:rPr>
        <w:t>Chief Financial Officer</w:t>
      </w:r>
    </w:p>
    <w:p>
      <w:pPr>
        <w:spacing w:after="0" w:line="3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431" w:right="339" w:bottom="1440" w:gutter="0" w:footer="0" w:header="0"/>
        </w:sectPr>
      </w:pPr>
    </w:p>
    <w:bookmarkStart w:id="201" w:name="page202"/>
    <w:bookmarkEnd w:id="20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32.1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70" w:lineRule="exact"/>
        <w:rPr>
          <w:sz w:val="20"/>
          <w:szCs w:val="20"/>
          <w:color w:val="auto"/>
        </w:rPr>
      </w:pPr>
    </w:p>
    <w:p>
      <w:pPr>
        <w:ind w:right="420"/>
        <w:spacing w:after="0" w:line="308" w:lineRule="auto"/>
        <w:rPr>
          <w:sz w:val="20"/>
          <w:szCs w:val="20"/>
          <w:color w:val="auto"/>
        </w:rPr>
      </w:pPr>
      <w:r>
        <w:rPr>
          <w:rFonts w:ascii="Arial" w:cs="Arial" w:eastAsia="Arial" w:hAnsi="Arial"/>
          <w:sz w:val="18"/>
          <w:szCs w:val="18"/>
          <w:color w:val="auto"/>
        </w:rPr>
        <w:t>I, Matthew Oppenheimer, Chief Executive Officer of Remitly Global, Inc. (the “Company”), do hereby certify, pursuant to 18 U.S.C. Section 1350, as adopted pursuant to Section 906 of the Sarbanes-Oxley Act of 2002, that to the best of my knowledge:</w:t>
      </w:r>
    </w:p>
    <w:p>
      <w:pPr>
        <w:spacing w:after="0" w:line="184" w:lineRule="exact"/>
        <w:rPr>
          <w:sz w:val="20"/>
          <w:szCs w:val="20"/>
          <w:color w:val="auto"/>
        </w:rPr>
      </w:pPr>
    </w:p>
    <w:p>
      <w:pPr>
        <w:ind w:left="660" w:right="20" w:hanging="328"/>
        <w:spacing w:after="0" w:line="308" w:lineRule="auto"/>
        <w:tabs>
          <w:tab w:leader="none" w:pos="6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June 30, 2023 (the “Report”) fully complies with the requirements of Section 13(a) or 15(d) of the Securities Exchange Act of 1934, as amended; and</w:t>
      </w:r>
    </w:p>
    <w:p>
      <w:pPr>
        <w:spacing w:after="0" w:line="184" w:lineRule="exact"/>
        <w:rPr>
          <w:rFonts w:ascii="Arial" w:cs="Arial" w:eastAsia="Arial" w:hAnsi="Arial"/>
          <w:sz w:val="18"/>
          <w:szCs w:val="18"/>
          <w:color w:val="auto"/>
        </w:rPr>
      </w:pPr>
    </w:p>
    <w:p>
      <w:pPr>
        <w:ind w:left="660" w:right="240" w:hanging="328"/>
        <w:spacing w:after="0" w:line="308" w:lineRule="auto"/>
        <w:tabs>
          <w:tab w:leader="none" w:pos="6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Date: August 3, 2023</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31750</wp:posOffset>
            </wp:positionV>
            <wp:extent cx="3746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3746500" cy="8255"/>
                    </a:xfrm>
                    <a:prstGeom prst="rect">
                      <a:avLst/>
                    </a:prstGeom>
                    <a:noFill/>
                  </pic:spPr>
                </pic:pic>
              </a:graphicData>
            </a:graphic>
          </wp:anchor>
        </w:drawing>
      </w:r>
    </w:p>
    <w:p>
      <w:pPr>
        <w:spacing w:after="0" w:line="4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Matthew Oppenheimer</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Chief Executive Officer</w:t>
      </w:r>
    </w:p>
    <w:p>
      <w:pPr>
        <w:spacing w:after="0" w:line="3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31" w:right="339" w:bottom="1440" w:gutter="0" w:footer="0" w:header="0"/>
        </w:sectPr>
      </w:pPr>
    </w:p>
    <w:bookmarkStart w:id="203" w:name="page204"/>
    <w:bookmarkEnd w:id="203"/>
    <w:p>
      <w:pPr>
        <w:ind w:left="10320"/>
        <w:spacing w:after="0"/>
        <w:rPr>
          <w:sz w:val="20"/>
          <w:szCs w:val="20"/>
          <w:color w:val="auto"/>
        </w:rPr>
      </w:pPr>
      <w:r>
        <w:rPr>
          <w:rFonts w:ascii="Arial" w:cs="Arial" w:eastAsia="Arial" w:hAnsi="Arial"/>
          <w:sz w:val="16"/>
          <w:szCs w:val="16"/>
          <w:b w:val="1"/>
          <w:bCs w:val="1"/>
          <w:color w:val="auto"/>
        </w:rPr>
        <w:t>Exhibit 32.2</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24" w:lineRule="exact"/>
        <w:rPr>
          <w:sz w:val="20"/>
          <w:szCs w:val="20"/>
          <w:color w:val="auto"/>
        </w:rPr>
      </w:pPr>
    </w:p>
    <w:p>
      <w:pPr>
        <w:spacing w:after="0" w:line="371" w:lineRule="auto"/>
        <w:rPr>
          <w:sz w:val="20"/>
          <w:szCs w:val="20"/>
          <w:color w:val="auto"/>
        </w:rPr>
      </w:pPr>
      <w:r>
        <w:rPr>
          <w:rFonts w:ascii="Arial" w:cs="Arial" w:eastAsia="Arial" w:hAnsi="Arial"/>
          <w:sz w:val="18"/>
          <w:szCs w:val="18"/>
          <w:color w:val="auto"/>
        </w:rPr>
        <w:t>I, Hemanth Munipalli, Chief Financial Officer of Remitly Global, Inc. (the “Company”), do hereby certify, pursuant to 18 U.S.C. Section 1350, as adopted pursuant to Section 906 of the Sarbanes-Oxley Act of 2002, that to the best of my knowledge:</w:t>
      </w:r>
    </w:p>
    <w:p>
      <w:pPr>
        <w:spacing w:after="0" w:line="143" w:lineRule="exact"/>
        <w:rPr>
          <w:sz w:val="20"/>
          <w:szCs w:val="20"/>
          <w:color w:val="auto"/>
        </w:rPr>
      </w:pPr>
    </w:p>
    <w:p>
      <w:pPr>
        <w:ind w:left="660" w:right="20" w:hanging="328"/>
        <w:spacing w:after="0" w:line="324" w:lineRule="auto"/>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June 30, 2023 (the “Report”) fully complies with the requirements of Section 13(a) or 15(d) of the Securities Exchange Act of 1934, as amended; and</w:t>
      </w:r>
    </w:p>
    <w:p>
      <w:pPr>
        <w:spacing w:after="0" w:line="156" w:lineRule="exact"/>
        <w:rPr>
          <w:rFonts w:ascii="Arial" w:cs="Arial" w:eastAsia="Arial" w:hAnsi="Arial"/>
          <w:sz w:val="18"/>
          <w:szCs w:val="18"/>
          <w:color w:val="auto"/>
        </w:rPr>
      </w:pPr>
    </w:p>
    <w:p>
      <w:pPr>
        <w:ind w:left="660" w:right="240" w:hanging="328"/>
        <w:spacing w:after="0" w:line="324" w:lineRule="auto"/>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8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Date: August 3, 2023</w:t>
      </w:r>
    </w:p>
    <w:p>
      <w:pPr>
        <w:spacing w:after="0" w:line="3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Hemanth Munipalli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37547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3754755" cy="8890"/>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Hemanth Munipalli</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i w:val="1"/>
          <w:iCs w:val="1"/>
          <w:color w:val="auto"/>
        </w:rPr>
        <w:t>Chief Financial Officer</w:t>
      </w:r>
    </w:p>
    <w:p>
      <w:pPr>
        <w:spacing w:after="0" w:line="3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B7AAA2"/>
    <w:multiLevelType w:val="hybridMultilevel"/>
    <w:lvl w:ilvl="0">
      <w:lvlJc w:val="left"/>
      <w:lvlText w:val="☒"/>
      <w:numFmt w:val="bullet"/>
      <w:start w:val="1"/>
    </w:lvl>
  </w:abstractNum>
  <w:abstractNum w:abstractNumId="1">
    <w:nsid w:val="2B0D8DBE"/>
    <w:multiLevelType w:val="hybridMultilevel"/>
    <w:lvl w:ilvl="0">
      <w:lvlJc w:val="left"/>
      <w:lvlText w:val="☐"/>
      <w:numFmt w:val="bullet"/>
      <w:start w:val="1"/>
    </w:lvl>
  </w:abstractNum>
  <w:abstractNum w:abstractNumId="2">
    <w:nsid w:val="6C80EC70"/>
    <w:multiLevelType w:val="hybridMultilevel"/>
    <w:lvl w:ilvl="0">
      <w:lvlJc w:val="left"/>
      <w:lvlText w:val="•"/>
      <w:numFmt w:val="bullet"/>
      <w:start w:val="1"/>
    </w:lvl>
  </w:abstractNum>
  <w:abstractNum w:abstractNumId="3">
    <w:nsid w:val="379E21B5"/>
    <w:multiLevelType w:val="hybridMultilevel"/>
    <w:lvl w:ilvl="0">
      <w:lvlJc w:val="left"/>
      <w:lvlText w:val="(%1)"/>
      <w:numFmt w:val="decimal"/>
      <w:start w:val="1"/>
    </w:lvl>
  </w:abstractNum>
  <w:abstractNum w:abstractNumId="4">
    <w:nsid w:val="69E373"/>
    <w:multiLevelType w:val="hybridMultilevel"/>
    <w:lvl w:ilvl="0">
      <w:lvlJc w:val="left"/>
      <w:lvlText w:val="%1."/>
      <w:numFmt w:val="decimal"/>
      <w:start w:val="1"/>
    </w:lvl>
  </w:abstractNum>
  <w:abstractNum w:abstractNumId="5">
    <w:nsid w:val="2C27173B"/>
    <w:multiLevelType w:val="hybridMultilevel"/>
    <w:lvl w:ilvl="0">
      <w:lvlJc w:val="left"/>
      <w:lvlText w:val="%1."/>
      <w:numFmt w:val="decimal"/>
      <w:start w:val="2"/>
    </w:lvl>
  </w:abstractNum>
  <w:abstractNum w:abstractNumId="6">
    <w:nsid w:val="4C9B0904"/>
    <w:multiLevelType w:val="hybridMultilevel"/>
    <w:lvl w:ilvl="0">
      <w:lvlJc w:val="left"/>
      <w:lvlText w:val="%1."/>
      <w:numFmt w:val="decimal"/>
      <w:start w:val="3"/>
    </w:lvl>
  </w:abstractNum>
  <w:abstractNum w:abstractNumId="7">
    <w:nsid w:val="6AA7B75C"/>
    <w:multiLevelType w:val="hybridMultilevel"/>
    <w:lvl w:ilvl="0">
      <w:lvlJc w:val="left"/>
      <w:lvlText w:val="(%1)"/>
      <w:numFmt w:val="decimal"/>
      <w:start w:val="1"/>
    </w:lvl>
  </w:abstractNum>
  <w:abstractNum w:abstractNumId="8">
    <w:nsid w:val="1DF029D3"/>
    <w:multiLevelType w:val="hybridMultilevel"/>
    <w:lvl w:ilvl="0">
      <w:lvlJc w:val="left"/>
      <w:lvlText w:val="%1."/>
      <w:numFmt w:val="decimal"/>
      <w:start w:val="5"/>
    </w:lvl>
  </w:abstractNum>
  <w:abstractNum w:abstractNumId="9">
    <w:nsid w:val="5675FF36"/>
    <w:multiLevelType w:val="hybridMultilevel"/>
    <w:lvl w:ilvl="0">
      <w:lvlJc w:val="left"/>
      <w:lvlText w:val="%1."/>
      <w:numFmt w:val="decimal"/>
      <w:start w:val="6"/>
    </w:lvl>
  </w:abstractNum>
  <w:abstractNum w:abstractNumId="10">
    <w:nsid w:val="3DD15094"/>
    <w:multiLevelType w:val="hybridMultilevel"/>
    <w:lvl w:ilvl="0">
      <w:lvlJc w:val="left"/>
      <w:lvlText w:val="%1."/>
      <w:numFmt w:val="decimal"/>
      <w:start w:val="7"/>
    </w:lvl>
  </w:abstractNum>
  <w:abstractNum w:abstractNumId="11">
    <w:nsid w:val="3DB012B3"/>
    <w:multiLevelType w:val="hybridMultilevel"/>
    <w:lvl w:ilvl="0">
      <w:lvlJc w:val="left"/>
      <w:lvlText w:val="%1."/>
      <w:numFmt w:val="decimal"/>
      <w:start w:val="8"/>
    </w:lvl>
  </w:abstractNum>
  <w:abstractNum w:abstractNumId="12">
    <w:nsid w:val="2708C9AF"/>
    <w:multiLevelType w:val="hybridMultilevel"/>
    <w:lvl w:ilvl="0">
      <w:lvlJc w:val="left"/>
      <w:lvlText w:val="(%1)"/>
      <w:numFmt w:val="lowerLetter"/>
      <w:start w:val="1"/>
    </w:lvl>
  </w:abstractNum>
  <w:abstractNum w:abstractNumId="13">
    <w:nsid w:val="5B25ACE2"/>
    <w:multiLevelType w:val="hybridMultilevel"/>
    <w:lvl w:ilvl="0">
      <w:lvlJc w:val="left"/>
      <w:lvlText w:val="%1."/>
      <w:numFmt w:val="decimal"/>
      <w:start w:val="9"/>
    </w:lvl>
  </w:abstractNum>
  <w:abstractNum w:abstractNumId="14">
    <w:nsid w:val="175DFCF0"/>
    <w:multiLevelType w:val="hybridMultilevel"/>
    <w:lvl w:ilvl="0">
      <w:lvlJc w:val="left"/>
      <w:lvlText w:val="(%1)"/>
      <w:numFmt w:val="decimal"/>
      <w:start w:val="1"/>
    </w:lvl>
  </w:abstractNum>
  <w:abstractNum w:abstractNumId="15">
    <w:nsid w:val="4F97E3E4"/>
    <w:multiLevelType w:val="hybridMultilevel"/>
    <w:lvl w:ilvl="0">
      <w:lvlJc w:val="left"/>
      <w:lvlText w:val="%1."/>
      <w:numFmt w:val="decimal"/>
      <w:start w:val="10"/>
    </w:lvl>
  </w:abstractNum>
  <w:abstractNum w:abstractNumId="16">
    <w:nsid w:val="53B0A9E"/>
    <w:multiLevelType w:val="hybridMultilevel"/>
    <w:lvl w:ilvl="0">
      <w:lvlJc w:val="left"/>
      <w:lvlText w:val="%1."/>
      <w:numFmt w:val="decimal"/>
      <w:start w:val="11"/>
    </w:lvl>
  </w:abstractNum>
  <w:abstractNum w:abstractNumId="17">
    <w:nsid w:val="34FD6B4F"/>
    <w:multiLevelType w:val="hybridMultilevel"/>
    <w:lvl w:ilvl="0">
      <w:lvlJc w:val="left"/>
      <w:lvlText w:val="(%1)"/>
      <w:numFmt w:val="decimal"/>
      <w:start w:val="1"/>
    </w:lvl>
  </w:abstractNum>
  <w:abstractNum w:abstractNumId="18">
    <w:nsid w:val="5915FF32"/>
    <w:multiLevelType w:val="hybridMultilevel"/>
    <w:lvl w:ilvl="0">
      <w:lvlJc w:val="left"/>
      <w:lvlText w:val="%1."/>
      <w:numFmt w:val="decimal"/>
      <w:start w:val="12"/>
    </w:lvl>
  </w:abstractNum>
  <w:abstractNum w:abstractNumId="19">
    <w:nsid w:val="56438D15"/>
    <w:multiLevelType w:val="hybridMultilevel"/>
    <w:lvl w:ilvl="0">
      <w:lvlJc w:val="left"/>
      <w:lvlText w:val="%1."/>
      <w:numFmt w:val="decimal"/>
      <w:start w:val="13"/>
    </w:lvl>
  </w:abstractNum>
  <w:abstractNum w:abstractNumId="20">
    <w:nsid w:val="519E3149"/>
    <w:multiLevelType w:val="hybridMultilevel"/>
    <w:lvl w:ilvl="0">
      <w:lvlJc w:val="left"/>
      <w:lvlText w:val="%1."/>
      <w:numFmt w:val="decimal"/>
      <w:start w:val="14"/>
    </w:lvl>
  </w:abstractNum>
  <w:abstractNum w:abstractNumId="21">
    <w:nsid w:val="2C6E4AFD"/>
    <w:multiLevelType w:val="hybridMultilevel"/>
    <w:lvl w:ilvl="0">
      <w:lvlJc w:val="left"/>
      <w:lvlText w:val="(%1)"/>
      <w:numFmt w:val="decimal"/>
      <w:start w:val="1"/>
    </w:lvl>
  </w:abstractNum>
  <w:abstractNum w:abstractNumId="22">
    <w:nsid w:val="17A1B582"/>
    <w:multiLevelType w:val="hybridMultilevel"/>
    <w:lvl w:ilvl="0">
      <w:lvlJc w:val="left"/>
      <w:lvlText w:val="•"/>
      <w:numFmt w:val="bullet"/>
      <w:start w:val="1"/>
    </w:lvl>
  </w:abstractNum>
  <w:abstractNum w:abstractNumId="23">
    <w:nsid w:val="4DF72E4E"/>
    <w:multiLevelType w:val="hybridMultilevel"/>
    <w:lvl w:ilvl="0">
      <w:lvlJc w:val="left"/>
      <w:lvlText w:val="•"/>
      <w:numFmt w:val="bullet"/>
      <w:start w:val="1"/>
    </w:lvl>
  </w:abstractNum>
  <w:abstractNum w:abstractNumId="24">
    <w:nsid w:val="5046B5A9"/>
    <w:multiLevelType w:val="hybridMultilevel"/>
    <w:lvl w:ilvl="0">
      <w:lvlJc w:val="left"/>
      <w:lvlText w:val="•"/>
      <w:numFmt w:val="bullet"/>
      <w:start w:val="1"/>
    </w:lvl>
  </w:abstractNum>
  <w:abstractNum w:abstractNumId="25">
    <w:nsid w:val="5D888A08"/>
    <w:multiLevelType w:val="hybridMultilevel"/>
    <w:lvl w:ilvl="0">
      <w:lvlJc w:val="left"/>
      <w:lvlText w:val="(%1)"/>
      <w:numFmt w:val="lowerRoman"/>
      <w:start w:val="2"/>
    </w:lvl>
  </w:abstractNum>
  <w:abstractNum w:abstractNumId="26">
    <w:nsid w:val="2A082C70"/>
    <w:multiLevelType w:val="hybridMultilevel"/>
    <w:lvl w:ilvl="0">
      <w:lvlJc w:val="left"/>
      <w:lvlText w:val="•"/>
      <w:numFmt w:val="bullet"/>
      <w:start w:val="1"/>
    </w:lvl>
  </w:abstractNum>
  <w:abstractNum w:abstractNumId="27">
    <w:nsid w:val="5EC6AFD4"/>
    <w:multiLevelType w:val="hybridMultilevel"/>
    <w:lvl w:ilvl="0">
      <w:lvlJc w:val="left"/>
      <w:lvlText w:val="•"/>
      <w:numFmt w:val="bullet"/>
      <w:start w:val="1"/>
    </w:lvl>
  </w:abstractNum>
  <w:abstractNum w:abstractNumId="28">
    <w:nsid w:val="19E21BB2"/>
    <w:multiLevelType w:val="hybridMultilevel"/>
    <w:lvl w:ilvl="0">
      <w:lvlJc w:val="left"/>
      <w:lvlText w:val="•"/>
      <w:numFmt w:val="bullet"/>
      <w:start w:val="1"/>
    </w:lvl>
  </w:abstractNum>
  <w:abstractNum w:abstractNumId="29">
    <w:nsid w:val="75E0858A"/>
    <w:multiLevelType w:val="hybridMultilevel"/>
    <w:lvl w:ilvl="0">
      <w:lvlJc w:val="left"/>
      <w:lvlText w:val="*"/>
      <w:numFmt w:val="bullet"/>
      <w:start w:val="1"/>
    </w:lvl>
  </w:abstractNum>
  <w:abstractNum w:abstractNumId="30">
    <w:nsid w:val="57A61A29"/>
    <w:multiLevelType w:val="hybridMultilevel"/>
    <w:lvl w:ilvl="0">
      <w:lvlJc w:val="left"/>
      <w:lvlText w:val="%1."/>
      <w:numFmt w:val="decimal"/>
      <w:start w:val="1"/>
    </w:lvl>
  </w:abstractNum>
  <w:abstractNum w:abstractNumId="31">
    <w:nsid w:val="5399C654"/>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2">
    <w:nsid w:val="20EE1348"/>
    <w:multiLevelType w:val="hybridMultilevel"/>
    <w:lvl w:ilvl="0">
      <w:lvlJc w:val="left"/>
      <w:lvlText w:val="(%1)"/>
      <w:numFmt w:val="lowerLetter"/>
      <w:start w:val="61"/>
    </w:lvl>
    <w:lvl w:ilvl="1">
      <w:lvlJc w:val="left"/>
      <w:lvlText w:val="%2."/>
      <w:numFmt w:val="decimal"/>
      <w:start w:val="6"/>
    </w:lvl>
    <w:lvl w:ilvl="2">
      <w:lvlJc w:val="left"/>
      <w:lvlText w:val="(%3)"/>
      <w:numFmt w:val="lowerLetter"/>
      <w:start w:val="1"/>
    </w:lvl>
  </w:abstractNum>
  <w:abstractNum w:abstractNumId="33">
    <w:nsid w:val="4427069A"/>
    <w:multiLevelType w:val="hybridMultilevel"/>
    <w:lvl w:ilvl="0">
      <w:lvlJc w:val="left"/>
      <w:lvlText w:val="%1"/>
      <w:numFmt w:val="decimal"/>
      <w:start w:val="1"/>
    </w:lvl>
    <w:lvl w:ilvl="1">
      <w:lvlJc w:val="left"/>
      <w:lvlText w:val="(%2)"/>
      <w:numFmt w:val="lowerLetter"/>
      <w:start w:val="2"/>
    </w:lvl>
  </w:abstractNum>
  <w:abstractNum w:abstractNumId="34">
    <w:nsid w:val="B37E80A"/>
    <w:multiLevelType w:val="hybridMultilevel"/>
    <w:lvl w:ilvl="0">
      <w:lvlJc w:val="left"/>
      <w:lvlText w:val="%1."/>
      <w:numFmt w:val="decimal"/>
      <w:start w:val="7"/>
    </w:lvl>
    <w:lvl w:ilvl="1">
      <w:lvlJc w:val="left"/>
      <w:lvlText w:val="(%2)"/>
      <w:numFmt w:val="lowerLetter"/>
      <w:start w:val="1"/>
    </w:lvl>
  </w:abstractNum>
  <w:abstractNum w:abstractNumId="35">
    <w:nsid w:val="2157F6BC"/>
    <w:multiLevelType w:val="hybridMultilevel"/>
    <w:lvl w:ilvl="0">
      <w:lvlJc w:val="left"/>
      <w:lvlText w:val="%1."/>
      <w:numFmt w:val="decimal"/>
      <w:start w:val="10"/>
    </w:lvl>
  </w:abstractNum>
  <w:abstractNum w:abstractNumId="36">
    <w:nsid w:val="704E1DD5"/>
    <w:multiLevelType w:val="hybridMultilevel"/>
    <w:lvl w:ilvl="0">
      <w:lvlJc w:val="left"/>
      <w:lvlText w:val="(%1)"/>
      <w:numFmt w:val="lowerLetter"/>
      <w:start w:val="2"/>
    </w:lvl>
  </w:abstractNum>
  <w:abstractNum w:abstractNumId="37">
    <w:nsid w:val="57D2F10E"/>
    <w:multiLevelType w:val="hybridMultilevel"/>
    <w:lvl w:ilvl="0">
      <w:lvlJc w:val="left"/>
      <w:lvlText w:val="(%1)"/>
      <w:numFmt w:val="lowerLetter"/>
      <w:start w:val="4"/>
    </w:lvl>
  </w:abstractNum>
  <w:abstractNum w:abstractNumId="38">
    <w:nsid w:val="BFFAE18"/>
    <w:multiLevelType w:val="hybridMultilevel"/>
    <w:lvl w:ilvl="0">
      <w:lvlJc w:val="left"/>
      <w:lvlText w:val="(%1)"/>
      <w:numFmt w:val="lowerLetter"/>
      <w:start w:val="17"/>
    </w:lvl>
  </w:abstractNum>
  <w:abstractNum w:abstractNumId="39">
    <w:nsid w:val="E3E47A8"/>
    <w:multiLevelType w:val="hybridMultilevel"/>
    <w:lvl w:ilvl="0">
      <w:lvlJc w:val="left"/>
      <w:lvlText w:val="(%1)"/>
      <w:numFmt w:val="lowerRoman"/>
      <w:start w:val="1"/>
    </w:lvl>
  </w:abstractNum>
  <w:abstractNum w:abstractNumId="40">
    <w:nsid w:val="2E48F044"/>
    <w:multiLevelType w:val="hybridMultilevel"/>
    <w:lvl w:ilvl="0">
      <w:lvlJc w:val="left"/>
      <w:lvlText w:val=","/>
      <w:numFmt w:val="bullet"/>
      <w:start w:val="1"/>
    </w:lvl>
  </w:abstractNum>
  <w:abstractNum w:abstractNumId="41">
    <w:nsid w:val="49D0FEAC"/>
    <w:multiLevelType w:val="hybridMultilevel"/>
    <w:lvl w:ilvl="0">
      <w:lvlJc w:val="left"/>
      <w:lvlText w:val="(%1)"/>
      <w:numFmt w:val="lowerLetter"/>
      <w:start w:val="1"/>
    </w:lvl>
  </w:abstractNum>
  <w:abstractNum w:abstractNumId="42">
    <w:nsid w:val="4BEE5A5B"/>
    <w:multiLevelType w:val="hybridMultilevel"/>
    <w:lvl w:ilvl="0">
      <w:lvlJc w:val="left"/>
      <w:lvlText w:val="(%1)"/>
      <w:numFmt w:val="decimal"/>
      <w:start w:val="2"/>
    </w:lvl>
  </w:abstractNum>
  <w:abstractNum w:abstractNumId="43">
    <w:nsid w:val="5551B9F3"/>
    <w:multiLevelType w:val="hybridMultilevel"/>
    <w:lvl w:ilvl="0">
      <w:lvlJc w:val="left"/>
      <w:lvlText w:val="(%1)"/>
      <w:numFmt w:val="decimal"/>
      <w:start w:val="1"/>
    </w:lvl>
  </w:abstractNum>
  <w:abstractNum w:abstractNumId="44">
    <w:nsid w:val="24F6AB8E"/>
    <w:multiLevelType w:val="hybridMultilevel"/>
    <w:lvl w:ilvl="0">
      <w:lvlJc w:val="left"/>
      <w:lvlText w:val="(%1)"/>
      <w:numFmt w:val="decimal"/>
      <w:start w:val="1"/>
    </w:lvl>
  </w:abstractNum>
  <w:abstractNum w:abstractNumId="45">
    <w:nsid w:val="634C574C"/>
    <w:multiLevelType w:val="hybridMultilevel"/>
    <w:lvl w:ilvl="0">
      <w:lvlJc w:val="left"/>
      <w:lvlText w:val="(%1)"/>
      <w:numFmt w:val="decimal"/>
      <w:start w:val="3"/>
    </w:lvl>
  </w:abstractNum>
  <w:abstractNum w:abstractNumId="46">
    <w:nsid w:val="24E99DD7"/>
    <w:multiLevelType w:val="hybridMultilevel"/>
    <w:lvl w:ilvl="0">
      <w:lvlJc w:val="left"/>
      <w:lvlText w:val="(%1)"/>
      <w:numFmt w:val="decimal"/>
      <w:start w:val="1"/>
    </w:lvl>
  </w:abstractNum>
  <w:abstractNum w:abstractNumId="47">
    <w:nsid w:val="2A31B62D"/>
    <w:multiLevelType w:val="hybridMultilevel"/>
    <w:lvl w:ilvl="0">
      <w:lvlJc w:val="left"/>
      <w:lvlText w:val="%1"/>
      <w:numFmt w:val="decimal"/>
      <w:start w:val="1"/>
    </w:lvl>
    <w:lvl w:ilvl="1">
      <w:lvlJc w:val="left"/>
      <w:lvlText w:val="(%2)"/>
      <w:numFmt w:val="decimal"/>
      <w:start w:val="4"/>
    </w:lvl>
  </w:abstractNum>
  <w:abstractNum w:abstractNumId="48">
    <w:nsid w:val="1849C29B"/>
    <w:multiLevelType w:val="hybridMultilevel"/>
    <w:lvl w:ilvl="0">
      <w:lvlJc w:val="left"/>
      <w:lvlText w:val="(%1)"/>
      <w:numFmt w:val="decimal"/>
      <w:start w:val="3"/>
    </w:lvl>
    <w:lvl w:ilvl="1">
      <w:lvlJc w:val="left"/>
      <w:lvlText w:val="(%2)"/>
      <w:numFmt w:val="decimal"/>
      <w:start w:val="5"/>
    </w:lvl>
  </w:abstractNum>
  <w:abstractNum w:abstractNumId="49">
    <w:nsid w:val="7DFF9D09"/>
    <w:multiLevelType w:val="hybridMultilevel"/>
    <w:lvl w:ilvl="0">
      <w:lvlJc w:val="left"/>
      <w:lvlText w:val="(%1)"/>
      <w:numFmt w:val="lowerLetter"/>
      <w:start w:val="1"/>
    </w:lvl>
  </w:abstractNum>
  <w:abstractNum w:abstractNumId="50">
    <w:nsid w:val="754342"/>
    <w:multiLevelType w:val="hybridMultilevel"/>
    <w:lvl w:ilvl="0">
      <w:lvlJc w:val="left"/>
      <w:lvlText w:val="(%1)"/>
      <w:numFmt w:val="lowerRoman"/>
      <w:start w:val="3"/>
    </w:lvl>
  </w:abstractNum>
  <w:abstractNum w:abstractNumId="51">
    <w:nsid w:val="69E7F3E5"/>
    <w:multiLevelType w:val="hybridMultilevel"/>
    <w:lvl w:ilvl="0">
      <w:lvlJc w:val="left"/>
      <w:lvlText w:val="(%1)"/>
      <w:numFmt w:val="lowerLetter"/>
      <w:start w:val="1"/>
    </w:lvl>
  </w:abstractNum>
  <w:abstractNum w:abstractNumId="52">
    <w:nsid w:val="2A6DE806"/>
    <w:multiLevelType w:val="hybridMultilevel"/>
    <w:lvl w:ilvl="0">
      <w:lvlJc w:val="left"/>
      <w:lvlText w:val="(%1)"/>
      <w:numFmt w:val="lowerLetter"/>
      <w:start w:val="3"/>
    </w:lvl>
  </w:abstractNum>
  <w:abstractNum w:abstractNumId="53">
    <w:nsid w:val="1816F8C4"/>
    <w:multiLevelType w:val="hybridMultilevel"/>
    <w:lvl w:ilvl="0">
      <w:lvlJc w:val="left"/>
      <w:lvlText w:val="(%1)"/>
      <w:numFmt w:val="lowerLetter"/>
      <w:start w:val="3"/>
    </w:lvl>
  </w:abstractNum>
  <w:abstractNum w:abstractNumId="54">
    <w:nsid w:val="37DF2233"/>
    <w:multiLevelType w:val="hybridMultilevel"/>
    <w:lvl w:ilvl="0">
      <w:lvlJc w:val="left"/>
      <w:lvlText w:val="(%1)"/>
      <w:numFmt w:val="decimal"/>
      <w:start w:val="1"/>
    </w:lvl>
  </w:abstractNum>
  <w:abstractNum w:abstractNumId="55">
    <w:nsid w:val="7AB49DAF"/>
    <w:multiLevelType w:val="hybridMultilevel"/>
    <w:lvl w:ilvl="0">
      <w:lvlJc w:val="left"/>
      <w:lvlText w:val="(%1)"/>
      <w:numFmt w:val="lowerLetter"/>
      <w:start w:val="1"/>
    </w:lvl>
  </w:abstractNum>
  <w:abstractNum w:abstractNumId="56">
    <w:nsid w:val="759F82CD"/>
    <w:multiLevelType w:val="hybridMultilevel"/>
    <w:lvl w:ilvl="0">
      <w:lvlJc w:val="left"/>
      <w:lvlText w:val="(%1)"/>
      <w:numFmt w:val="lowerLetter"/>
      <w:start w:val="1"/>
    </w:lvl>
  </w:abstractNum>
  <w:abstractNum w:abstractNumId="57">
    <w:nsid w:val="61E74EA3"/>
    <w:multiLevelType w:val="hybridMultilevel"/>
    <w:lvl w:ilvl="0">
      <w:lvlJc w:val="left"/>
      <w:lvlText w:val="(%1)"/>
      <w:numFmt w:val="lowerRoman"/>
      <w:start w:val="2"/>
    </w:lvl>
  </w:abstractNum>
  <w:abstractNum w:abstractNumId="58">
    <w:nsid w:val="597B4D84"/>
    <w:multiLevelType w:val="hybridMultilevel"/>
    <w:lvl w:ilvl="0">
      <w:lvlJc w:val="left"/>
      <w:lvlText w:val="(%1)"/>
      <w:numFmt w:val="lowerLetter"/>
      <w:start w:val="2"/>
    </w:lvl>
  </w:abstractNum>
  <w:abstractNum w:abstractNumId="59">
    <w:nsid w:val="F819E7F"/>
    <w:multiLevelType w:val="hybridMultilevel"/>
    <w:lvl w:ilvl="0">
      <w:lvlJc w:val="left"/>
      <w:lvlText w:val="(%1)"/>
      <w:numFmt w:val="lowerLetter"/>
      <w:start w:val="1"/>
    </w:lvl>
  </w:abstractNum>
  <w:abstractNum w:abstractNumId="60">
    <w:nsid w:val="57C7D42D"/>
    <w:multiLevelType w:val="hybridMultilevel"/>
    <w:lvl w:ilvl="0">
      <w:lvlJc w:val="left"/>
      <w:lvlText w:val="(%1)"/>
      <w:numFmt w:val="lowerLetter"/>
      <w:start w:val="1"/>
    </w:lvl>
  </w:abstractNum>
  <w:abstractNum w:abstractNumId="61">
    <w:nsid w:val="312167AD"/>
    <w:multiLevelType w:val="hybridMultilevel"/>
    <w:lvl w:ilvl="0">
      <w:lvlJc w:val="left"/>
      <w:lvlText w:val="(%1)"/>
      <w:numFmt w:val="lowerLetter"/>
      <w:start w:val="1"/>
    </w:lvl>
  </w:abstractNum>
  <w:abstractNum w:abstractNumId="62">
    <w:nsid w:val="631B64D4"/>
    <w:multiLevelType w:val="hybridMultilevel"/>
    <w:lvl w:ilvl="0">
      <w:lvlJc w:val="left"/>
      <w:lvlText w:val="(%1)"/>
      <w:numFmt w:val="lowerLetter"/>
      <w:start w:val="2"/>
    </w:lvl>
  </w:abstractNum>
  <w:abstractNum w:abstractNumId="63">
    <w:nsid w:val="78B5E776"/>
    <w:multiLevelType w:val="hybridMultilevel"/>
    <w:lvl w:ilvl="0">
      <w:lvlJc w:val="left"/>
      <w:lvlText w:val="(%1)"/>
      <w:numFmt w:val="lowerLetter"/>
      <w:start w:val="1"/>
    </w:lvl>
  </w:abstractNum>
  <w:abstractNum w:abstractNumId="64">
    <w:nsid w:val="75486E47"/>
    <w:multiLevelType w:val="hybridMultilevel"/>
    <w:lvl w:ilvl="0">
      <w:lvlJc w:val="left"/>
      <w:lvlText w:val="(%1)"/>
      <w:numFmt w:val="lowerRoman"/>
      <w:start w:val="1"/>
    </w:lvl>
  </w:abstractNum>
  <w:abstractNum w:abstractNumId="65">
    <w:nsid w:val="6E534CDE"/>
    <w:multiLevelType w:val="hybridMultilevel"/>
    <w:lvl w:ilvl="0">
      <w:lvlJc w:val="left"/>
      <w:lvlText w:val="(%1)"/>
      <w:numFmt w:val="lowerLetter"/>
      <w:start w:val="1"/>
    </w:lvl>
  </w:abstractNum>
  <w:abstractNum w:abstractNumId="66">
    <w:nsid w:val="1A0DDE32"/>
    <w:multiLevelType w:val="hybridMultilevel"/>
    <w:lvl w:ilvl="0">
      <w:lvlJc w:val="left"/>
      <w:lvlText w:val="(%1)"/>
      <w:numFmt w:val="lowerRoman"/>
      <w:start w:val="1"/>
    </w:lvl>
  </w:abstractNum>
  <w:abstractNum w:abstractNumId="67">
    <w:nsid w:val="65968C1C"/>
    <w:multiLevelType w:val="hybridMultilevel"/>
    <w:lvl w:ilvl="0">
      <w:lvlJc w:val="left"/>
      <w:lvlText w:val="(%1)"/>
      <w:numFmt w:val="lowerLetter"/>
      <w:start w:val="35"/>
    </w:lvl>
    <w:lvl w:ilvl="1">
      <w:lvlJc w:val="left"/>
      <w:lvlText w:val="(%2)"/>
      <w:numFmt w:val="lowerLetter"/>
      <w:start w:val="2"/>
    </w:lvl>
  </w:abstractNum>
  <w:abstractNum w:abstractNumId="68">
    <w:nsid w:val="46263DEC"/>
    <w:multiLevelType w:val="hybridMultilevel"/>
    <w:lvl w:ilvl="0">
      <w:lvlJc w:val="left"/>
      <w:lvlText w:val="(%1)"/>
      <w:numFmt w:val="lowerLetter"/>
      <w:start w:val="3"/>
    </w:lvl>
  </w:abstractNum>
  <w:abstractNum w:abstractNumId="69">
    <w:nsid w:val="260D8C4A"/>
    <w:multiLevelType w:val="hybridMultilevel"/>
    <w:lvl w:ilvl="0">
      <w:lvlJc w:val="left"/>
      <w:lvlText w:val="(%1)"/>
      <w:numFmt w:val="lowerLetter"/>
      <w:start w:val="2"/>
    </w:lvl>
  </w:abstractNum>
  <w:abstractNum w:abstractNumId="70">
    <w:nsid w:val="73D4D3C4"/>
    <w:multiLevelType w:val="hybridMultilevel"/>
    <w:lvl w:ilvl="0">
      <w:lvlJc w:val="left"/>
      <w:lvlText w:val="(%1)"/>
      <w:numFmt w:val="lowerLetter"/>
      <w:start w:val="2"/>
    </w:lvl>
  </w:abstractNum>
  <w:abstractNum w:abstractNumId="71">
    <w:nsid w:val="746F2E30"/>
    <w:multiLevelType w:val="hybridMultilevel"/>
    <w:lvl w:ilvl="0">
      <w:lvlJc w:val="left"/>
      <w:lvlText w:val="(%1)"/>
      <w:numFmt w:val="lowerLetter"/>
      <w:start w:val="4"/>
    </w:lvl>
  </w:abstractNum>
  <w:abstractNum w:abstractNumId="72">
    <w:nsid w:val="6FDE8AF6"/>
    <w:multiLevelType w:val="hybridMultilevel"/>
    <w:lvl w:ilvl="0">
      <w:lvlJc w:val="left"/>
      <w:lvlText w:val="(%1)"/>
      <w:numFmt w:val="lowerLetter"/>
      <w:start w:val="5"/>
    </w:lvl>
  </w:abstractNum>
  <w:abstractNum w:abstractNumId="73">
    <w:nsid w:val="3FC32E20"/>
    <w:multiLevelType w:val="hybridMultilevel"/>
    <w:lvl w:ilvl="0">
      <w:lvlJc w:val="left"/>
      <w:lvlText w:val="(%1)"/>
      <w:numFmt w:val="lowerLetter"/>
      <w:start w:val="6"/>
    </w:lvl>
  </w:abstractNum>
  <w:abstractNum w:abstractNumId="74">
    <w:nsid w:val="49C0E823"/>
    <w:multiLevelType w:val="hybridMultilevel"/>
    <w:lvl w:ilvl="0">
      <w:lvlJc w:val="left"/>
      <w:lvlText w:val="(%1)"/>
      <w:numFmt w:val="lowerLetter"/>
      <w:start w:val="8"/>
    </w:lvl>
  </w:abstractNum>
  <w:abstractNum w:abstractNumId="75">
    <w:nsid w:val="14D53685"/>
    <w:multiLevelType w:val="hybridMultilevel"/>
    <w:lvl w:ilvl="0">
      <w:lvlJc w:val="left"/>
      <w:lvlText w:val="(%1)"/>
      <w:numFmt w:val="lowerLetter"/>
      <w:start w:val="11"/>
    </w:lvl>
  </w:abstractNum>
  <w:abstractNum w:abstractNumId="76">
    <w:nsid w:val="230F856C"/>
    <w:multiLevelType w:val="hybridMultilevel"/>
    <w:lvl w:ilvl="0">
      <w:lvlJc w:val="left"/>
      <w:lvlText w:val="(%1)"/>
      <w:numFmt w:val="lowerRoman"/>
      <w:start w:val="1"/>
    </w:lvl>
  </w:abstractNum>
  <w:abstractNum w:abstractNumId="77">
    <w:nsid w:val="6EAA85FB"/>
    <w:multiLevelType w:val="hybridMultilevel"/>
    <w:lvl w:ilvl="0">
      <w:lvlJc w:val="left"/>
      <w:lvlText w:val="(%1)"/>
      <w:numFmt w:val="lowerRoman"/>
      <w:start w:val="6"/>
    </w:lvl>
  </w:abstractNum>
  <w:abstractNum w:abstractNumId="78">
    <w:nsid w:val="3F06ECB2"/>
    <w:multiLevelType w:val="hybridMultilevel"/>
    <w:lvl w:ilvl="0">
      <w:lvlJc w:val="left"/>
      <w:lvlText w:val="(%1)"/>
      <w:numFmt w:val="lowerLetter"/>
      <w:start w:val="2"/>
    </w:lvl>
  </w:abstractNum>
  <w:abstractNum w:abstractNumId="79">
    <w:nsid w:val="3B594807"/>
    <w:multiLevelType w:val="hybridMultilevel"/>
    <w:lvl w:ilvl="0">
      <w:lvlJc w:val="left"/>
      <w:lvlText w:val="(%1)"/>
      <w:numFmt w:val="lowerLetter"/>
      <w:start w:val="2"/>
    </w:lvl>
  </w:abstractNum>
  <w:abstractNum w:abstractNumId="80">
    <w:nsid w:val="6CAA2304"/>
    <w:multiLevelType w:val="hybridMultilevel"/>
    <w:lvl w:ilvl="0">
      <w:lvlJc w:val="left"/>
      <w:lvlText w:val="%1"/>
      <w:numFmt w:val="lowerRoman"/>
      <w:start w:val="1"/>
    </w:lvl>
    <w:lvl w:ilvl="1">
      <w:lvlJc w:val="left"/>
      <w:lvlText w:val="(%2)"/>
      <w:numFmt w:val="lowerLetter"/>
      <w:start w:val="3"/>
    </w:lvl>
  </w:abstractNum>
  <w:abstractNum w:abstractNumId="81">
    <w:nsid w:val="3F7C2FF4"/>
    <w:multiLevelType w:val="hybridMultilevel"/>
    <w:lvl w:ilvl="0">
      <w:lvlJc w:val="left"/>
      <w:lvlText w:val="(%1)"/>
      <w:numFmt w:val="lowerRoman"/>
      <w:start w:val="1"/>
    </w:lvl>
    <w:lvl w:ilvl="1">
      <w:lvlJc w:val="left"/>
      <w:lvlText w:val="%2"/>
      <w:numFmt w:val="lowerLetter"/>
      <w:start w:val="1"/>
    </w:lvl>
  </w:abstractNum>
  <w:abstractNum w:abstractNumId="82">
    <w:nsid w:val="25413BEC"/>
    <w:multiLevelType w:val="hybridMultilevel"/>
    <w:lvl w:ilvl="0">
      <w:lvlJc w:val="left"/>
      <w:lvlText w:val="(%1)"/>
      <w:numFmt w:val="lowerLetter"/>
      <w:start w:val="4"/>
    </w:lvl>
  </w:abstractNum>
  <w:abstractNum w:abstractNumId="83">
    <w:nsid w:val="17180B0B"/>
    <w:multiLevelType w:val="hybridMultilevel"/>
    <w:lvl w:ilvl="0">
      <w:lvlJc w:val="left"/>
      <w:lvlText w:val="(%1)"/>
      <w:numFmt w:val="lowerLetter"/>
      <w:start w:val="1"/>
    </w:lvl>
  </w:abstractNum>
  <w:abstractNum w:abstractNumId="84">
    <w:nsid w:val="579328B9"/>
    <w:multiLevelType w:val="hybridMultilevel"/>
    <w:lvl w:ilvl="0">
      <w:lvlJc w:val="left"/>
      <w:lvlText w:val="(%1)"/>
      <w:numFmt w:val="lowerLetter"/>
      <w:start w:val="3"/>
    </w:lvl>
  </w:abstractNum>
  <w:abstractNum w:abstractNumId="85">
    <w:nsid w:val="5D205E20"/>
    <w:multiLevelType w:val="hybridMultilevel"/>
    <w:lvl w:ilvl="0">
      <w:lvlJc w:val="left"/>
      <w:lvlText w:val="(%1)"/>
      <w:numFmt w:val="lowerLetter"/>
      <w:start w:val="2"/>
    </w:lvl>
  </w:abstractNum>
  <w:abstractNum w:abstractNumId="86">
    <w:nsid w:val="11CCA8BA"/>
    <w:multiLevelType w:val="hybridMultilevel"/>
    <w:lvl w:ilvl="0">
      <w:lvlJc w:val="left"/>
      <w:lvlText w:val="(%1)"/>
      <w:numFmt w:val="lowerLetter"/>
      <w:start w:val="2"/>
    </w:lvl>
  </w:abstractNum>
  <w:abstractNum w:abstractNumId="87">
    <w:nsid w:val="4D32AB86"/>
    <w:multiLevelType w:val="hybridMultilevel"/>
    <w:lvl w:ilvl="0">
      <w:lvlJc w:val="left"/>
      <w:lvlText w:val="(%1)"/>
      <w:numFmt w:val="lowerLetter"/>
      <w:start w:val="2"/>
    </w:lvl>
  </w:abstractNum>
  <w:abstractNum w:abstractNumId="88">
    <w:nsid w:val="3F07ACC3"/>
    <w:multiLevelType w:val="hybridMultilevel"/>
    <w:lvl w:ilvl="0">
      <w:lvlJc w:val="left"/>
      <w:lvlText w:val="%1"/>
      <w:numFmt w:val="lowerRoman"/>
      <w:start w:val="1"/>
    </w:lvl>
    <w:lvl w:ilvl="1">
      <w:lvlJc w:val="left"/>
      <w:lvlText w:val="(%2)"/>
      <w:numFmt w:val="lowerLetter"/>
      <w:start w:val="4"/>
    </w:lvl>
  </w:abstractNum>
  <w:abstractNum w:abstractNumId="89">
    <w:nsid w:val="6B47F63E"/>
    <w:multiLevelType w:val="hybridMultilevel"/>
    <w:lvl w:ilvl="0">
      <w:lvlJc w:val="left"/>
      <w:lvlText w:val="(%1)"/>
      <w:numFmt w:val="lowerRoman"/>
      <w:start w:val="1"/>
    </w:lvl>
    <w:lvl w:ilvl="1">
      <w:lvlJc w:val="left"/>
      <w:lvlText w:val="%2"/>
      <w:numFmt w:val="lowerLetter"/>
      <w:start w:val="1"/>
    </w:lvl>
  </w:abstractNum>
  <w:abstractNum w:abstractNumId="90">
    <w:nsid w:val="5CB44A05"/>
    <w:multiLevelType w:val="hybridMultilevel"/>
    <w:lvl w:ilvl="0">
      <w:lvlJc w:val="left"/>
      <w:lvlText w:val="(%1)"/>
      <w:numFmt w:val="lowerLetter"/>
      <w:start w:val="5"/>
    </w:lvl>
  </w:abstractNum>
  <w:abstractNum w:abstractNumId="91">
    <w:nsid w:val="16CF80F1"/>
    <w:multiLevelType w:val="hybridMultilevel"/>
    <w:lvl w:ilvl="0">
      <w:lvlJc w:val="left"/>
      <w:lvlText w:val="(%1)"/>
      <w:numFmt w:val="lowerLetter"/>
      <w:start w:val="2"/>
    </w:lvl>
  </w:abstractNum>
  <w:abstractNum w:abstractNumId="92">
    <w:nsid w:val="1C695DEC"/>
    <w:multiLevelType w:val="hybridMultilevel"/>
    <w:lvl w:ilvl="0">
      <w:lvlJc w:val="left"/>
      <w:lvlText w:val="(%1)"/>
      <w:numFmt w:val="lowerLetter"/>
      <w:start w:val="4"/>
    </w:lvl>
  </w:abstractNum>
  <w:abstractNum w:abstractNumId="93">
    <w:nsid w:val="3FCFAED9"/>
    <w:multiLevelType w:val="hybridMultilevel"/>
    <w:lvl w:ilvl="0">
      <w:lvlJc w:val="left"/>
      <w:lvlText w:val="%1"/>
      <w:numFmt w:val="lowerLetter"/>
      <w:start w:val="1"/>
    </w:lvl>
    <w:lvl w:ilvl="1">
      <w:lvlJc w:val="left"/>
      <w:lvlText w:val="(%2)"/>
      <w:numFmt w:val="lowerLetter"/>
      <w:start w:val="1"/>
    </w:lvl>
  </w:abstractNum>
  <w:abstractNum w:abstractNumId="94">
    <w:nsid w:val="F856867"/>
    <w:multiLevelType w:val="hybridMultilevel"/>
    <w:lvl w:ilvl="0">
      <w:lvlJc w:val="left"/>
      <w:lvlText w:val="(%1)"/>
      <w:numFmt w:val="lowerLetter"/>
      <w:start w:val="9"/>
    </w:lvl>
    <w:lvl w:ilvl="1">
      <w:lvlJc w:val="left"/>
      <w:lvlText w:val="%2"/>
      <w:numFmt w:val="lowerLetter"/>
      <w:start w:val="1"/>
    </w:lvl>
  </w:abstractNum>
  <w:abstractNum w:abstractNumId="95">
    <w:nsid w:val="11B1CC33"/>
    <w:multiLevelType w:val="hybridMultilevel"/>
    <w:lvl w:ilvl="0">
      <w:lvlJc w:val="left"/>
      <w:lvlText w:val="(%1)"/>
      <w:numFmt w:val="lowerRoman"/>
      <w:start w:val="2"/>
    </w:lvl>
  </w:abstractNum>
  <w:abstractNum w:abstractNumId="96">
    <w:nsid w:val="2E22FBB7"/>
    <w:multiLevelType w:val="hybridMultilevel"/>
    <w:lvl w:ilvl="0">
      <w:lvlJc w:val="left"/>
      <w:lvlText w:val="(%1)"/>
      <w:numFmt w:val="lowerLetter"/>
      <w:start w:val="25"/>
    </w:lvl>
    <w:lvl w:ilvl="1">
      <w:lvlJc w:val="left"/>
      <w:lvlText w:val="(%2)"/>
      <w:numFmt w:val="lowerLetter"/>
      <w:start w:val="2"/>
    </w:lvl>
  </w:abstractNum>
  <w:abstractNum w:abstractNumId="97">
    <w:nsid w:val="29934699"/>
    <w:multiLevelType w:val="hybridMultilevel"/>
    <w:lvl w:ilvl="0">
      <w:lvlJc w:val="left"/>
      <w:lvlText w:val="(%1)"/>
      <w:numFmt w:val="lowerLetter"/>
      <w:start w:val="3"/>
    </w:lvl>
  </w:abstractNum>
  <w:abstractNum w:abstractNumId="98">
    <w:nsid w:val="77485850"/>
    <w:multiLevelType w:val="hybridMultilevel"/>
    <w:lvl w:ilvl="0">
      <w:lvlJc w:val="left"/>
      <w:lvlText w:val="(%1)"/>
      <w:numFmt w:val="lowerRoman"/>
      <w:start w:val="1"/>
    </w:lvl>
  </w:abstractNum>
  <w:abstractNum w:abstractNumId="99">
    <w:nsid w:val="744939A3"/>
    <w:multiLevelType w:val="hybridMultilevel"/>
    <w:lvl w:ilvl="0">
      <w:lvlJc w:val="left"/>
      <w:lvlText w:val="(%1)"/>
      <w:numFmt w:val="lowerLetter"/>
      <w:start w:val="2"/>
    </w:lvl>
  </w:abstractNum>
  <w:abstractNum w:abstractNumId="100">
    <w:nsid w:val="4FA0D2E3"/>
    <w:multiLevelType w:val="hybridMultilevel"/>
    <w:lvl w:ilvl="0">
      <w:lvlJc w:val="left"/>
      <w:lvlText w:val="(%1)"/>
      <w:numFmt w:val="lowerLetter"/>
      <w:start w:val="2"/>
    </w:lvl>
  </w:abstractNum>
  <w:abstractNum w:abstractNumId="101">
    <w:nsid w:val="6B1D2C14"/>
    <w:multiLevelType w:val="hybridMultilevel"/>
    <w:lvl w:ilvl="0">
      <w:lvlJc w:val="left"/>
      <w:lvlText w:val="%1"/>
      <w:numFmt w:val="lowerRoman"/>
      <w:start w:val="1"/>
    </w:lvl>
    <w:lvl w:ilvl="1">
      <w:lvlJc w:val="left"/>
      <w:lvlText w:val="(%2)"/>
      <w:numFmt w:val="lowerLetter"/>
      <w:start w:val="4"/>
    </w:lvl>
    <w:lvl w:ilvl="2">
      <w:lvlJc w:val="left"/>
      <w:lvlText w:val="%3"/>
      <w:numFmt w:val="upperLetter"/>
      <w:start w:val="1"/>
    </w:lvl>
  </w:abstractNum>
  <w:abstractNum w:abstractNumId="102">
    <w:nsid w:val="68B867D3"/>
    <w:multiLevelType w:val="hybridMultilevel"/>
    <w:lvl w:ilvl="0">
      <w:lvlJc w:val="left"/>
      <w:lvlText w:val="(%1)"/>
      <w:numFmt w:val="lowerRoman"/>
      <w:start w:val="2"/>
    </w:lvl>
    <w:lvl w:ilvl="1">
      <w:lvlJc w:val="left"/>
      <w:lvlText w:val="%2"/>
      <w:numFmt w:val="lowerLetter"/>
      <w:start w:val="1"/>
    </w:lvl>
    <w:lvl w:ilvl="2">
      <w:lvlJc w:val="left"/>
      <w:lvlText w:val="(%3)"/>
      <w:numFmt w:val="upperLetter"/>
      <w:start w:val="1"/>
    </w:lvl>
  </w:abstractNum>
  <w:abstractNum w:abstractNumId="103">
    <w:nsid w:val="3F7F5DD9"/>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4"/>
    </w:lvl>
  </w:abstractNum>
  <w:abstractNum w:abstractNumId="104">
    <w:nsid w:val="2AE05A34"/>
    <w:multiLevelType w:val="hybridMultilevel"/>
    <w:lvl w:ilvl="0">
      <w:lvlJc w:val="left"/>
      <w:lvlText w:val="(%1)"/>
      <w:numFmt w:val="lowerRoman"/>
      <w:start w:val="4"/>
    </w:lvl>
    <w:lvl w:ilvl="1">
      <w:lvlJc w:val="left"/>
      <w:lvlText w:val="(%2)"/>
      <w:numFmt w:val="lowerLetter"/>
      <w:start w:val="6"/>
    </w:lvl>
    <w:lvl w:ilvl="2">
      <w:lvlJc w:val="left"/>
      <w:lvlText w:val="%3"/>
      <w:numFmt w:val="upperLetter"/>
      <w:start w:val="1"/>
    </w:lvl>
  </w:abstractNum>
  <w:abstractNum w:abstractNumId="105">
    <w:nsid w:val="32794FF7"/>
    <w:multiLevelType w:val="hybridMultilevel"/>
    <w:lvl w:ilvl="0">
      <w:lvlJc w:val="left"/>
      <w:lvlText w:val="(%1)"/>
      <w:numFmt w:val="lowerLetter"/>
      <w:start w:val="7"/>
    </w:lvl>
  </w:abstractNum>
  <w:abstractNum w:abstractNumId="106">
    <w:nsid w:val="5454945E"/>
    <w:multiLevelType w:val="hybridMultilevel"/>
    <w:lvl w:ilvl="0">
      <w:lvlJc w:val="left"/>
      <w:lvlText w:val="(%1)"/>
      <w:numFmt w:val="lowerLetter"/>
      <w:start w:val="2"/>
    </w:lvl>
  </w:abstractNum>
  <w:abstractNum w:abstractNumId="107">
    <w:nsid w:val="4DEFDFA0"/>
    <w:multiLevelType w:val="hybridMultilevel"/>
    <w:lvl w:ilvl="0">
      <w:lvlJc w:val="left"/>
      <w:lvlText w:val="%1"/>
      <w:numFmt w:val="lowerLetter"/>
      <w:start w:val="1"/>
    </w:lvl>
    <w:lvl w:ilvl="1">
      <w:lvlJc w:val="left"/>
      <w:lvlText w:val="(%2)"/>
      <w:numFmt w:val="lowerLetter"/>
      <w:start w:val="2"/>
    </w:lvl>
  </w:abstractNum>
  <w:abstractNum w:abstractNumId="108">
    <w:nsid w:val="2123D5F2"/>
    <w:multiLevelType w:val="hybridMultilevel"/>
    <w:lvl w:ilvl="0">
      <w:lvlJc w:val="left"/>
      <w:lvlText w:val="(%1)"/>
      <w:numFmt w:val="lowerLetter"/>
      <w:start w:val="24"/>
    </w:lvl>
    <w:lvl w:ilvl="1">
      <w:lvlJc w:val="left"/>
      <w:lvlText w:val="(%2)"/>
      <w:numFmt w:val="lowerLetter"/>
      <w:start w:val="3"/>
    </w:lvl>
  </w:abstractNum>
  <w:abstractNum w:abstractNumId="109">
    <w:nsid w:val="135B8110"/>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
    </w:lvl>
  </w:abstractNum>
  <w:abstractNum w:abstractNumId="110">
    <w:nsid w:val="94927A8"/>
    <w:multiLevelType w:val="hybridMultilevel"/>
    <w:lvl w:ilvl="0">
      <w:lvlJc w:val="left"/>
      <w:lvlText w:val="%1"/>
      <w:numFmt w:val="upperLetter"/>
      <w:start w:val="1"/>
    </w:lvl>
    <w:lvl w:ilvl="1">
      <w:lvlJc w:val="left"/>
      <w:lvlText w:val="(%2)"/>
      <w:numFmt w:val="lowerLetter"/>
      <w:start w:val="9"/>
    </w:lvl>
    <w:lvl w:ilvl="2">
      <w:lvlJc w:val="left"/>
      <w:lvlText w:val="%3"/>
      <w:numFmt w:val="lowerLetter"/>
      <w:start w:val="1"/>
    </w:lvl>
  </w:abstractNum>
  <w:abstractNum w:abstractNumId="111">
    <w:nsid w:val="DCDF8F6"/>
    <w:multiLevelType w:val="hybridMultilevel"/>
    <w:lvl w:ilvl="0">
      <w:lvlJc w:val="left"/>
      <w:lvlText w:val="(%1)"/>
      <w:numFmt w:val="upperLetter"/>
      <w:start w:val="4"/>
    </w:lvl>
    <w:lvl w:ilvl="1">
      <w:lvlJc w:val="left"/>
      <w:lvlText w:val="(%2)"/>
      <w:numFmt w:val="lowerLetter"/>
      <w:start w:val="35"/>
    </w:lvl>
    <w:lvl w:ilvl="2">
      <w:lvlJc w:val="left"/>
      <w:lvlText w:val="%3"/>
      <w:numFmt w:val="lowerLetter"/>
      <w:start w:val="1"/>
    </w:lvl>
  </w:abstractNum>
  <w:abstractNum w:abstractNumId="112">
    <w:nsid w:val="52D7B105"/>
    <w:multiLevelType w:val="hybridMultilevel"/>
    <w:lvl w:ilvl="0">
      <w:lvlJc w:val="left"/>
      <w:lvlText w:val="(%1)"/>
      <w:numFmt w:val="lowerLetter"/>
      <w:start w:val="61"/>
    </w:lvl>
    <w:lvl w:ilvl="1">
      <w:lvlJc w:val="left"/>
      <w:lvlText w:val="%2"/>
      <w:numFmt w:val="lowerLetter"/>
      <w:start w:val="1"/>
    </w:lvl>
  </w:abstractNum>
  <w:abstractNum w:abstractNumId="113">
    <w:nsid w:val="2E8A6394"/>
    <w:multiLevelType w:val="hybridMultilevel"/>
    <w:lvl w:ilvl="0">
      <w:lvlJc w:val="left"/>
      <w:lvlText w:val="(%1)"/>
      <w:numFmt w:val="lowerLetter"/>
      <w:start w:val="4"/>
    </w:lvl>
    <w:lvl w:ilvl="1">
      <w:lvlJc w:val="left"/>
      <w:lvlText w:val="%2"/>
      <w:numFmt w:val="lowerLetter"/>
      <w:start w:val="1"/>
    </w:lvl>
  </w:abstractNum>
  <w:abstractNum w:abstractNumId="114">
    <w:nsid w:val="24E60401"/>
    <w:multiLevelType w:val="hybridMultilevel"/>
    <w:lvl w:ilvl="0">
      <w:lvlJc w:val="left"/>
      <w:lvlText w:val="(%1)"/>
      <w:numFmt w:val="lowerLetter"/>
      <w:start w:val="2"/>
    </w:lvl>
  </w:abstractNum>
  <w:abstractNum w:abstractNumId="115">
    <w:nsid w:val="2A6AD9BE"/>
    <w:multiLevelType w:val="hybridMultilevel"/>
    <w:lvl w:ilvl="0">
      <w:lvlJc w:val="left"/>
      <w:lvlText w:val="(%1)"/>
      <w:numFmt w:val="lowerLetter"/>
      <w:start w:val="5"/>
    </w:lvl>
  </w:abstractNum>
  <w:abstractNum w:abstractNumId="116">
    <w:nsid w:val="BAAC1B4"/>
    <w:multiLevelType w:val="hybridMultilevel"/>
    <w:lvl w:ilvl="0">
      <w:lvlJc w:val="left"/>
      <w:lvlText w:val="(%1)"/>
      <w:numFmt w:val="lowerRoman"/>
      <w:start w:val="1"/>
    </w:lvl>
    <w:lvl w:ilvl="1">
      <w:lvlJc w:val="left"/>
      <w:lvlText w:val="(%2)"/>
      <w:numFmt w:val="upperLetter"/>
      <w:start w:val="1"/>
    </w:lvl>
  </w:abstractNum>
  <w:abstractNum w:abstractNumId="117">
    <w:nsid w:val="36B2ACBC"/>
    <w:multiLevelType w:val="hybridMultilevel"/>
    <w:lvl w:ilvl="0">
      <w:lvlJc w:val="left"/>
      <w:lvlText w:val="%1"/>
      <w:numFmt w:val="lowerRoman"/>
      <w:start w:val="1"/>
    </w:lvl>
    <w:lvl w:ilvl="1">
      <w:lvlJc w:val="left"/>
      <w:lvlText w:val="(%2)"/>
      <w:numFmt w:val="upperLetter"/>
      <w:start w:val="5"/>
    </w:lvl>
  </w:abstractNum>
  <w:abstractNum w:abstractNumId="118">
    <w:nsid w:val="779D8544"/>
    <w:multiLevelType w:val="hybridMultilevel"/>
    <w:lvl w:ilvl="0">
      <w:lvlJc w:val="left"/>
      <w:lvlText w:val="(%1)"/>
      <w:numFmt w:val="lowerRoman"/>
      <w:start w:val="3"/>
    </w:lvl>
    <w:lvl w:ilvl="1">
      <w:lvlJc w:val="left"/>
      <w:lvlText w:val="%2"/>
      <w:numFmt w:val="upperLetter"/>
      <w:start w:val="1"/>
    </w:lvl>
  </w:abstractNum>
  <w:abstractNum w:abstractNumId="119">
    <w:nsid w:val="4AB26E78"/>
    <w:multiLevelType w:val="hybridMultilevel"/>
    <w:lvl w:ilvl="0">
      <w:lvlJc w:val="left"/>
      <w:lvlText w:val="(%1)"/>
      <w:numFmt w:val="lowerLetter"/>
      <w:start w:val="22"/>
    </w:lvl>
    <w:lvl w:ilvl="1">
      <w:lvlJc w:val="left"/>
      <w:lvlText w:val="(%2)"/>
      <w:numFmt w:val="lowerLetter"/>
      <w:start w:val="2"/>
    </w:lvl>
  </w:abstractNum>
  <w:abstractNum w:abstractNumId="120">
    <w:nsid w:val="21FAA2FA"/>
    <w:multiLevelType w:val="hybridMultilevel"/>
    <w:lvl w:ilvl="0">
      <w:lvlJc w:val="left"/>
      <w:lvlText w:val="(%1)"/>
      <w:numFmt w:val="lowerLetter"/>
      <w:start w:val="2"/>
    </w:lvl>
  </w:abstractNum>
  <w:abstractNum w:abstractNumId="121">
    <w:nsid w:val="5451CF49"/>
    <w:multiLevelType w:val="hybridMultilevel"/>
    <w:lvl w:ilvl="0">
      <w:lvlJc w:val="left"/>
      <w:lvlText w:val="(%1)"/>
      <w:numFmt w:val="lowerLetter"/>
      <w:start w:val="2"/>
    </w:lvl>
  </w:abstractNum>
  <w:abstractNum w:abstractNumId="122">
    <w:nsid w:val="6181EF69"/>
    <w:multiLevelType w:val="hybridMultilevel"/>
    <w:lvl w:ilvl="0">
      <w:lvlJc w:val="left"/>
      <w:lvlText w:val="(%1)"/>
      <w:numFmt w:val="lowerLetter"/>
      <w:start w:val="3"/>
    </w:lvl>
  </w:abstractNum>
  <w:abstractNum w:abstractNumId="123">
    <w:nsid w:val="3E6400E6"/>
    <w:multiLevelType w:val="hybridMultilevel"/>
    <w:lvl w:ilvl="0">
      <w:lvlJc w:val="left"/>
      <w:lvlText w:val="(%1)"/>
      <w:numFmt w:val="lowerLetter"/>
      <w:start w:val="2"/>
    </w:lvl>
  </w:abstractNum>
  <w:abstractNum w:abstractNumId="124">
    <w:nsid w:val="14217E23"/>
    <w:multiLevelType w:val="hybridMultilevel"/>
    <w:lvl w:ilvl="0">
      <w:lvlJc w:val="left"/>
      <w:lvlText w:val="(%1)"/>
      <w:numFmt w:val="lowerLetter"/>
      <w:start w:val="2"/>
    </w:lvl>
  </w:abstractNum>
  <w:abstractNum w:abstractNumId="125">
    <w:nsid w:val="710757D0"/>
    <w:multiLevelType w:val="hybridMultilevel"/>
    <w:lvl w:ilvl="0">
      <w:lvlJc w:val="left"/>
      <w:lvlText w:val="(%1)"/>
      <w:numFmt w:val="lowerLetter"/>
      <w:start w:val="7"/>
    </w:lvl>
  </w:abstractNum>
  <w:abstractNum w:abstractNumId="126">
    <w:nsid w:val="5015CD1A"/>
    <w:multiLevelType w:val="hybridMultilevel"/>
    <w:lvl w:ilvl="0">
      <w:lvlJc w:val="left"/>
      <w:lvlText w:val="(%1)"/>
      <w:numFmt w:val="lowerLetter"/>
      <w:start w:val="2"/>
    </w:lvl>
  </w:abstractNum>
  <w:abstractNum w:abstractNumId="127">
    <w:nsid w:val="424479DA"/>
    <w:multiLevelType w:val="hybridMultilevel"/>
    <w:lvl w:ilvl="0">
      <w:lvlJc w:val="left"/>
      <w:lvlText w:val="(%1)"/>
      <w:numFmt w:val="lowerLetter"/>
      <w:start w:val="2"/>
    </w:lvl>
  </w:abstractNum>
  <w:abstractNum w:abstractNumId="128">
    <w:nsid w:val="1A9A9E69"/>
    <w:multiLevelType w:val="hybridMultilevel"/>
    <w:lvl w:ilvl="0">
      <w:lvlJc w:val="left"/>
      <w:lvlText w:val="%1"/>
      <w:numFmt w:val="lowerRoman"/>
      <w:start w:val="1"/>
    </w:lvl>
    <w:lvl w:ilvl="1">
      <w:lvlJc w:val="left"/>
      <w:lvlText w:val="(%2)"/>
      <w:numFmt w:val="lowerLetter"/>
      <w:start w:val="1"/>
    </w:lvl>
  </w:abstractNum>
  <w:abstractNum w:abstractNumId="129">
    <w:nsid w:val="475E256A"/>
    <w:multiLevelType w:val="hybridMultilevel"/>
    <w:lvl w:ilvl="0">
      <w:lvlJc w:val="left"/>
      <w:lvlText w:val="(%1)"/>
      <w:numFmt w:val="lowerRoman"/>
      <w:start w:val="1"/>
    </w:lvl>
    <w:lvl w:ilvl="1">
      <w:lvlJc w:val="left"/>
      <w:lvlText w:val="%2"/>
      <w:numFmt w:val="lowerLetter"/>
      <w:start w:val="1"/>
    </w:lvl>
  </w:abstractNum>
  <w:abstractNum w:abstractNumId="130">
    <w:nsid w:val="368DB37E"/>
    <w:multiLevelType w:val="hybridMultilevel"/>
    <w:lvl w:ilvl="0">
      <w:lvlJc w:val="left"/>
      <w:lvlText w:val="(%1)"/>
      <w:numFmt w:val="lowerRoman"/>
      <w:start w:val="7"/>
    </w:lvl>
    <w:lvl w:ilvl="1">
      <w:lvlJc w:val="left"/>
      <w:lvlText w:val="(%2)"/>
      <w:numFmt w:val="upperLetter"/>
      <w:start w:val="1"/>
    </w:lvl>
  </w:abstractNum>
  <w:abstractNum w:abstractNumId="131">
    <w:nsid w:val="6A3B714C"/>
    <w:multiLevelType w:val="hybridMultilevel"/>
    <w:lvl w:ilvl="0">
      <w:lvlJc w:val="left"/>
      <w:lvlText w:val="(%1)"/>
      <w:numFmt w:val="lowerRoman"/>
      <w:start w:val="13"/>
    </w:lvl>
  </w:abstractNum>
  <w:abstractNum w:abstractNumId="132">
    <w:nsid w:val="327B517E"/>
    <w:multiLevelType w:val="hybridMultilevel"/>
    <w:lvl w:ilvl="0">
      <w:lvlJc w:val="left"/>
      <w:lvlText w:val="(%1)"/>
      <w:numFmt w:val="lowerLetter"/>
      <w:start w:val="2"/>
    </w:lvl>
  </w:abstractNum>
  <w:abstractNum w:abstractNumId="133">
    <w:nsid w:val="1F461B51"/>
    <w:multiLevelType w:val="hybridMultilevel"/>
    <w:lvl w:ilvl="0">
      <w:lvlJc w:val="left"/>
      <w:lvlText w:val="%1"/>
      <w:numFmt w:val="lowerLetter"/>
      <w:start w:val="1"/>
    </w:lvl>
    <w:lvl w:ilvl="1">
      <w:lvlJc w:val="left"/>
      <w:lvlText w:val="(%2)"/>
      <w:numFmt w:val="lowerLetter"/>
      <w:start w:val="1"/>
    </w:lvl>
  </w:abstractNum>
  <w:abstractNum w:abstractNumId="134">
    <w:nsid w:val="29BACF25"/>
    <w:multiLevelType w:val="hybridMultilevel"/>
    <w:lvl w:ilvl="0">
      <w:lvlJc w:val="left"/>
      <w:lvlText w:val="(%1)"/>
      <w:numFmt w:val="lowerLetter"/>
      <w:start w:val="1"/>
    </w:lvl>
    <w:lvl w:ilvl="1">
      <w:lvlJc w:val="left"/>
      <w:lvlText w:val="(%2)"/>
      <w:numFmt w:val="lowerLetter"/>
      <w:start w:val="3"/>
    </w:lvl>
  </w:abstractNum>
  <w:abstractNum w:abstractNumId="135">
    <w:nsid w:val="5D5BABB3"/>
    <w:multiLevelType w:val="hybridMultilevel"/>
    <w:lvl w:ilvl="0">
      <w:lvlJc w:val="left"/>
      <w:lvlText w:val="%1"/>
      <w:numFmt w:val="lowerLetter"/>
      <w:start w:val="1"/>
    </w:lvl>
    <w:lvl w:ilvl="1">
      <w:lvlJc w:val="left"/>
      <w:lvlText w:val="(%2)"/>
      <w:numFmt w:val="lowerLetter"/>
      <w:start w:val="1"/>
    </w:lvl>
  </w:abstractNum>
  <w:abstractNum w:abstractNumId="136">
    <w:nsid w:val="51BF6B48"/>
    <w:multiLevelType w:val="hybridMultilevel"/>
    <w:lvl w:ilvl="0">
      <w:lvlJc w:val="left"/>
      <w:lvlText w:val="(%1)"/>
      <w:numFmt w:val="lowerLetter"/>
      <w:start w:val="35"/>
    </w:lvl>
    <w:lvl w:ilvl="1">
      <w:lvlJc w:val="left"/>
      <w:lvlText w:val="(%2)"/>
      <w:numFmt w:val="lowerLetter"/>
      <w:start w:val="4"/>
    </w:lvl>
  </w:abstractNum>
  <w:abstractNum w:abstractNumId="137">
    <w:nsid w:val="7E0F6384"/>
    <w:multiLevelType w:val="hybridMultilevel"/>
    <w:lvl w:ilvl="0">
      <w:lvlJc w:val="left"/>
      <w:lvlText w:val="(%1)"/>
      <w:numFmt w:val="lowerLetter"/>
      <w:start w:val="5"/>
    </w:lvl>
  </w:abstractNum>
  <w:abstractNum w:abstractNumId="138">
    <w:nsid w:val="2B4B8B53"/>
    <w:multiLevelType w:val="hybridMultilevel"/>
    <w:lvl w:ilvl="0">
      <w:lvlJc w:val="left"/>
      <w:lvlText w:val="(%1)"/>
      <w:numFmt w:val="lowerLetter"/>
      <w:start w:val="1"/>
    </w:lvl>
  </w:abstractNum>
  <w:abstractNum w:abstractNumId="139">
    <w:nsid w:val="72E3413A"/>
    <w:multiLevelType w:val="hybridMultilevel"/>
    <w:lvl w:ilvl="0">
      <w:lvlJc w:val="left"/>
      <w:lvlText w:val="(%1)"/>
      <w:numFmt w:val="lowerLetter"/>
      <w:start w:val="1"/>
    </w:lvl>
  </w:abstractNum>
  <w:abstractNum w:abstractNumId="140">
    <w:nsid w:val="116AE494"/>
    <w:multiLevelType w:val="hybridMultilevel"/>
    <w:lvl w:ilvl="0">
      <w:lvlJc w:val="left"/>
      <w:lvlText w:val="(%1)"/>
      <w:numFmt w:val="upperLetter"/>
      <w:start w:val="1"/>
    </w:lvl>
  </w:abstractNum>
  <w:abstractNum w:abstractNumId="141">
    <w:nsid w:val="3494B2FB"/>
    <w:multiLevelType w:val="hybridMultilevel"/>
    <w:lvl w:ilvl="0">
      <w:lvlJc w:val="left"/>
      <w:lvlText w:val="%1"/>
      <w:numFmt w:val="lowerLetter"/>
      <w:start w:val="1"/>
    </w:lvl>
    <w:lvl w:ilvl="1">
      <w:lvlJc w:val="left"/>
      <w:lvlText w:val="(%2)"/>
      <w:numFmt w:val="lowerLetter"/>
      <w:start w:val="2"/>
    </w:lvl>
  </w:abstractNum>
  <w:abstractNum w:abstractNumId="142">
    <w:nsid w:val="B13A31"/>
    <w:multiLevelType w:val="hybridMultilevel"/>
    <w:lvl w:ilvl="0">
      <w:lvlJc w:val="left"/>
      <w:lvlText w:val="(%1)"/>
      <w:numFmt w:val="lowerLetter"/>
      <w:start w:val="1"/>
    </w:lvl>
    <w:lvl w:ilvl="1">
      <w:lvlJc w:val="left"/>
      <w:lvlText w:val="%2"/>
      <w:numFmt w:val="lowerLetter"/>
      <w:start w:val="1"/>
    </w:lvl>
  </w:abstractNum>
  <w:abstractNum w:abstractNumId="143">
    <w:nsid w:val="64429599"/>
    <w:multiLevelType w:val="hybridMultilevel"/>
    <w:lvl w:ilvl="0">
      <w:lvlJc w:val="left"/>
      <w:lvlText w:val="%1"/>
      <w:numFmt w:val="lowerRoman"/>
      <w:start w:val="1"/>
    </w:lvl>
    <w:lvl w:ilvl="1">
      <w:lvlJc w:val="left"/>
      <w:lvlText w:val="(%2)"/>
      <w:numFmt w:val="lowerLetter"/>
      <w:start w:val="1"/>
    </w:lvl>
  </w:abstractNum>
  <w:abstractNum w:abstractNumId="144">
    <w:nsid w:val="631F1690"/>
    <w:multiLevelType w:val="hybridMultilevel"/>
    <w:lvl w:ilvl="0">
      <w:lvlJc w:val="left"/>
      <w:lvlText w:val="(%1)"/>
      <w:numFmt w:val="lowerRoman"/>
      <w:start w:val="1"/>
    </w:lvl>
    <w:lvl w:ilvl="1">
      <w:lvlJc w:val="left"/>
      <w:lvlText w:val="%2"/>
      <w:numFmt w:val="lowerLetter"/>
      <w:start w:val="1"/>
    </w:lvl>
  </w:abstractNum>
  <w:abstractNum w:abstractNumId="145">
    <w:nsid w:val="25973E32"/>
    <w:multiLevelType w:val="hybridMultilevel"/>
    <w:lvl w:ilvl="0">
      <w:lvlJc w:val="left"/>
      <w:lvlText w:val="(%1)"/>
      <w:numFmt w:val="lowerRoman"/>
      <w:start w:val="6"/>
    </w:lvl>
  </w:abstractNum>
  <w:abstractNum w:abstractNumId="146">
    <w:nsid w:val="EAD6F57"/>
    <w:multiLevelType w:val="hybridMultilevel"/>
    <w:lvl w:ilvl="0">
      <w:lvlJc w:val="left"/>
      <w:lvlText w:val="%1"/>
      <w:numFmt w:val="lowerRoman"/>
      <w:start w:val="1"/>
    </w:lvl>
    <w:lvl w:ilvl="1">
      <w:lvlJc w:val="left"/>
      <w:lvlText w:val="(%2)"/>
      <w:numFmt w:val="lowerLetter"/>
      <w:start w:val="2"/>
    </w:lvl>
  </w:abstractNum>
  <w:abstractNum w:abstractNumId="147">
    <w:nsid w:val="6EC9D844"/>
    <w:multiLevelType w:val="hybridMultilevel"/>
    <w:lvl w:ilvl="0">
      <w:lvlJc w:val="left"/>
      <w:lvlText w:val="(%1)"/>
      <w:numFmt w:val="lowerRoman"/>
      <w:start w:val="1"/>
    </w:lvl>
    <w:lvl w:ilvl="1">
      <w:lvlJc w:val="left"/>
      <w:lvlText w:val="(%2)"/>
      <w:numFmt w:val="lowerLetter"/>
      <w:start w:val="4"/>
    </w:lvl>
  </w:abstractNum>
  <w:abstractNum w:abstractNumId="148">
    <w:nsid w:val="5C49EAEE"/>
    <w:multiLevelType w:val="hybridMultilevel"/>
    <w:lvl w:ilvl="0">
      <w:lvlJc w:val="left"/>
      <w:lvlText w:val="(%1)"/>
      <w:numFmt w:val="lowerRoman"/>
      <w:start w:val="1"/>
    </w:lvl>
    <w:lvl w:ilvl="1">
      <w:lvlJc w:val="left"/>
      <w:lvlText w:val="(%2)"/>
      <w:numFmt w:val="lowerLetter"/>
      <w:start w:val="5"/>
    </w:lvl>
  </w:abstractNum>
  <w:abstractNum w:abstractNumId="149">
    <w:nsid w:val="64AF49B"/>
    <w:multiLevelType w:val="hybridMultilevel"/>
    <w:lvl w:ilvl="0">
      <w:lvlJc w:val="left"/>
      <w:lvlText w:val="(%1)"/>
      <w:numFmt w:val="lowerLetter"/>
      <w:start w:val="1"/>
    </w:lvl>
  </w:abstractNum>
  <w:abstractNum w:abstractNumId="150">
    <w:nsid w:val="397C46BC"/>
    <w:multiLevelType w:val="hybridMultilevel"/>
    <w:lvl w:ilvl="0">
      <w:lvlJc w:val="left"/>
      <w:lvlText w:val="(%1)"/>
      <w:numFmt w:val="lowerLetter"/>
      <w:start w:val="3"/>
    </w:lvl>
  </w:abstractNum>
  <w:abstractNum w:abstractNumId="151">
    <w:nsid w:val="7E448DE9"/>
    <w:multiLevelType w:val="hybridMultilevel"/>
    <w:lvl w:ilvl="0">
      <w:lvlJc w:val="left"/>
      <w:lvlText w:val="(%1)"/>
      <w:numFmt w:val="lowerLetter"/>
      <w:start w:val="1"/>
    </w:lvl>
  </w:abstractNum>
  <w:abstractNum w:abstractNumId="152">
    <w:nsid w:val="5A9CC3E5"/>
    <w:multiLevelType w:val="hybridMultilevel"/>
    <w:lvl w:ilvl="0">
      <w:lvlJc w:val="left"/>
      <w:lvlText w:val="(%1)"/>
      <w:numFmt w:val="lowerLetter"/>
      <w:start w:val="2"/>
    </w:lvl>
  </w:abstractNum>
  <w:abstractNum w:abstractNumId="153">
    <w:nsid w:val="1AFE3625"/>
    <w:multiLevelType w:val="hybridMultilevel"/>
    <w:lvl w:ilvl="0">
      <w:lvlJc w:val="left"/>
      <w:lvlText w:val="%1"/>
      <w:numFmt w:val="lowerLetter"/>
      <w:start w:val="1"/>
    </w:lvl>
    <w:lvl w:ilvl="1">
      <w:lvlJc w:val="left"/>
      <w:lvlText w:val="(%2)"/>
      <w:numFmt w:val="lowerLetter"/>
      <w:start w:val="7"/>
    </w:lvl>
  </w:abstractNum>
  <w:abstractNum w:abstractNumId="154">
    <w:nsid w:val="3CA88ECF"/>
    <w:multiLevelType w:val="hybridMultilevel"/>
    <w:lvl w:ilvl="0">
      <w:lvlJc w:val="left"/>
      <w:lvlText w:val="(%1)"/>
      <w:numFmt w:val="lowerLetter"/>
      <w:start w:val="25"/>
    </w:lvl>
    <w:lvl w:ilvl="1">
      <w:lvlJc w:val="left"/>
      <w:lvlText w:val="(%2)"/>
      <w:numFmt w:val="lowerLetter"/>
      <w:start w:val="13"/>
    </w:lvl>
  </w:abstractNum>
  <w:abstractNum w:abstractNumId="155">
    <w:nsid w:val="6EBE4208"/>
    <w:multiLevelType w:val="hybridMultilevel"/>
    <w:lvl w:ilvl="0">
      <w:lvlJc w:val="left"/>
      <w:lvlText w:val="(%1)"/>
      <w:numFmt w:val="lowerLetter"/>
      <w:start w:val="17"/>
    </w:lvl>
  </w:abstractNum>
  <w:abstractNum w:abstractNumId="156">
    <w:nsid w:val="C058DF5"/>
    <w:multiLevelType w:val="hybridMultilevel"/>
    <w:lvl w:ilvl="0">
      <w:lvlJc w:val="left"/>
      <w:lvlText w:val="(%1)"/>
      <w:numFmt w:val="upperLetter"/>
      <w:start w:val="2"/>
    </w:lvl>
  </w:abstractNum>
  <w:abstractNum w:abstractNumId="157">
    <w:nsid w:val="CBE5BE9"/>
    <w:multiLevelType w:val="hybridMultilevel"/>
    <w:lvl w:ilvl="0">
      <w:lvlJc w:val="left"/>
      <w:lvlText w:val="(%1)"/>
      <w:numFmt w:val="lowerLetter"/>
      <w:start w:val="1"/>
    </w:lvl>
  </w:abstractNum>
  <w:abstractNum w:abstractNumId="158">
    <w:nsid w:val="3102BBE2"/>
    <w:multiLevelType w:val="hybridMultilevel"/>
    <w:lvl w:ilvl="0">
      <w:lvlJc w:val="left"/>
      <w:lvlText w:val="(%1)"/>
      <w:numFmt w:val="lowerLetter"/>
      <w:start w:val="3"/>
    </w:lvl>
  </w:abstractNum>
  <w:abstractNum w:abstractNumId="159">
    <w:nsid w:val="26A02C5E"/>
    <w:multiLevelType w:val="hybridMultilevel"/>
    <w:lvl w:ilvl="0">
      <w:lvlJc w:val="left"/>
      <w:lvlText w:val="(%1)"/>
      <w:numFmt w:val="lowerLetter"/>
      <w:start w:val="12"/>
    </w:lvl>
  </w:abstractNum>
  <w:abstractNum w:abstractNumId="160">
    <w:nsid w:val="541C8153"/>
    <w:multiLevelType w:val="hybridMultilevel"/>
    <w:lvl w:ilvl="0">
      <w:lvlJc w:val="left"/>
      <w:lvlText w:val="(%1)"/>
      <w:numFmt w:val="lowerRoman"/>
      <w:start w:val="10"/>
    </w:lvl>
  </w:abstractNum>
  <w:abstractNum w:abstractNumId="161">
    <w:nsid w:val="67906F60"/>
    <w:multiLevelType w:val="hybridMultilevel"/>
    <w:lvl w:ilvl="0">
      <w:lvlJc w:val="left"/>
      <w:lvlText w:val="(%1)"/>
      <w:numFmt w:val="lowerRoman"/>
      <w:start w:val="1"/>
    </w:lvl>
  </w:abstractNum>
  <w:abstractNum w:abstractNumId="162">
    <w:nsid w:val="10DB9DAA"/>
    <w:multiLevelType w:val="hybridMultilevel"/>
    <w:lvl w:ilvl="0">
      <w:lvlJc w:val="left"/>
      <w:lvlText w:val="(%1)"/>
      <w:numFmt w:val="lowerRoman"/>
      <w:start w:val="3"/>
    </w:lvl>
    <w:lvl w:ilvl="1">
      <w:lvlJc w:val="left"/>
      <w:lvlText w:val="(%2)"/>
      <w:numFmt w:val="lowerLetter"/>
      <w:start w:val="2"/>
    </w:lvl>
  </w:abstractNum>
  <w:abstractNum w:abstractNumId="163">
    <w:nsid w:val="697D2D2"/>
    <w:multiLevelType w:val="hybridMultilevel"/>
    <w:lvl w:ilvl="0">
      <w:lvlJc w:val="left"/>
      <w:lvlText w:val="(%1)"/>
      <w:numFmt w:val="lowerLetter"/>
      <w:start w:val="3"/>
    </w:lvl>
  </w:abstractNum>
  <w:abstractNum w:abstractNumId="164">
    <w:nsid w:val="6D68AB2"/>
    <w:multiLevelType w:val="hybridMultilevel"/>
    <w:lvl w:ilvl="0">
      <w:lvlJc w:val="left"/>
      <w:lvlText w:val="(%1)"/>
      <w:numFmt w:val="lowerLetter"/>
      <w:start w:val="1"/>
    </w:lvl>
  </w:abstractNum>
  <w:abstractNum w:abstractNumId="165">
    <w:nsid w:val="3A966CD0"/>
    <w:multiLevelType w:val="hybridMultilevel"/>
    <w:lvl w:ilvl="0">
      <w:lvlJc w:val="left"/>
      <w:lvlText w:val="(%1)"/>
      <w:numFmt w:val="lowerLetter"/>
      <w:start w:val="5"/>
    </w:lvl>
  </w:abstractNum>
  <w:abstractNum w:abstractNumId="166">
    <w:nsid w:val="63F37E85"/>
    <w:multiLevelType w:val="hybridMultilevel"/>
    <w:lvl w:ilvl="0">
      <w:lvlJc w:val="left"/>
      <w:lvlText w:val="(%1)"/>
      <w:numFmt w:val="lowerRoman"/>
      <w:start w:val="2"/>
    </w:lvl>
  </w:abstractNum>
  <w:abstractNum w:abstractNumId="167">
    <w:nsid w:val="5895F5FA"/>
    <w:multiLevelType w:val="hybridMultilevel"/>
    <w:lvl w:ilvl="0">
      <w:lvlJc w:val="left"/>
      <w:lvlText w:val="(%1)"/>
      <w:numFmt w:val="lowerLetter"/>
      <w:start w:val="1"/>
    </w:lvl>
  </w:abstractNum>
  <w:abstractNum w:abstractNumId="168">
    <w:nsid w:val="38A5D054"/>
    <w:multiLevelType w:val="hybridMultilevel"/>
    <w:lvl w:ilvl="0">
      <w:lvlJc w:val="left"/>
      <w:lvlText w:val="%1"/>
      <w:numFmt w:val="lowerRoman"/>
      <w:start w:val="1"/>
    </w:lvl>
    <w:lvl w:ilvl="1">
      <w:lvlJc w:val="left"/>
      <w:lvlText w:val="(%2)"/>
      <w:numFmt w:val="lowerLetter"/>
      <w:start w:val="14"/>
    </w:lvl>
  </w:abstractNum>
  <w:abstractNum w:abstractNumId="169">
    <w:nsid w:val="F3F09D8"/>
    <w:multiLevelType w:val="hybridMultilevel"/>
    <w:lvl w:ilvl="0">
      <w:lvlJc w:val="left"/>
      <w:lvlText w:val="(%1)"/>
      <w:numFmt w:val="lowerRoman"/>
      <w:start w:val="1"/>
    </w:lvl>
    <w:lvl w:ilvl="1">
      <w:lvlJc w:val="left"/>
      <w:lvlText w:val="%2"/>
      <w:numFmt w:val="lowerLetter"/>
      <w:start w:val="1"/>
    </w:lvl>
  </w:abstractNum>
  <w:abstractNum w:abstractNumId="170">
    <w:nsid w:val="4B793735"/>
    <w:multiLevelType w:val="hybridMultilevel"/>
    <w:lvl w:ilvl="0">
      <w:lvlJc w:val="left"/>
      <w:lvlText w:val="(%1)"/>
      <w:numFmt w:val="lowerLetter"/>
      <w:start w:val="15"/>
    </w:lvl>
  </w:abstractNum>
  <w:abstractNum w:abstractNumId="171">
    <w:nsid w:val="4A10B4E8"/>
    <w:multiLevelType w:val="hybridMultilevel"/>
    <w:lvl w:ilvl="0">
      <w:lvlJc w:val="left"/>
      <w:lvlText w:val="(%1)"/>
      <w:numFmt w:val="lowerLetter"/>
      <w:start w:val="1"/>
    </w:lvl>
  </w:abstractNum>
  <w:abstractNum w:abstractNumId="172">
    <w:nsid w:val="43D3BCD4"/>
    <w:multiLevelType w:val="hybridMultilevel"/>
    <w:lvl w:ilvl="0">
      <w:lvlJc w:val="left"/>
      <w:lvlText w:val="(%1)"/>
      <w:numFmt w:val="lowerLetter"/>
      <w:start w:val="3"/>
    </w:lvl>
  </w:abstractNum>
  <w:abstractNum w:abstractNumId="173">
    <w:nsid w:val="4C2A7166"/>
    <w:multiLevelType w:val="hybridMultilevel"/>
    <w:lvl w:ilvl="0">
      <w:lvlJc w:val="left"/>
      <w:lvlText w:val="(%1)"/>
      <w:numFmt w:val="lowerLetter"/>
      <w:start w:val="1"/>
    </w:lvl>
  </w:abstractNum>
  <w:abstractNum w:abstractNumId="174">
    <w:nsid w:val="2E534A82"/>
    <w:multiLevelType w:val="hybridMultilevel"/>
    <w:lvl w:ilvl="0">
      <w:lvlJc w:val="left"/>
      <w:lvlText w:val="(%1)"/>
      <w:numFmt w:val="lowerLetter"/>
      <w:start w:val="6"/>
    </w:lvl>
  </w:abstractNum>
  <w:abstractNum w:abstractNumId="175">
    <w:nsid w:val="26F2D364"/>
    <w:multiLevelType w:val="hybridMultilevel"/>
    <w:lvl w:ilvl="0">
      <w:lvlJc w:val="left"/>
      <w:lvlText w:val="(%1)"/>
      <w:numFmt w:val="lowerLetter"/>
      <w:start w:val="4"/>
    </w:lvl>
  </w:abstractNum>
  <w:abstractNum w:abstractNumId="176">
    <w:nsid w:val="71C1AF98"/>
    <w:multiLevelType w:val="hybridMultilevel"/>
    <w:lvl w:ilvl="0">
      <w:lvlJc w:val="left"/>
      <w:lvlText w:val="(%1)"/>
      <w:numFmt w:val="lowerLetter"/>
      <w:start w:val="2"/>
    </w:lvl>
  </w:abstractNum>
  <w:abstractNum w:abstractNumId="177">
    <w:nsid w:val="3D00B9D9"/>
    <w:multiLevelType w:val="hybridMultilevel"/>
    <w:lvl w:ilvl="0">
      <w:lvlJc w:val="left"/>
      <w:lvlText w:val="(%1)"/>
      <w:numFmt w:val="lowerLetter"/>
      <w:start w:val="2"/>
    </w:lvl>
  </w:abstractNum>
  <w:abstractNum w:abstractNumId="178">
    <w:nsid w:val="15BCABA8"/>
    <w:multiLevelType w:val="hybridMultilevel"/>
    <w:lvl w:ilvl="0">
      <w:lvlJc w:val="left"/>
      <w:lvlText w:val="(%1)"/>
      <w:numFmt w:val="lowerLetter"/>
      <w:start w:val="1"/>
    </w:lvl>
  </w:abstractNum>
  <w:abstractNum w:abstractNumId="179">
    <w:nsid w:val="4E0B9A87"/>
    <w:multiLevelType w:val="hybridMultilevel"/>
    <w:lvl w:ilvl="0">
      <w:lvlJc w:val="left"/>
      <w:lvlText w:val="(%1)"/>
      <w:numFmt w:val="lowerLetter"/>
      <w:start w:val="6"/>
    </w:lvl>
  </w:abstractNum>
  <w:abstractNum w:abstractNumId="180">
    <w:nsid w:val="434BAE75"/>
    <w:multiLevelType w:val="hybridMultilevel"/>
    <w:lvl w:ilvl="0">
      <w:lvlJc w:val="left"/>
      <w:lvlText w:val="(%1)"/>
      <w:numFmt w:val="lowerLetter"/>
      <w:start w:val="12"/>
    </w:lvl>
  </w:abstractNum>
  <w:abstractNum w:abstractNumId="181">
    <w:nsid w:val="4F38F265"/>
    <w:multiLevelType w:val="hybridMultilevel"/>
    <w:lvl w:ilvl="0">
      <w:lvlJc w:val="left"/>
      <w:lvlText w:val="(%1)"/>
      <w:numFmt w:val="lowerLetter"/>
      <w:start w:val="1"/>
    </w:lvl>
  </w:abstractNum>
  <w:abstractNum w:abstractNumId="182">
    <w:nsid w:val="4C502870"/>
    <w:multiLevelType w:val="hybridMultilevel"/>
    <w:lvl w:ilvl="0">
      <w:lvlJc w:val="left"/>
      <w:lvlText w:val="(%1)"/>
      <w:numFmt w:val="lowerRoman"/>
      <w:start w:val="1"/>
    </w:lvl>
    <w:lvl w:ilvl="1">
      <w:lvlJc w:val="left"/>
      <w:lvlText w:val="(%2)"/>
      <w:numFmt w:val="lowerLetter"/>
      <w:start w:val="4"/>
    </w:lvl>
  </w:abstractNum>
  <w:abstractNum w:abstractNumId="183">
    <w:nsid w:val="1DE8725A"/>
    <w:multiLevelType w:val="hybridMultilevel"/>
    <w:lvl w:ilvl="0">
      <w:lvlJc w:val="left"/>
      <w:lvlText w:val="%1"/>
      <w:numFmt w:val="lowerRoman"/>
      <w:start w:val="1"/>
    </w:lvl>
    <w:lvl w:ilvl="1">
      <w:lvlJc w:val="left"/>
      <w:lvlText w:val="(%2)"/>
      <w:numFmt w:val="lowerLetter"/>
      <w:start w:val="6"/>
    </w:lvl>
  </w:abstractNum>
  <w:abstractNum w:abstractNumId="184">
    <w:nsid w:val="6A37288A"/>
    <w:multiLevelType w:val="hybridMultilevel"/>
    <w:lvl w:ilvl="0">
      <w:lvlJc w:val="left"/>
      <w:lvlText w:val="(%1)"/>
      <w:numFmt w:val="lowerRoman"/>
      <w:start w:val="1"/>
    </w:lvl>
    <w:lvl w:ilvl="1">
      <w:lvlJc w:val="left"/>
      <w:lvlText w:val="%2"/>
      <w:numFmt w:val="lowerLetter"/>
      <w:start w:val="1"/>
    </w:lvl>
  </w:abstractNum>
  <w:abstractNum w:abstractNumId="185">
    <w:nsid w:val="8F8B73F"/>
    <w:multiLevelType w:val="hybridMultilevel"/>
    <w:lvl w:ilvl="0">
      <w:lvlJc w:val="left"/>
      <w:lvlText w:val="(%1)"/>
      <w:numFmt w:val="lowerLetter"/>
      <w:start w:val="7"/>
    </w:lvl>
  </w:abstractNum>
  <w:abstractNum w:abstractNumId="186">
    <w:nsid w:val="CA6B462"/>
    <w:multiLevelType w:val="hybridMultilevel"/>
    <w:lvl w:ilvl="0">
      <w:lvlJc w:val="left"/>
      <w:lvlText w:val="(%1)"/>
      <w:numFmt w:val="lowerLetter"/>
      <w:start w:val="1"/>
    </w:lvl>
  </w:abstractNum>
  <w:abstractNum w:abstractNumId="187">
    <w:nsid w:val="763CB680"/>
    <w:multiLevelType w:val="hybridMultilevel"/>
    <w:lvl w:ilvl="0">
      <w:lvlJc w:val="left"/>
      <w:lvlText w:val="(%1)"/>
      <w:numFmt w:val="lowerLetter"/>
      <w:start w:val="2"/>
    </w:lvl>
  </w:abstractNum>
  <w:abstractNum w:abstractNumId="188">
    <w:nsid w:val="15B71329"/>
    <w:multiLevelType w:val="hybridMultilevel"/>
    <w:lvl w:ilvl="0">
      <w:lvlJc w:val="left"/>
      <w:lvlText w:val="(%1)"/>
      <w:numFmt w:val="lowerLetter"/>
      <w:start w:val="1"/>
    </w:lvl>
  </w:abstractNum>
  <w:abstractNum w:abstractNumId="189">
    <w:nsid w:val="3DA97044"/>
    <w:multiLevelType w:val="hybridMultilevel"/>
    <w:lvl w:ilvl="0">
      <w:lvlJc w:val="left"/>
      <w:lvlText w:val="(%1)"/>
      <w:numFmt w:val="lowerLetter"/>
      <w:start w:val="2"/>
    </w:lvl>
  </w:abstractNum>
  <w:abstractNum w:abstractNumId="190">
    <w:nsid w:val="1CDCE2DE"/>
    <w:multiLevelType w:val="hybridMultilevel"/>
    <w:lvl w:ilvl="0">
      <w:lvlJc w:val="left"/>
      <w:lvlText w:val="(%1)"/>
      <w:numFmt w:val="lowerLetter"/>
      <w:start w:val="1"/>
    </w:lvl>
  </w:abstractNum>
  <w:abstractNum w:abstractNumId="191">
    <w:nsid w:val="69D3947C"/>
    <w:multiLevelType w:val="hybridMultilevel"/>
    <w:lvl w:ilvl="0">
      <w:lvlJc w:val="left"/>
      <w:lvlText w:val="%1"/>
      <w:numFmt w:val="lowerRoman"/>
      <w:start w:val="1"/>
    </w:lvl>
    <w:lvl w:ilvl="1">
      <w:lvlJc w:val="left"/>
      <w:lvlText w:val="(%2)"/>
      <w:numFmt w:val="lowerLetter"/>
      <w:start w:val="2"/>
    </w:lvl>
  </w:abstractNum>
  <w:abstractNum w:abstractNumId="192">
    <w:nsid w:val="2539DFA5"/>
    <w:multiLevelType w:val="hybridMultilevel"/>
    <w:lvl w:ilvl="0">
      <w:lvlJc w:val="left"/>
      <w:lvlText w:val="(%1)"/>
      <w:numFmt w:val="lowerRoman"/>
      <w:start w:val="1"/>
    </w:lvl>
    <w:lvl w:ilvl="1">
      <w:lvlJc w:val="left"/>
      <w:lvlText w:val="%2"/>
      <w:numFmt w:val="lowerLetter"/>
      <w:start w:val="1"/>
    </w:lvl>
  </w:abstractNum>
  <w:abstractNum w:abstractNumId="193">
    <w:nsid w:val="2DB88089"/>
    <w:multiLevelType w:val="hybridMultilevel"/>
    <w:lvl w:ilvl="0">
      <w:lvlJc w:val="left"/>
      <w:lvlText w:val="(%1)"/>
      <w:numFmt w:val="lowerRoman"/>
      <w:start w:val="3"/>
    </w:lvl>
  </w:abstractNum>
  <w:abstractNum w:abstractNumId="194">
    <w:nsid w:val="706B674E"/>
    <w:multiLevelType w:val="hybridMultilevel"/>
    <w:lvl w:ilvl="0">
      <w:lvlJc w:val="left"/>
      <w:lvlText w:val="(%1)"/>
      <w:numFmt w:val="lowerLetter"/>
      <w:start w:val="1"/>
    </w:lvl>
  </w:abstractNum>
  <w:abstractNum w:abstractNumId="195">
    <w:nsid w:val="2C106A57"/>
    <w:multiLevelType w:val="hybridMultilevel"/>
    <w:lvl w:ilvl="0">
      <w:lvlJc w:val="left"/>
      <w:lvlText w:val="(%1)"/>
      <w:numFmt w:val="lowerRoman"/>
      <w:start w:val="1"/>
    </w:lvl>
  </w:abstractNum>
  <w:abstractNum w:abstractNumId="196">
    <w:nsid w:val="684EED59"/>
    <w:multiLevelType w:val="hybridMultilevel"/>
    <w:lvl w:ilvl="0">
      <w:lvlJc w:val="left"/>
      <w:lvlText w:val="(%1)"/>
      <w:numFmt w:val="lowerRoman"/>
      <w:start w:val="5"/>
    </w:lvl>
  </w:abstractNum>
  <w:abstractNum w:abstractNumId="197">
    <w:nsid w:val="545EE5D3"/>
    <w:multiLevelType w:val="hybridMultilevel"/>
    <w:lvl w:ilvl="0">
      <w:lvlJc w:val="left"/>
      <w:lvlText w:val="(%1)"/>
      <w:numFmt w:val="lowerLetter"/>
      <w:start w:val="2"/>
    </w:lvl>
  </w:abstractNum>
  <w:abstractNum w:abstractNumId="198">
    <w:nsid w:val="4A66051"/>
    <w:multiLevelType w:val="hybridMultilevel"/>
    <w:lvl w:ilvl="0">
      <w:lvlJc w:val="left"/>
      <w:lvlText w:val="(%1)"/>
      <w:numFmt w:val="lowerLetter"/>
      <w:start w:val="2"/>
    </w:lvl>
  </w:abstractNum>
  <w:abstractNum w:abstractNumId="199">
    <w:nsid w:val="20F4BDAD"/>
    <w:multiLevelType w:val="hybridMultilevel"/>
    <w:lvl w:ilvl="0">
      <w:lvlJc w:val="left"/>
      <w:lvlText w:val="(%1)"/>
      <w:numFmt w:val="upperLetter"/>
      <w:start w:val="1"/>
    </w:lvl>
    <w:lvl w:ilvl="1">
      <w:lvlJc w:val="left"/>
      <w:lvlText w:val="(%2)"/>
      <w:numFmt w:val="lowerLetter"/>
      <w:start w:val="3"/>
    </w:lvl>
  </w:abstractNum>
  <w:abstractNum w:abstractNumId="200">
    <w:nsid w:val="639DEFAC"/>
    <w:multiLevelType w:val="hybridMultilevel"/>
    <w:lvl w:ilvl="0">
      <w:lvlJc w:val="left"/>
      <w:lvlText w:val="(%1)"/>
      <w:numFmt w:val="lowerLetter"/>
      <w:start w:val="2"/>
    </w:lvl>
  </w:abstractNum>
  <w:abstractNum w:abstractNumId="201">
    <w:nsid w:val="501F9786"/>
    <w:multiLevelType w:val="hybridMultilevel"/>
    <w:lvl w:ilvl="0">
      <w:lvlJc w:val="left"/>
      <w:lvlText w:val="(%1)"/>
      <w:numFmt w:val="lowerLetter"/>
      <w:start w:val="4"/>
    </w:lvl>
  </w:abstractNum>
  <w:abstractNum w:abstractNumId="202">
    <w:nsid w:val="6B05729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upperLetter"/>
      <w:start w:val="1"/>
    </w:lvl>
  </w:abstractNum>
  <w:abstractNum w:abstractNumId="203">
    <w:nsid w:val="2771AC80"/>
    <w:multiLevelType w:val="hybridMultilevel"/>
    <w:lvl w:ilvl="0">
      <w:lvlJc w:val="left"/>
      <w:lvlText w:val="(%1)"/>
      <w:numFmt w:val="decimal"/>
      <w:start w:val="10"/>
    </w:lvl>
    <w:lvl w:ilvl="1">
      <w:lvlJc w:val="left"/>
      <w:lvlText w:val="(%2)"/>
      <w:numFmt w:val="lowerLetter"/>
      <w:start w:val="34"/>
    </w:lvl>
    <w:lvl w:ilvl="2">
      <w:lvlJc w:val="left"/>
      <w:lvlText w:val="%3"/>
      <w:numFmt w:val="lowerLetter"/>
      <w:start w:val="1"/>
    </w:lvl>
    <w:lvl w:ilvl="3">
      <w:lvlJc w:val="left"/>
      <w:lvlText w:val="(%4)"/>
      <w:numFmt w:val="upperLetter"/>
      <w:start w:val="2"/>
    </w:lvl>
  </w:abstractNum>
  <w:abstractNum w:abstractNumId="204">
    <w:nsid w:val="1C4A08E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205">
    <w:nsid w:val="1958BD17"/>
    <w:multiLevelType w:val="hybridMultilevel"/>
    <w:lvl w:ilvl="0">
      <w:lvlJc w:val="left"/>
      <w:lvlText w:val="(%1)"/>
      <w:numFmt w:val="lowerRoman"/>
      <w:start w:val="3"/>
    </w:lvl>
  </w:abstractNum>
  <w:abstractNum w:abstractNumId="206">
    <w:nsid w:val="4E647FE4"/>
    <w:multiLevelType w:val="hybridMultilevel"/>
    <w:lvl w:ilvl="0">
      <w:lvlJc w:val="left"/>
      <w:lvlText w:val="%1"/>
      <w:numFmt w:val="lowerLetter"/>
      <w:start w:val="1"/>
    </w:lvl>
    <w:lvl w:ilvl="1">
      <w:lvlJc w:val="left"/>
      <w:lvlText w:val="(%2)"/>
      <w:numFmt w:val="lowerLetter"/>
      <w:start w:val="22"/>
    </w:lvl>
    <w:lvl w:ilvl="2">
      <w:lvlJc w:val="left"/>
      <w:lvlText w:val="(%3)"/>
      <w:numFmt w:val="lowerLetter"/>
      <w:start w:val="3"/>
    </w:lvl>
  </w:abstractNum>
  <w:abstractNum w:abstractNumId="207">
    <w:nsid w:val="E0BB885"/>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1"/>
    </w:lvl>
  </w:abstractNum>
  <w:abstractNum w:abstractNumId="208">
    <w:nsid w:val="565976F1"/>
    <w:multiLevelType w:val="hybridMultilevel"/>
    <w:lvl w:ilvl="0">
      <w:lvlJc w:val="left"/>
      <w:lvlText w:val="(%1)"/>
      <w:numFmt w:val="lowerRoman"/>
      <w:start w:val="2"/>
    </w:lvl>
    <w:lvl w:ilvl="1">
      <w:lvlJc w:val="left"/>
      <w:lvlText w:val="(%2)"/>
      <w:numFmt w:val="lowerLetter"/>
      <w:start w:val="4"/>
    </w:lvl>
  </w:abstractNum>
  <w:abstractNum w:abstractNumId="209">
    <w:nsid w:val="64212B8C"/>
    <w:multiLevelType w:val="hybridMultilevel"/>
    <w:lvl w:ilvl="0">
      <w:lvlJc w:val="left"/>
      <w:lvlText w:val="(%1)"/>
      <w:numFmt w:val="lowerRoman"/>
      <w:start w:val="2"/>
    </w:lvl>
  </w:abstractNum>
  <w:abstractNum w:abstractNumId="210">
    <w:nsid w:val="5C17530C"/>
    <w:multiLevelType w:val="hybridMultilevel"/>
    <w:lvl w:ilvl="0">
      <w:lvlJc w:val="left"/>
      <w:lvlText w:val="%1"/>
      <w:numFmt w:val="lowerLetter"/>
      <w:start w:val="1"/>
    </w:lvl>
    <w:lvl w:ilvl="1">
      <w:lvlJc w:val="left"/>
      <w:lvlText w:val="(%2)"/>
      <w:numFmt w:val="lowerLetter"/>
      <w:start w:val="61"/>
    </w:lvl>
  </w:abstractNum>
  <w:abstractNum w:abstractNumId="211">
    <w:nsid w:val="19A52566"/>
    <w:multiLevelType w:val="hybridMultilevel"/>
    <w:lvl w:ilvl="0">
      <w:lvlJc w:val="left"/>
      <w:lvlText w:val="(%1)"/>
      <w:numFmt w:val="lowerLetter"/>
      <w:start w:val="26"/>
    </w:lvl>
    <w:lvl w:ilvl="1">
      <w:lvlJc w:val="left"/>
      <w:lvlText w:val="%2"/>
      <w:numFmt w:val="lowerLetter"/>
      <w:start w:val="1"/>
    </w:lvl>
  </w:abstractNum>
  <w:abstractNum w:abstractNumId="212">
    <w:nsid w:val="335A1DF1"/>
    <w:multiLevelType w:val="hybridMultilevel"/>
    <w:lvl w:ilvl="0">
      <w:lvlJc w:val="left"/>
      <w:lvlText w:val="(%1)"/>
      <w:numFmt w:val="lowerRoman"/>
      <w:start w:val="4"/>
    </w:lvl>
  </w:abstractNum>
  <w:abstractNum w:abstractNumId="213">
    <w:nsid w:val="28677B7C"/>
    <w:multiLevelType w:val="hybridMultilevel"/>
    <w:lvl w:ilvl="0">
      <w:lvlJc w:val="left"/>
      <w:lvlText w:val="(%1)"/>
      <w:numFmt w:val="lowerLetter"/>
      <w:start w:val="2"/>
    </w:lvl>
  </w:abstractNum>
  <w:abstractNum w:abstractNumId="214">
    <w:nsid w:val="378D97C0"/>
    <w:multiLevelType w:val="hybridMultilevel"/>
    <w:lvl w:ilvl="0">
      <w:lvlJc w:val="left"/>
      <w:lvlText w:val="(%1)"/>
      <w:numFmt w:val="upperLetter"/>
      <w:start w:val="7"/>
    </w:lvl>
  </w:abstractNum>
  <w:abstractNum w:abstractNumId="215">
    <w:nsid w:val="1D91467C"/>
    <w:multiLevelType w:val="hybridMultilevel"/>
    <w:lvl w:ilvl="0">
      <w:lvlJc w:val="left"/>
      <w:lvlText w:val="(%1)"/>
      <w:numFmt w:val="lowerLetter"/>
      <w:start w:val="2"/>
    </w:lvl>
  </w:abstractNum>
  <w:abstractNum w:abstractNumId="216">
    <w:nsid w:val="316032BB"/>
    <w:multiLevelType w:val="hybridMultilevel"/>
    <w:lvl w:ilvl="0">
      <w:lvlJc w:val="left"/>
      <w:lvlText w:val="%1"/>
      <w:numFmt w:val="lowerLetter"/>
      <w:start w:val="1"/>
    </w:lvl>
    <w:lvl w:ilvl="1">
      <w:lvlJc w:val="left"/>
      <w:lvlText w:val="(%2)"/>
      <w:numFmt w:val="lowerLetter"/>
      <w:start w:val="1"/>
    </w:lvl>
  </w:abstractNum>
  <w:abstractNum w:abstractNumId="217">
    <w:nsid w:val="44344C22"/>
    <w:multiLevelType w:val="hybridMultilevel"/>
    <w:lvl w:ilvl="0">
      <w:lvlJc w:val="left"/>
      <w:lvlText w:val="(%1)"/>
      <w:numFmt w:val="lowerLetter"/>
      <w:start w:val="35"/>
    </w:lvl>
    <w:lvl w:ilvl="1">
      <w:lvlJc w:val="left"/>
      <w:lvlText w:val="%2"/>
      <w:numFmt w:val="lowerLetter"/>
      <w:start w:val="1"/>
    </w:lvl>
  </w:abstractNum>
  <w:abstractNum w:abstractNumId="218">
    <w:nsid w:val="13CDFCFC"/>
    <w:multiLevelType w:val="hybridMultilevel"/>
    <w:lvl w:ilvl="0">
      <w:lvlJc w:val="left"/>
      <w:lvlText w:val="(%1)"/>
      <w:numFmt w:val="lowerLetter"/>
      <w:start w:val="1"/>
    </w:lvl>
  </w:abstractNum>
  <w:abstractNum w:abstractNumId="219">
    <w:nsid w:val="471745E4"/>
    <w:multiLevelType w:val="hybridMultilevel"/>
    <w:lvl w:ilvl="0">
      <w:lvlJc w:val="left"/>
      <w:lvlText w:val="(%1)"/>
      <w:numFmt w:val="lowerLetter"/>
      <w:start w:val="2"/>
    </w:lvl>
  </w:abstractNum>
  <w:abstractNum w:abstractNumId="220">
    <w:nsid w:val="1DDBC66"/>
    <w:multiLevelType w:val="hybridMultilevel"/>
    <w:lvl w:ilvl="0">
      <w:lvlJc w:val="left"/>
      <w:lvlText w:val="(%1)"/>
      <w:numFmt w:val="lowerLetter"/>
      <w:start w:val="4"/>
    </w:lvl>
  </w:abstractNum>
  <w:abstractNum w:abstractNumId="221">
    <w:nsid w:val="30AADFDA"/>
    <w:multiLevelType w:val="hybridMultilevel"/>
    <w:lvl w:ilvl="0">
      <w:lvlJc w:val="left"/>
      <w:lvlText w:val="(%1)"/>
      <w:numFmt w:val="lowerLetter"/>
      <w:start w:val="1"/>
    </w:lvl>
    <w:lvl w:ilvl="1">
      <w:lvlJc w:val="left"/>
      <w:lvlText w:val="(%2)"/>
      <w:numFmt w:val="upperLetter"/>
      <w:start w:val="1"/>
    </w:lvl>
  </w:abstractNum>
  <w:abstractNum w:abstractNumId="222">
    <w:nsid w:val="30EADA61"/>
    <w:multiLevelType w:val="hybridMultilevel"/>
    <w:lvl w:ilvl="0">
      <w:lvlJc w:val="left"/>
      <w:lvlText w:val="(%1)"/>
      <w:numFmt w:val="lowerLetter"/>
      <w:start w:val="2"/>
    </w:lvl>
  </w:abstractNum>
  <w:abstractNum w:abstractNumId="223">
    <w:nsid w:val="27179C0B"/>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224">
    <w:nsid w:val="5E636063"/>
    <w:multiLevelType w:val="hybridMultilevel"/>
    <w:lvl w:ilvl="0">
      <w:lvlJc w:val="left"/>
      <w:lvlText w:val="(%1)"/>
      <w:numFmt w:val="lowerLetter"/>
      <w:start w:val="25"/>
    </w:lvl>
    <w:lvl w:ilvl="1">
      <w:lvlJc w:val="left"/>
      <w:lvlText w:val="(%2)"/>
      <w:numFmt w:val="lowerRoman"/>
      <w:start w:val="1"/>
    </w:lvl>
    <w:lvl w:ilvl="2">
      <w:lvlJc w:val="left"/>
      <w:lvlText w:val="%3"/>
      <w:numFmt w:val="lowerLetter"/>
      <w:start w:val="1"/>
    </w:lvl>
  </w:abstractNum>
  <w:abstractNum w:abstractNumId="225">
    <w:nsid w:val="215641AF"/>
    <w:multiLevelType w:val="hybridMultilevel"/>
    <w:lvl w:ilvl="0">
      <w:lvlJc w:val="left"/>
      <w:lvlText w:val="(%1)"/>
      <w:numFmt w:val="lowerRoman"/>
      <w:start w:val="4"/>
    </w:lvl>
    <w:lvl w:ilvl="1">
      <w:lvlJc w:val="left"/>
      <w:lvlText w:val="(%2)"/>
      <w:numFmt w:val="lowerLetter"/>
      <w:start w:val="2"/>
    </w:lvl>
  </w:abstractNum>
  <w:abstractNum w:abstractNumId="226">
    <w:nsid w:val="53280662"/>
    <w:multiLevelType w:val="hybridMultilevel"/>
    <w:lvl w:ilvl="0">
      <w:lvlJc w:val="left"/>
      <w:lvlText w:val="%1."/>
      <w:numFmt w:val="decimal"/>
      <w:start w:val="1"/>
    </w:lvl>
    <w:lvl w:ilvl="1">
      <w:lvlJc w:val="left"/>
      <w:lvlText w:val="%2)"/>
      <w:numFmt w:val="lowerLetter"/>
      <w:start w:val="1"/>
    </w:lvl>
  </w:abstractNum>
  <w:abstractNum w:abstractNumId="227">
    <w:nsid w:val="46B24DB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28">
    <w:nsid w:val="75B52783"/>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229">
    <w:nsid w:val="57CE66B4"/>
    <w:multiLevelType w:val="hybridMultilevel"/>
    <w:lvl w:ilvl="0">
      <w:lvlJc w:val="left"/>
      <w:lvlText w:val="•"/>
      <w:numFmt w:val="bullet"/>
      <w:start w:val="1"/>
    </w:lvl>
  </w:abstractNum>
  <w:abstractNum w:abstractNumId="230">
    <w:nsid w:val="67A70B6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55" Type="http://schemas.openxmlformats.org/officeDocument/2006/relationships/hyperlink" Target="https://www.sec.gov/Archives/edgar/data/0001782170/000178217021000011/exhibit33-remitlyglobalxpu.htm" TargetMode="External"/><Relationship Id="rId56" Type="http://schemas.openxmlformats.org/officeDocument/2006/relationships/hyperlink" Target="https://www.sec.gov/Archives/edgar/data/0001782170/000178217021000011/exhibit34-remitlyglobalxpu.htm" TargetMode="External"/><Relationship Id="rId57" Type="http://schemas.openxmlformats.org/officeDocument/2006/relationships/hyperlink" Target="https://www.sec.gov/Archives/edgar/data/1782170/000162828021018524/exhibit106s-1a1.htm" TargetMode="External"/><Relationship Id="rId58" Type="http://schemas.openxmlformats.org/officeDocument/2006/relationships/hyperlink" Target="https://www.sec.gov/Archives/edgar/data/1782170/000178217023000075/a102yoakumrestatedofferlet.htm" TargetMode="External"/><Relationship Id="rId59" Type="http://schemas.openxmlformats.org/officeDocument/2006/relationships/hyperlink" Target="https://www.sec.gov/Archives/edgar/data/1782170/000178217023000075/a103sinharestatedofferlet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2023-08-03T15:51:38Z</dcterms:created>
  <dcterms:modified xsi:type="dcterms:W3CDTF">2023-08-03T15:51:38Z</dcterms:modified>
</cp:coreProperties>
</file>