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ind w:left="0" w:right="0" w:firstLine="4905"/>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5"/>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16, 2026</w:t>
      </w:r>
    </w:p>
    <w:p>
      <w:pPr>
        <w:pStyle w:val="TextBody"/>
        <w:bidi w:val="0"/>
        <w:spacing w:lineRule="auto" w:line="288" w:before="120" w:after="283"/>
        <w:ind w:left="0" w:right="0" w:firstLine="4905"/>
        <w:jc w:val="center"/>
        <w:rPr>
          <w:color w:val="000000"/>
        </w:rPr>
      </w:pPr>
      <w:r>
        <w:rPr>
          <w:color w:val="000000"/>
        </w:rPr>
        <w:t> </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67" w:type="dxa"/>
        <w:jc w:val="left"/>
        <w:tblInd w:w="0" w:type="dxa"/>
        <w:tblLayout w:type="fixed"/>
        <w:tblCellMar>
          <w:top w:w="28" w:type="dxa"/>
          <w:left w:w="28" w:type="dxa"/>
          <w:bottom w:w="28" w:type="dxa"/>
          <w:right w:w="28" w:type="dxa"/>
        </w:tblCellMar>
      </w:tblPr>
      <w:tblGrid>
        <w:gridCol w:w="699"/>
        <w:gridCol w:w="613"/>
        <w:gridCol w:w="622"/>
        <w:gridCol w:w="662"/>
        <w:gridCol w:w="662"/>
        <w:gridCol w:w="670"/>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001-40822</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83-2301143</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401 Union Street, Suite 1000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80" w:after="283"/>
        <w:jc w:val="center"/>
        <w:rPr/>
      </w:pPr>
      <w:r>
        <w:rPr>
          <w:rFonts w:ascii="Times New Roman;serif" w:hAnsi="Times New Roman;serif"/>
          <w:b/>
          <w:color w:val="000000"/>
          <w:sz w:val="20"/>
        </w:rPr>
        <w:t>(888)</w:t>
      </w:r>
      <w:r>
        <w:rPr>
          <w:color w:val="000000"/>
        </w:rPr>
        <w:t xml:space="preserve"> </w:t>
      </w:r>
      <w:r>
        <w:rPr>
          <w:rFonts w:ascii="Times New Roman;serif" w:hAnsi="Times New Roman;serif"/>
          <w:b/>
          <w:color w:val="000000"/>
          <w:sz w:val="20"/>
        </w:rPr>
        <w:t>736-4859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036"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519"/>
        <w:gridCol w:w="519"/>
        <w:gridCol w:w="521"/>
        <w:gridCol w:w="109"/>
        <w:gridCol w:w="109"/>
        <w:gridCol w:w="109"/>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17, 2026, Luke Tavis, the Chief Accounting Officer of Remitly Global, Inc. (the “Company”), provided notice of his retirement from the Chief Accounting Officer role effective as of March 31, 2026. Mr. Tavis will continue to serve as Vice President, Accounting, until June 2026 to support an orderly transition. Mr. Tavis’ retirement as Chief Accounting Officer did not result from any disagreement regarding the Company’s financial reporting or accounting policies, procedures, estimates, or judgments.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16, 2026, the Board of Directors (the “Board”) of the Company approved the appointment of Tai-Hong Fung as Chief Accounting Officer of the Company, subject to Mr. Tavis’ retirement and effective as of April 1, 2026. Mr. Fung will report to the Company’s Chief Financial Officer in this position.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Mr. Fung, age 52, has served as Vice President, Controller, of the Company since February 2026. Previously, Mr. Fung held various positions at Starbucks Corporation, including Vice President, Controller, from April 2023 to January 2026, Director, Assistant Controller, from May 2019 to April 2023, and Director of Global Consolidations and Financial Reporting from April 2014 to April 2019. Before Starbucks, Mr. Fung also held various positions at Microsoft Corporation from 2006 to 2014.</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Mr. Fung’s compensation is not expected to change in connection with this appointment as the Company’s Chief Accounting Officer. There are no understandings or arrangements with Mr. Fung in connection with his appointment as Chief Accounting Officer, and Mr. Fung is not related to any executive officer or director of the Company. Mr. Fung does not have any direct or indirect material interest in any existing or currently proposed transaction that would require disclosure under Item 404(a)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20" w:type="dxa"/>
        <w:jc w:val="left"/>
        <w:tblInd w:w="0" w:type="dxa"/>
        <w:tblLayout w:type="fixed"/>
        <w:tblCellMar>
          <w:top w:w="28" w:type="dxa"/>
          <w:left w:w="28" w:type="dxa"/>
          <w:bottom w:w="28" w:type="dxa"/>
          <w:right w:w="28" w:type="dxa"/>
        </w:tblCellMar>
      </w:tblPr>
      <w:tblGrid>
        <w:gridCol w:w="683"/>
        <w:gridCol w:w="601"/>
        <w:gridCol w:w="605"/>
        <w:gridCol w:w="279"/>
        <w:gridCol w:w="279"/>
        <w:gridCol w:w="279"/>
        <w:gridCol w:w="1016"/>
        <w:gridCol w:w="1016"/>
        <w:gridCol w:w="146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Remitly Global,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Saema Somalya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Saema Somalya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and Corporate Affairs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3662</Characters>
  <CharactersWithSpaces>4300</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