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w:t>
        </w:r>
      </w:hyperlink>
      <w:hyperlink w:anchor="ia61f5f549cc04155b1c59bb766cccfa1_7">
        <w:r>
          <w:rPr>
            <w:rStyle w:val="InternetLink"/>
            <w:rFonts w:ascii="Times New Roman;sans-serif" w:hAnsi="Times New Roman;sans-serif"/>
            <w:b w:val="false"/>
            <w:color w:val="000080"/>
            <w:sz w:val="18"/>
            <w:u w:val="single"/>
          </w:rPr>
          <w:t>of</w:t>
        </w:r>
      </w:hyperlink>
      <w:hyperlink w:anchor="ia61f5f549cc04155b1c59bb766cccfa1_7">
        <w:r>
          <w:rPr>
            <w:rStyle w:val="InternetLink"/>
            <w:rFonts w:ascii="Times New Roman;sans-serif" w:hAnsi="Times New Roman;sans-serif"/>
            <w:b w:val="false"/>
            <w:color w:val="000080"/>
            <w:sz w:val="18"/>
            <w:u w:val="single"/>
          </w:rPr>
          <w:t xml:space="preserve"> </w:t>
        </w:r>
      </w:hyperlink>
      <w:hyperlink w:anchor="ia61f5f549cc04155b1c59bb766cccfa1_7">
        <w:r>
          <w:rPr>
            <w:rStyle w:val="InternetLink"/>
            <w:rFonts w:ascii="Times New Roman;sans-serif" w:hAnsi="Times New Roman;sans-serif"/>
            <w:b w:val="false"/>
            <w:color w:val="000080"/>
            <w:sz w:val="18"/>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UNITED STATES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AND EXCHANGE COMMISSION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180"/>
        <w:jc w:val="left"/>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For the quarterly period ended March 31,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bidi w:val="0"/>
        <w:spacing w:lineRule="auto" w:line="288" w:before="0" w:after="180"/>
        <w:jc w:val="left"/>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001-40822</w:t>
      </w:r>
    </w:p>
    <w:p>
      <w:pPr>
        <w:pStyle w:val="TextBody"/>
        <w:bidi w:val="0"/>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Remitly Global, Inc.</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83-2301143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(Primary Standard Industrial</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871" w:type="dxa"/>
        <w:jc w:val="center"/>
        <w:tblInd w:w="0" w:type="dxa"/>
        <w:tblLayout w:type="fixed"/>
        <w:tblCellMar>
          <w:top w:w="28" w:type="dxa"/>
          <w:left w:w="28" w:type="dxa"/>
          <w:bottom w:w="28" w:type="dxa"/>
          <w:right w:w="28" w:type="dxa"/>
        </w:tblCellMar>
      </w:tblPr>
      <w:tblGrid>
        <w:gridCol w:w="596"/>
        <w:gridCol w:w="526"/>
        <w:gridCol w:w="528"/>
        <w:gridCol w:w="299"/>
        <w:gridCol w:w="299"/>
        <w:gridCol w:w="301"/>
        <w:gridCol w:w="219"/>
        <w:gridCol w:w="219"/>
        <w:gridCol w:w="221"/>
        <w:gridCol w:w="140"/>
        <w:gridCol w:w="140"/>
        <w:gridCol w:w="141"/>
        <w:gridCol w:w="109"/>
        <w:gridCol w:w="109"/>
        <w:gridCol w:w="109"/>
        <w:gridCol w:w="268"/>
        <w:gridCol w:w="268"/>
        <w:gridCol w:w="379"/>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1111 Third Avenue,</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2100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98101</w:t>
            </w:r>
          </w:p>
        </w:tc>
      </w:tr>
      <w:tr>
        <w:trPr/>
        <w:tc>
          <w:tcPr>
            <w:tcW w:w="362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60"/>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(888) 736-4859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0" w:after="60"/>
        <w:jc w:val="center"/>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April 29, 2024, the registrant had 192,480,627 shares of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w:t>
        </w:r>
      </w:hyperlink>
      <w:hyperlink w:anchor="ia61f5f549cc04155b1c59bb766cccfa1_7">
        <w:r>
          <w:rPr>
            <w:rStyle w:val="InternetLink"/>
            <w:rFonts w:ascii="Times New Roman;sans-serif" w:hAnsi="Times New Roman;sans-serif"/>
            <w:b w:val="false"/>
            <w:color w:val="000080"/>
            <w:sz w:val="18"/>
            <w:u w:val="single"/>
          </w:rPr>
          <w:t>of</w:t>
        </w:r>
      </w:hyperlink>
      <w:hyperlink w:anchor="ia61f5f549cc04155b1c59bb766cccfa1_7">
        <w:r>
          <w:rPr>
            <w:rStyle w:val="InternetLink"/>
            <w:rFonts w:ascii="Times New Roman;sans-serif" w:hAnsi="Times New Roman;sans-serif"/>
            <w:b w:val="false"/>
            <w:color w:val="000080"/>
            <w:sz w:val="18"/>
            <w:u w:val="single"/>
          </w:rPr>
          <w:t xml:space="preserve"> </w:t>
        </w:r>
      </w:hyperlink>
      <w:hyperlink w:anchor="ia61f5f549cc04155b1c59bb766cccfa1_7">
        <w:r>
          <w:rPr>
            <w:rStyle w:val="InternetLink"/>
            <w:rFonts w:ascii="Times New Roman;sans-serif" w:hAnsi="Times New Roman;sans-serif"/>
            <w:b w:val="false"/>
            <w:color w:val="000080"/>
            <w:sz w:val="18"/>
            <w:u w:val="single"/>
          </w:rPr>
          <w:t>Contents</w:t>
        </w:r>
      </w:hyperlink>
    </w:p>
    <w:tbl>
      <w:tblPr>
        <w:tblW w:w="10205" w:type="dxa"/>
        <w:jc w:val="center"/>
        <w:tblInd w:w="0" w:type="dxa"/>
        <w:tblLayout w:type="fixed"/>
        <w:tblCellMar>
          <w:top w:w="28" w:type="dxa"/>
          <w:left w:w="28" w:type="dxa"/>
          <w:bottom w:w="28" w:type="dxa"/>
          <w:right w:w="28" w:type="dxa"/>
        </w:tblCellMar>
      </w:tblPr>
      <w:tblGrid>
        <w:gridCol w:w="740"/>
        <w:gridCol w:w="651"/>
        <w:gridCol w:w="639"/>
        <w:gridCol w:w="2530"/>
        <w:gridCol w:w="2459"/>
        <w:gridCol w:w="2505"/>
        <w:gridCol w:w="198"/>
        <w:gridCol w:w="198"/>
        <w:gridCol w:w="285"/>
      </w:tblGrid>
      <w:tr>
        <w:trPr/>
        <w:tc>
          <w:tcPr>
            <w:tcW w:w="7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952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TABLE OF CONTENTS</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952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
              <w:r>
                <w:rPr>
                  <w:rStyle w:val="InternetLink"/>
                  <w:rFonts w:ascii="Times New Roman;sans-serif" w:hAnsi="Times New Roman;sans-serif"/>
                  <w:b/>
                  <w:strike w:val="false"/>
                  <w:dstrike w:val="false"/>
                  <w:color w:val="000000"/>
                  <w:sz w:val="18"/>
                  <w:u w:val="none"/>
                  <w:effect w:val="none"/>
                </w:rPr>
                <w:t>Special Note Regarding Forward-Looking Statements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
              <w:r>
                <w:rPr>
                  <w:rStyle w:val="InternetLink"/>
                  <w:rFonts w:ascii="Times New Roman;sans-serif" w:hAnsi="Times New Roman;sans-serif"/>
                  <w:b w:val="false"/>
                  <w:strike w:val="false"/>
                  <w:dstrike w:val="false"/>
                  <w:color w:val="000000"/>
                  <w:sz w:val="18"/>
                  <w:u w:val="none"/>
                  <w:effect w:val="none"/>
                </w:rPr>
                <w:t>ii</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Financial Information</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3">
              <w:r>
                <w:rPr>
                  <w:rStyle w:val="InternetLink"/>
                  <w:rFonts w:ascii="Times New Roman;sans-serif" w:hAnsi="Times New Roman;sans-serif"/>
                  <w:b w:val="false"/>
                  <w:color w:val="3051F2"/>
                  <w:sz w:val="18"/>
                  <w:u w:val="single"/>
                </w:rPr>
                <w:t>Financial Statements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3">
              <w:r>
                <w:rPr>
                  <w:rStyle w:val="InternetLink"/>
                  <w:rFonts w:ascii="Times New Roman;sans-serif" w:hAnsi="Times New Roman;sans-serif"/>
                  <w:b w:val="false"/>
                  <w:strike w:val="false"/>
                  <w:dstrike w:val="false"/>
                  <w:color w:val="000000"/>
                  <w:sz w:val="18"/>
                  <w:u w:val="none"/>
                  <w:effect w:val="none"/>
                </w:rPr>
                <w:t>1</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6">
              <w:r>
                <w:rPr>
                  <w:rStyle w:val="InternetLink"/>
                  <w:rFonts w:ascii="Times New Roman;sans-serif" w:hAnsi="Times New Roman;sans-serif"/>
                  <w:b w:val="false"/>
                  <w:color w:val="3051F2"/>
                  <w:sz w:val="18"/>
                  <w:u w:val="single"/>
                </w:rPr>
                <w:t>Condensed Consolidated Balance Sheets as o</w:t>
              </w:r>
            </w:hyperlink>
            <w:hyperlink w:anchor="ia61f5f549cc04155b1c59bb766cccfa1_16">
              <w:r>
                <w:rPr>
                  <w:rStyle w:val="InternetLink"/>
                  <w:rFonts w:ascii="Times New Roman;sans-serif" w:hAnsi="Times New Roman;sans-serif"/>
                  <w:b w:val="false"/>
                  <w:strike w:val="false"/>
                  <w:dstrike w:val="false"/>
                  <w:color w:val="3051F2"/>
                  <w:sz w:val="18"/>
                  <w:u w:val="none"/>
                  <w:effect w:val="none"/>
                </w:rPr>
                <w:t>f</w:t>
              </w:r>
            </w:hyperlink>
            <w:hyperlink w:anchor="ia61f5f549cc04155b1c59bb766cccfa1_16">
              <w:r>
                <w:rPr>
                  <w:rStyle w:val="InternetLink"/>
                  <w:color w:val="3051F2"/>
                  <w:u w:val="single"/>
                </w:rPr>
                <w:t xml:space="preserve"> </w:t>
              </w:r>
            </w:hyperlink>
            <w:r>
              <w:rPr>
                <w:rFonts w:ascii="Times New Roman;sans-serif" w:hAnsi="Times New Roman;sans-serif"/>
                <w:b w:val="false"/>
                <w:color w:val="3051F2"/>
                <w:sz w:val="18"/>
                <w:u w:val="single"/>
              </w:rPr>
              <w:t>March 31, 2024</w:t>
            </w:r>
            <w:hyperlink w:anchor="ia61f5f549cc04155b1c59bb766cccfa1_16">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December 31, 2023</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6">
              <w:r>
                <w:rPr>
                  <w:rStyle w:val="InternetLink"/>
                  <w:rFonts w:ascii="Times New Roman;sans-serif" w:hAnsi="Times New Roman;sans-serif"/>
                  <w:b w:val="false"/>
                  <w:strike w:val="false"/>
                  <w:dstrike w:val="false"/>
                  <w:color w:val="000000"/>
                  <w:sz w:val="18"/>
                  <w:u w:val="none"/>
                  <w:effect w:val="none"/>
                </w:rPr>
                <w:t>1</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9">
              <w:r>
                <w:rPr>
                  <w:rStyle w:val="InternetLink"/>
                  <w:rFonts w:ascii="Times New Roman;sans-serif" w:hAnsi="Times New Roman;sans-serif"/>
                  <w:b w:val="false"/>
                  <w:color w:val="000080"/>
                  <w:sz w:val="18"/>
                  <w:u w:val="single"/>
                </w:rPr>
                <w:t xml:space="preserve">Condensed Consolidated Statements of Operations for the </w:t>
              </w:r>
            </w:hyperlink>
            <w:r>
              <w:rPr>
                <w:rFonts w:ascii="Times New Roman;sans-serif" w:hAnsi="Times New Roman;sans-serif"/>
                <w:b w:val="false"/>
                <w:color w:val="3051F2"/>
                <w:sz w:val="18"/>
                <w:u w:val="single"/>
              </w:rPr>
              <w:t>three months ended</w:t>
            </w:r>
            <w:hyperlink w:anchor="ia61f5f549cc04155b1c59bb766cccfa1_19">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2024</w:t>
            </w:r>
            <w:hyperlink w:anchor="ia61f5f549cc04155b1c59bb766cccfa1_19">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2023</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9">
              <w:r>
                <w:rPr>
                  <w:rStyle w:val="InternetLink"/>
                  <w:rFonts w:ascii="Times New Roman;sans-serif" w:hAnsi="Times New Roman;sans-serif"/>
                  <w:b w:val="false"/>
                  <w:strike w:val="false"/>
                  <w:dstrike w:val="false"/>
                  <w:color w:val="000000"/>
                  <w:sz w:val="18"/>
                  <w:u w:val="none"/>
                  <w:effect w:val="none"/>
                </w:rPr>
                <w:t>2</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2">
              <w:r>
                <w:rPr>
                  <w:rStyle w:val="InternetLink"/>
                  <w:rFonts w:ascii="Times New Roman;sans-serif" w:hAnsi="Times New Roman;sans-serif"/>
                  <w:b w:val="false"/>
                  <w:color w:val="000080"/>
                  <w:sz w:val="18"/>
                  <w:u w:val="single"/>
                </w:rPr>
                <w:t xml:space="preserve">Condensed Consolidated Statements of Comprehensive Loss for the </w:t>
              </w:r>
            </w:hyperlink>
            <w:r>
              <w:rPr>
                <w:rFonts w:ascii="Times New Roman;sans-serif" w:hAnsi="Times New Roman;sans-serif"/>
                <w:b w:val="false"/>
                <w:color w:val="3051F2"/>
                <w:sz w:val="18"/>
                <w:u w:val="single"/>
              </w:rPr>
              <w:t>three months ended</w:t>
            </w:r>
            <w:hyperlink w:anchor="ia61f5f549cc04155b1c59bb766cccfa1_22">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2024</w:t>
            </w:r>
            <w:hyperlink w:anchor="ia61f5f549cc04155b1c59bb766cccfa1_22">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2023</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2">
              <w:r>
                <w:rPr>
                  <w:rStyle w:val="InternetLink"/>
                  <w:rFonts w:ascii="Times New Roman;sans-serif" w:hAnsi="Times New Roman;sans-serif"/>
                  <w:b w:val="false"/>
                  <w:strike w:val="false"/>
                  <w:dstrike w:val="false"/>
                  <w:color w:val="000000"/>
                  <w:sz w:val="18"/>
                  <w:u w:val="none"/>
                  <w:effect w:val="none"/>
                </w:rPr>
                <w:t>3</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5">
              <w:r>
                <w:rPr>
                  <w:rStyle w:val="InternetLink"/>
                  <w:rFonts w:ascii="Times New Roman;sans-serif" w:hAnsi="Times New Roman;sans-serif"/>
                  <w:b w:val="false"/>
                  <w:color w:val="000080"/>
                  <w:sz w:val="18"/>
                  <w:u w:val="single"/>
                </w:rPr>
                <w:t xml:space="preserve">Condensed Consolidated Statements of </w:t>
              </w:r>
            </w:hyperlink>
            <w:hyperlink w:anchor="ia61f5f549cc04155b1c59bb766cccfa1_25">
              <w:r>
                <w:rPr>
                  <w:rStyle w:val="InternetLink"/>
                  <w:rFonts w:ascii="Times New Roman;sans-serif" w:hAnsi="Times New Roman;sans-serif"/>
                  <w:b w:val="false"/>
                  <w:color w:val="000080"/>
                  <w:sz w:val="18"/>
                  <w:u w:val="single"/>
                </w:rPr>
                <w:t xml:space="preserve">Stockholders’ Equity </w:t>
              </w:r>
            </w:hyperlink>
            <w:hyperlink w:anchor="ia61f5f549cc04155b1c59bb766cccfa1_25">
              <w:r>
                <w:rPr>
                  <w:rStyle w:val="InternetLink"/>
                  <w:rFonts w:ascii="Times New Roman;sans-serif" w:hAnsi="Times New Roman;sans-serif"/>
                  <w:b w:val="false"/>
                  <w:color w:val="000080"/>
                  <w:sz w:val="18"/>
                  <w:u w:val="single"/>
                </w:rPr>
                <w:t xml:space="preserve">for the </w:t>
              </w:r>
            </w:hyperlink>
            <w:r>
              <w:rPr>
                <w:rFonts w:ascii="Times New Roman;sans-serif" w:hAnsi="Times New Roman;sans-serif"/>
                <w:b w:val="false"/>
                <w:color w:val="3051F2"/>
                <w:sz w:val="18"/>
                <w:u w:val="single"/>
              </w:rPr>
              <w:t>three months ended</w:t>
            </w:r>
            <w:hyperlink w:anchor="ia61f5f549cc04155b1c59bb766cccfa1_25">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2024</w:t>
            </w:r>
            <w:hyperlink w:anchor="ia61f5f549cc04155b1c59bb766cccfa1_25">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2023</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5">
              <w:r>
                <w:rPr>
                  <w:rStyle w:val="InternetLink"/>
                  <w:rFonts w:ascii="Times New Roman;sans-serif" w:hAnsi="Times New Roman;sans-serif"/>
                  <w:b w:val="false"/>
                  <w:strike w:val="false"/>
                  <w:dstrike w:val="false"/>
                  <w:color w:val="000000"/>
                  <w:sz w:val="18"/>
                  <w:u w:val="none"/>
                  <w:effect w:val="none"/>
                </w:rPr>
                <w:t>4</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8">
              <w:r>
                <w:rPr>
                  <w:rStyle w:val="InternetLink"/>
                  <w:rFonts w:ascii="Times New Roman;sans-serif" w:hAnsi="Times New Roman;sans-serif"/>
                  <w:b w:val="false"/>
                  <w:color w:val="000080"/>
                  <w:sz w:val="18"/>
                  <w:u w:val="single"/>
                </w:rPr>
                <w:t xml:space="preserve">Condensed Consolidated Statements of Cash Flows for the </w:t>
              </w:r>
            </w:hyperlink>
            <w:r>
              <w:rPr>
                <w:rFonts w:ascii="Times New Roman;sans-serif" w:hAnsi="Times New Roman;sans-serif"/>
                <w:b w:val="false"/>
                <w:color w:val="3051F2"/>
                <w:sz w:val="18"/>
                <w:u w:val="single"/>
              </w:rPr>
              <w:t>three months ended</w:t>
            </w:r>
            <w:hyperlink w:anchor="ia61f5f549cc04155b1c59bb766cccfa1_28">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2024</w:t>
            </w:r>
            <w:hyperlink w:anchor="ia61f5f549cc04155b1c59bb766cccfa1_28">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2023</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8">
              <w:r>
                <w:rPr>
                  <w:rStyle w:val="InternetLink"/>
                  <w:rFonts w:ascii="Times New Roman;sans-serif" w:hAnsi="Times New Roman;sans-serif"/>
                  <w:b w:val="false"/>
                  <w:strike w:val="false"/>
                  <w:dstrike w:val="false"/>
                  <w:color w:val="000000"/>
                  <w:sz w:val="18"/>
                  <w:u w:val="none"/>
                  <w:effect w:val="none"/>
                </w:rPr>
                <w:t>5</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31">
              <w:r>
                <w:rPr>
                  <w:rStyle w:val="InternetLink"/>
                  <w:rFonts w:ascii="Times New Roman;sans-serif" w:hAnsi="Times New Roman;sans-serif"/>
                  <w:b w:val="false"/>
                  <w:color w:val="000080"/>
                  <w:sz w:val="18"/>
                  <w:u w:val="single"/>
                </w:rPr>
                <w:t xml:space="preserve">Notes to </w:t>
              </w:r>
            </w:hyperlink>
            <w:r>
              <w:rPr>
                <w:rFonts w:ascii="Times New Roman;sans-serif" w:hAnsi="Times New Roman;sans-serif"/>
                <w:b w:val="false"/>
                <w:color w:val="3051F2"/>
                <w:sz w:val="18"/>
                <w:u w:val="single"/>
              </w:rPr>
              <w:t>C</w:t>
            </w:r>
            <w:hyperlink w:anchor="ia61f5f549cc04155b1c59bb766cccfa1_31">
              <w:r>
                <w:rPr>
                  <w:rStyle w:val="InternetLink"/>
                  <w:rFonts w:ascii="Times New Roman;sans-serif" w:hAnsi="Times New Roman;sans-serif"/>
                  <w:b w:val="false"/>
                  <w:color w:val="000080"/>
                  <w:sz w:val="18"/>
                  <w:u w:val="single"/>
                </w:rPr>
                <w:t xml:space="preserve">ondensed </w:t>
              </w:r>
            </w:hyperlink>
            <w:r>
              <w:rPr>
                <w:rFonts w:ascii="Times New Roman;sans-serif" w:hAnsi="Times New Roman;sans-serif"/>
                <w:b w:val="false"/>
                <w:color w:val="3051F2"/>
                <w:sz w:val="18"/>
                <w:u w:val="single"/>
              </w:rPr>
              <w:t>C</w:t>
            </w:r>
            <w:hyperlink w:anchor="ia61f5f549cc04155b1c59bb766cccfa1_31">
              <w:r>
                <w:rPr>
                  <w:rStyle w:val="InternetLink"/>
                  <w:rFonts w:ascii="Times New Roman;sans-serif" w:hAnsi="Times New Roman;sans-serif"/>
                  <w:b w:val="false"/>
                  <w:color w:val="000080"/>
                  <w:sz w:val="18"/>
                  <w:u w:val="single"/>
                </w:rPr>
                <w:t xml:space="preserve">onsolidated </w:t>
              </w:r>
            </w:hyperlink>
            <w:r>
              <w:rPr>
                <w:rFonts w:ascii="Times New Roman;sans-serif" w:hAnsi="Times New Roman;sans-serif"/>
                <w:b w:val="false"/>
                <w:color w:val="3051F2"/>
                <w:sz w:val="18"/>
                <w:u w:val="single"/>
              </w:rPr>
              <w:t>F</w:t>
            </w:r>
            <w:hyperlink w:anchor="ia61f5f549cc04155b1c59bb766cccfa1_31">
              <w:r>
                <w:rPr>
                  <w:rStyle w:val="InternetLink"/>
                  <w:rFonts w:ascii="Times New Roman;sans-serif" w:hAnsi="Times New Roman;sans-serif"/>
                  <w:b w:val="false"/>
                  <w:color w:val="000080"/>
                  <w:sz w:val="18"/>
                  <w:u w:val="single"/>
                </w:rPr>
                <w:t xml:space="preserve">inancial </w:t>
              </w:r>
            </w:hyperlink>
            <w:r>
              <w:rPr>
                <w:rFonts w:ascii="Times New Roman;sans-serif" w:hAnsi="Times New Roman;sans-serif"/>
                <w:b w:val="false"/>
                <w:color w:val="3051F2"/>
                <w:sz w:val="18"/>
                <w:u w:val="single"/>
              </w:rPr>
              <w:t>S</w:t>
            </w:r>
            <w:hyperlink w:anchor="ia61f5f549cc04155b1c59bb766cccfa1_31">
              <w:r>
                <w:rPr>
                  <w:rStyle w:val="InternetLink"/>
                  <w:rFonts w:ascii="Times New Roman;sans-serif" w:hAnsi="Times New Roman;sans-serif"/>
                  <w:b w:val="false"/>
                  <w:color w:val="000080"/>
                  <w:sz w:val="18"/>
                  <w:u w:val="single"/>
                </w:rPr>
                <w:t>tatements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31">
              <w:r>
                <w:rPr>
                  <w:rStyle w:val="InternetLink"/>
                  <w:rFonts w:ascii="Times New Roman;sans-serif" w:hAnsi="Times New Roman;sans-serif"/>
                  <w:b w:val="false"/>
                  <w:strike w:val="false"/>
                  <w:dstrike w:val="false"/>
                  <w:color w:val="000000"/>
                  <w:sz w:val="18"/>
                  <w:u w:val="none"/>
                  <w:effect w:val="none"/>
                </w:rPr>
                <w:t>6</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1">
              <w:r>
                <w:rPr>
                  <w:rStyle w:val="InternetLink"/>
                  <w:rFonts w:ascii="Times New Roman;sans-serif" w:hAnsi="Times New Roman;sans-serif"/>
                  <w:b w:val="false"/>
                  <w:color w:val="3051F2"/>
                  <w:sz w:val="18"/>
                  <w:u w:val="single"/>
                </w:rPr>
                <w:t>Management’s Discussion and Analysis of Financial Condition and Results of Operations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1">
              <w:r>
                <w:rPr>
                  <w:rStyle w:val="InternetLink"/>
                  <w:rFonts w:ascii="Times New Roman;sans-serif" w:hAnsi="Times New Roman;sans-serif"/>
                  <w:b w:val="false"/>
                  <w:strike w:val="false"/>
                  <w:dstrike w:val="false"/>
                  <w:color w:val="000000"/>
                  <w:sz w:val="18"/>
                  <w:u w:val="none"/>
                  <w:effect w:val="none"/>
                </w:rPr>
                <w:t>20</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4">
              <w:r>
                <w:rPr>
                  <w:rStyle w:val="InternetLink"/>
                  <w:rFonts w:ascii="Times New Roman;sans-serif" w:hAnsi="Times New Roman;sans-serif"/>
                  <w:b w:val="false"/>
                  <w:color w:val="000080"/>
                  <w:sz w:val="18"/>
                  <w:u w:val="single"/>
                </w:rPr>
                <w:t>Quantitative and Qualitative Disclosure</w:t>
              </w:r>
            </w:hyperlink>
            <w:hyperlink w:anchor="ia61f5f549cc04155b1c59bb766cccfa1_94">
              <w:r>
                <w:rPr>
                  <w:rStyle w:val="InternetLink"/>
                  <w:rFonts w:ascii="Times New Roman;sans-serif" w:hAnsi="Times New Roman;sans-serif"/>
                  <w:b w:val="false"/>
                  <w:color w:val="000080"/>
                  <w:sz w:val="18"/>
                  <w:u w:val="single"/>
                </w:rPr>
                <w:t>s</w:t>
              </w:r>
            </w:hyperlink>
            <w:hyperlink w:anchor="ia61f5f549cc04155b1c59bb766cccfa1_94">
              <w:r>
                <w:rPr>
                  <w:rStyle w:val="InternetLink"/>
                  <w:rFonts w:ascii="Times New Roman;sans-serif" w:hAnsi="Times New Roman;sans-serif"/>
                  <w:b w:val="false"/>
                  <w:color w:val="000080"/>
                  <w:sz w:val="18"/>
                  <w:u w:val="single"/>
                </w:rPr>
                <w:t xml:space="preserve"> About Market Risk</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4">
              <w:r>
                <w:rPr>
                  <w:rStyle w:val="InternetLink"/>
                  <w:rFonts w:ascii="Times New Roman;sans-serif" w:hAnsi="Times New Roman;sans-serif"/>
                  <w:b w:val="false"/>
                  <w:strike w:val="false"/>
                  <w:dstrike w:val="false"/>
                  <w:color w:val="000000"/>
                  <w:sz w:val="18"/>
                  <w:u w:val="none"/>
                  <w:effect w:val="none"/>
                </w:rPr>
                <w:t>29</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7">
              <w:r>
                <w:rPr>
                  <w:rStyle w:val="InternetLink"/>
                  <w:rFonts w:ascii="Times New Roman;sans-serif" w:hAnsi="Times New Roman;sans-serif"/>
                  <w:b w:val="false"/>
                  <w:color w:val="3051F2"/>
                  <w:sz w:val="18"/>
                  <w:u w:val="single"/>
                </w:rPr>
                <w:t>Controls and Procedures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97">
              <w:r>
                <w:rPr>
                  <w:rStyle w:val="InternetLink"/>
                  <w:rFonts w:ascii="Times New Roman;sans-serif" w:hAnsi="Times New Roman;sans-serif"/>
                  <w:b w:val="false"/>
                  <w:strike w:val="false"/>
                  <w:dstrike w:val="false"/>
                  <w:color w:val="000000"/>
                  <w:sz w:val="18"/>
                  <w:u w:val="none"/>
                  <w:effect w:val="none"/>
                </w:rPr>
                <w:t>30</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Information</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0">
              <w:r>
                <w:rPr>
                  <w:rStyle w:val="InternetLink"/>
                  <w:rFonts w:ascii="Times New Roman;sans-serif" w:hAnsi="Times New Roman;sans-serif"/>
                  <w:b w:val="false"/>
                  <w:strike w:val="false"/>
                  <w:dstrike w:val="false"/>
                  <w:color w:val="000000"/>
                  <w:sz w:val="18"/>
                  <w:u w:val="none"/>
                  <w:effect w:val="none"/>
                </w:rPr>
                <w:t>31</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3">
              <w:r>
                <w:rPr>
                  <w:rStyle w:val="InternetLink"/>
                  <w:rFonts w:ascii="Times New Roman;sans-serif" w:hAnsi="Times New Roman;sans-serif"/>
                  <w:b w:val="false"/>
                  <w:color w:val="3051F2"/>
                  <w:sz w:val="18"/>
                  <w:u w:val="single"/>
                </w:rPr>
                <w:t>Legal Proceedings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3">
              <w:r>
                <w:rPr>
                  <w:rStyle w:val="InternetLink"/>
                  <w:rFonts w:ascii="Times New Roman;sans-serif" w:hAnsi="Times New Roman;sans-serif"/>
                  <w:b w:val="false"/>
                  <w:strike w:val="false"/>
                  <w:dstrike w:val="false"/>
                  <w:color w:val="000000"/>
                  <w:sz w:val="18"/>
                  <w:u w:val="none"/>
                  <w:effect w:val="none"/>
                </w:rPr>
                <w:t>31</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6">
              <w:r>
                <w:rPr>
                  <w:rStyle w:val="InternetLink"/>
                  <w:rFonts w:ascii="Times New Roman;sans-serif" w:hAnsi="Times New Roman;sans-serif"/>
                  <w:b w:val="false"/>
                  <w:color w:val="3051F2"/>
                  <w:sz w:val="18"/>
                  <w:u w:val="single"/>
                </w:rPr>
                <w:t>Risk Factors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6">
              <w:r>
                <w:rPr>
                  <w:rStyle w:val="InternetLink"/>
                  <w:rFonts w:ascii="Times New Roman;sans-serif" w:hAnsi="Times New Roman;sans-serif"/>
                  <w:b w:val="false"/>
                  <w:strike w:val="false"/>
                  <w:dstrike w:val="false"/>
                  <w:color w:val="000000"/>
                  <w:sz w:val="18"/>
                  <w:u w:val="none"/>
                  <w:effect w:val="none"/>
                </w:rPr>
                <w:t>31</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9">
              <w:r>
                <w:rPr>
                  <w:rStyle w:val="InternetLink"/>
                  <w:rFonts w:ascii="Times New Roman;sans-serif" w:hAnsi="Times New Roman;sans-serif"/>
                  <w:b w:val="false"/>
                  <w:color w:val="3051F2"/>
                  <w:sz w:val="18"/>
                  <w:u w:val="single"/>
                </w:rPr>
                <w:t>Unregistered Sales of Equity Securities and Use of Proceeds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9">
              <w:r>
                <w:rPr>
                  <w:rStyle w:val="InternetLink"/>
                  <w:rFonts w:ascii="Times New Roman;sans-serif" w:hAnsi="Times New Roman;sans-serif"/>
                  <w:b w:val="false"/>
                  <w:strike w:val="false"/>
                  <w:dstrike w:val="false"/>
                  <w:color w:val="000000"/>
                  <w:sz w:val="18"/>
                  <w:u w:val="none"/>
                  <w:effect w:val="none"/>
                </w:rPr>
                <w:t>31</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2">
              <w:r>
                <w:rPr>
                  <w:rStyle w:val="InternetLink"/>
                  <w:rFonts w:ascii="Times New Roman;sans-serif" w:hAnsi="Times New Roman;sans-serif"/>
                  <w:b w:val="false"/>
                  <w:color w:val="3051F2"/>
                  <w:sz w:val="18"/>
                  <w:u w:val="single"/>
                </w:rPr>
                <w:t>Defaults Upon Senior Securities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12">
              <w:r>
                <w:rPr>
                  <w:rStyle w:val="InternetLink"/>
                  <w:rFonts w:ascii="Times New Roman;sans-serif" w:hAnsi="Times New Roman;sans-serif"/>
                  <w:b w:val="false"/>
                  <w:strike w:val="false"/>
                  <w:dstrike w:val="false"/>
                  <w:color w:val="000000"/>
                  <w:sz w:val="18"/>
                  <w:u w:val="none"/>
                  <w:effect w:val="none"/>
                </w:rPr>
                <w:t>31</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5">
              <w:r>
                <w:rPr>
                  <w:rStyle w:val="InternetLink"/>
                  <w:rFonts w:ascii="Times New Roman;sans-serif" w:hAnsi="Times New Roman;sans-serif"/>
                  <w:b w:val="false"/>
                  <w:color w:val="3051F2"/>
                  <w:sz w:val="18"/>
                  <w:u w:val="single"/>
                </w:rPr>
                <w:t>Mine Safety Disclosures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15">
              <w:r>
                <w:rPr>
                  <w:rStyle w:val="InternetLink"/>
                  <w:rFonts w:ascii="Times New Roman;sans-serif" w:hAnsi="Times New Roman;sans-serif"/>
                  <w:b w:val="false"/>
                  <w:strike w:val="false"/>
                  <w:dstrike w:val="false"/>
                  <w:color w:val="000000"/>
                  <w:sz w:val="18"/>
                  <w:u w:val="none"/>
                  <w:effect w:val="none"/>
                </w:rPr>
                <w:t>31</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8">
              <w:r>
                <w:rPr>
                  <w:rStyle w:val="InternetLink"/>
                  <w:rFonts w:ascii="Times New Roman;sans-serif" w:hAnsi="Times New Roman;sans-serif"/>
                  <w:b w:val="false"/>
                  <w:color w:val="3051F2"/>
                  <w:sz w:val="18"/>
                  <w:u w:val="single"/>
                </w:rPr>
                <w:t>Other Information</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18">
              <w:r>
                <w:rPr>
                  <w:rStyle w:val="InternetLink"/>
                  <w:rFonts w:ascii="Times New Roman;sans-serif" w:hAnsi="Times New Roman;sans-serif"/>
                  <w:b w:val="false"/>
                  <w:strike w:val="false"/>
                  <w:dstrike w:val="false"/>
                  <w:color w:val="000000"/>
                  <w:sz w:val="18"/>
                  <w:u w:val="none"/>
                  <w:effect w:val="none"/>
                </w:rPr>
                <w:t>31</w:t>
              </w:r>
            </w:hyperlink>
          </w:p>
        </w:tc>
      </w:tr>
      <w:tr>
        <w:trPr/>
        <w:tc>
          <w:tcPr>
            <w:tcW w:w="2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1">
              <w:r>
                <w:rPr>
                  <w:rStyle w:val="InternetLink"/>
                  <w:rFonts w:ascii="Times New Roman;sans-serif" w:hAnsi="Times New Roman;sans-serif"/>
                  <w:b w:val="false"/>
                  <w:color w:val="000080"/>
                  <w:sz w:val="18"/>
                  <w:u w:val="single"/>
                </w:rPr>
                <w:t>Exhibit</w:t>
              </w:r>
            </w:hyperlink>
            <w:hyperlink w:anchor="ia61f5f549cc04155b1c59bb766cccfa1_121">
              <w:r>
                <w:rPr>
                  <w:rStyle w:val="InternetLink"/>
                  <w:rFonts w:ascii="Times New Roman;sans-serif" w:hAnsi="Times New Roman;sans-serif"/>
                  <w:b w:val="false"/>
                  <w:color w:val="000080"/>
                  <w:sz w:val="18"/>
                  <w:u w:val="single"/>
                </w:rPr>
                <w:t>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1">
              <w:r>
                <w:rPr>
                  <w:rStyle w:val="InternetLink"/>
                  <w:rFonts w:ascii="Times New Roman;sans-serif" w:hAnsi="Times New Roman;sans-serif"/>
                  <w:b w:val="false"/>
                  <w:strike w:val="false"/>
                  <w:dstrike w:val="false"/>
                  <w:color w:val="000000"/>
                  <w:sz w:val="18"/>
                  <w:u w:val="none"/>
                  <w:effect w:val="none"/>
                </w:rPr>
                <w:t>32</w:t>
              </w:r>
            </w:hyperlink>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4">
              <w:r>
                <w:rPr>
                  <w:rStyle w:val="InternetLink"/>
                  <w:rFonts w:ascii="Times New Roman;sans-serif" w:hAnsi="Times New Roman;sans-serif"/>
                  <w:b/>
                  <w:strike w:val="false"/>
                  <w:dstrike w:val="false"/>
                  <w:color w:val="000000"/>
                  <w:sz w:val="18"/>
                  <w:u w:val="none"/>
                  <w:effect w:val="none"/>
                </w:rPr>
                <w:t>Signatures</w:t>
              </w:r>
            </w:hyperlink>
          </w:p>
        </w:tc>
        <w:tc>
          <w:tcPr>
            <w:tcW w:w="68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4">
              <w:r>
                <w:rPr>
                  <w:rStyle w:val="InternetLink"/>
                  <w:rFonts w:ascii="Times New Roman;sans-serif" w:hAnsi="Times New Roman;sans-serif"/>
                  <w:b w:val="false"/>
                  <w:strike w:val="false"/>
                  <w:dstrike w:val="false"/>
                  <w:color w:val="000000"/>
                  <w:sz w:val="18"/>
                  <w:u w:val="none"/>
                  <w:effect w:val="none"/>
                </w:rPr>
                <w:t>33</w:t>
              </w:r>
            </w:hyperlink>
          </w:p>
        </w:tc>
      </w:tr>
    </w:tbl>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Table of Con</w:t>
        </w:r>
      </w:hyperlink>
      <w:hyperlink w:anchor="ia61f5f549cc04155b1c59bb766cccfa1_7">
        <w:r>
          <w:rPr>
            <w:rStyle w:val="InternetLink"/>
            <w:rFonts w:ascii="Times New Roman;sans-serif" w:hAnsi="Times New Roman;sans-serif"/>
            <w:b w:val="false"/>
            <w:color w:val="000080"/>
            <w:sz w:val="18"/>
            <w:u w:val="single"/>
          </w:rPr>
          <w:t>t</w:t>
        </w:r>
      </w:hyperlink>
      <w:hyperlink w:anchor="ia61f5f549cc04155b1c59bb766cccfa1_7">
        <w:r>
          <w:rPr>
            <w:rStyle w:val="InternetLink"/>
            <w:rFonts w:ascii="Times New Roman;sans-serif" w:hAnsi="Times New Roman;sans-serif"/>
            <w:b w:val="false"/>
            <w:color w:val="000080"/>
            <w:sz w:val="18"/>
            <w:u w:val="single"/>
          </w:rPr>
          <w:t>ents</w:t>
        </w:r>
      </w:hyperlink>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SPECIAL NOTE REGARDING FORWARD-LOOKING STATEMENTS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expectations regarding our revenue, expenses, and other operating results;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develop new products and services and bring them to market in a timely manner;</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achieve or sustain our profitability;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business plan and our ability to effectively manage our growth;</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market opportunity, including our total addressable market;</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anticipated trends, growth rates, and challenges in our business and in the markets in which we operate;</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attract and retain qualified employees;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uncertainties regarding the impact of general economic and market conditions, including as a result of currency fluctuations, inflation, or regional and global conflicts or related government sanctions;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the security and availability of our solutions;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our money transmission licenses and other regulatory approvals;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and expand internationally; and</w:t>
      </w:r>
    </w:p>
    <w:p>
      <w:pPr>
        <w:pStyle w:val="TextBody"/>
        <w:bidi w:val="0"/>
        <w:spacing w:lineRule="auto" w:line="288" w:before="0" w:after="180"/>
        <w:ind w:left="0" w:right="0" w:hanging="360"/>
        <w:jc w:val="left"/>
        <w:rPr>
          <w:color w:val="000000"/>
        </w:rPr>
      </w:pPr>
      <w:r>
        <w:rPr>
          <w:color w:val="000000"/>
        </w:rPr>
        <w:t>•    </w:t>
      </w:r>
      <w:r>
        <w:rPr>
          <w:rFonts w:ascii="Times New Roman;sans-serif" w:hAnsi="Times New Roman;sans-serif"/>
          <w:b w:val="false"/>
          <w:color w:val="000000"/>
          <w:sz w:val="18"/>
        </w:rPr>
        <w:t>our expectations regarding anticipated technology needs and developments and our ability to address those needs and developments with our solutions.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Part 1. Financial Information</w:t>
      </w: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and per share data</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57"/>
        <w:gridCol w:w="2326"/>
        <w:gridCol w:w="2297"/>
        <w:gridCol w:w="196"/>
        <w:gridCol w:w="871"/>
        <w:gridCol w:w="109"/>
        <w:gridCol w:w="109"/>
        <w:gridCol w:w="109"/>
        <w:gridCol w:w="109"/>
        <w:gridCol w:w="196"/>
        <w:gridCol w:w="871"/>
        <w:gridCol w:w="155"/>
      </w:tblGrid>
      <w:tr>
        <w:trPr/>
        <w:tc>
          <w:tcPr>
            <w:tcW w:w="2857"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195,848 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379,417 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932,118 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1,036,306 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177,473 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16)</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725,000,000 shares authorized as of March 31, 2024 and December 31, 2023 both; 192,311,050 and 188,435,952 shares issued and outstanding, as of March 31, 2024 and December 31,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1,020,286 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(491,303)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1,036,306 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and per share data</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459"/>
        <w:gridCol w:w="2106"/>
        <w:gridCol w:w="2141"/>
        <w:gridCol w:w="221"/>
        <w:gridCol w:w="830"/>
        <w:gridCol w:w="115"/>
        <w:gridCol w:w="115"/>
        <w:gridCol w:w="115"/>
        <w:gridCol w:w="115"/>
        <w:gridCol w:w="221"/>
        <w:gridCol w:w="830"/>
        <w:gridCol w:w="115"/>
        <w:gridCol w:w="109"/>
        <w:gridCol w:w="109"/>
        <w:gridCol w:w="109"/>
        <w:gridCol w:w="495"/>
      </w:tblGrid>
      <w:tr>
        <w:trPr/>
        <w:tc>
          <w:tcPr>
            <w:tcW w:w="245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gridSpan w:val="2"/>
            <w:tcBorders/>
          </w:tcPr>
          <w:p>
            <w:pPr>
              <w:pStyle w:val="TableContents"/>
              <w:bidi w:val="0"/>
              <w:spacing w:before="0" w:after="283"/>
              <w:jc w:val="left"/>
              <w:rPr>
                <w:sz w:val="4"/>
                <w:szCs w:val="4"/>
              </w:rPr>
            </w:pPr>
            <w:r>
              <w:rPr>
                <w:sz w:val="4"/>
                <w:szCs w:val="4"/>
              </w:rPr>
            </w:r>
          </w:p>
        </w:tc>
      </w:tr>
      <w:tr>
        <w:trPr/>
        <w:tc>
          <w:tcPr>
            <w:tcW w:w="6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Transaction expenses</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Customer support and operations</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Marketing</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Technology and development</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189,848,799 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175,113,904 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Exclusive of depreciation and amortization, shown separately, above.</w: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Loss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6395" w:type="dxa"/>
        <w:jc w:val="left"/>
        <w:tblInd w:w="0" w:type="dxa"/>
        <w:tblLayout w:type="fixed"/>
        <w:tblCellMar>
          <w:top w:w="28" w:type="dxa"/>
          <w:left w:w="28" w:type="dxa"/>
          <w:bottom w:w="28" w:type="dxa"/>
          <w:right w:w="28" w:type="dxa"/>
        </w:tblCellMar>
      </w:tblPr>
      <w:tblGrid>
        <w:gridCol w:w="1085"/>
        <w:gridCol w:w="951"/>
        <w:gridCol w:w="963"/>
        <w:gridCol w:w="212"/>
        <w:gridCol w:w="782"/>
        <w:gridCol w:w="118"/>
        <w:gridCol w:w="118"/>
        <w:gridCol w:w="118"/>
        <w:gridCol w:w="118"/>
        <w:gridCol w:w="212"/>
        <w:gridCol w:w="782"/>
        <w:gridCol w:w="118"/>
        <w:gridCol w:w="109"/>
        <w:gridCol w:w="109"/>
        <w:gridCol w:w="109"/>
        <w:gridCol w:w="491"/>
      </w:tblGrid>
      <w:tr>
        <w:trPr/>
        <w:tc>
          <w:tcPr>
            <w:tcW w:w="108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data</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911"/>
        <w:gridCol w:w="381"/>
        <w:gridCol w:w="385"/>
        <w:gridCol w:w="109"/>
        <w:gridCol w:w="109"/>
        <w:gridCol w:w="109"/>
        <w:gridCol w:w="525"/>
        <w:gridCol w:w="526"/>
        <w:gridCol w:w="196"/>
        <w:gridCol w:w="109"/>
        <w:gridCol w:w="109"/>
        <w:gridCol w:w="109"/>
        <w:gridCol w:w="212"/>
        <w:gridCol w:w="359"/>
        <w:gridCol w:w="120"/>
        <w:gridCol w:w="109"/>
        <w:gridCol w:w="109"/>
        <w:gridCol w:w="109"/>
        <w:gridCol w:w="196"/>
        <w:gridCol w:w="871"/>
        <w:gridCol w:w="109"/>
        <w:gridCol w:w="109"/>
        <w:gridCol w:w="109"/>
        <w:gridCol w:w="109"/>
        <w:gridCol w:w="321"/>
        <w:gridCol w:w="715"/>
        <w:gridCol w:w="180"/>
        <w:gridCol w:w="109"/>
        <w:gridCol w:w="109"/>
        <w:gridCol w:w="109"/>
        <w:gridCol w:w="196"/>
        <w:gridCol w:w="754"/>
        <w:gridCol w:w="109"/>
        <w:gridCol w:w="109"/>
        <w:gridCol w:w="109"/>
        <w:gridCol w:w="109"/>
        <w:gridCol w:w="211"/>
        <w:gridCol w:w="795"/>
        <w:gridCol w:w="171"/>
      </w:tblGrid>
      <w:tr>
        <w:trPr/>
        <w:tc>
          <w:tcPr>
            <w:tcW w:w="9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7"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188,435,952 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529,337 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439,247 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3,500,485 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2,530 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(21,080)</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192,311,050 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549,358 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6"/>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77"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173,250,865 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2,729 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3,589,965 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590,838 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subject to service-based vesting conditions, in connection with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(28,314)</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177,733,293 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(401,777)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495,421 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1005"/>
                <wp:effectExtent l="0" t="0" r="0" b="0"/>
                <wp:wrapNone/>
                <wp:docPr id="7" name="Frame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8754" w:type="dxa"/>
        <w:jc w:val="center"/>
        <w:tblInd w:w="0" w:type="dxa"/>
        <w:tblLayout w:type="fixed"/>
        <w:tblCellMar>
          <w:top w:w="28" w:type="dxa"/>
          <w:left w:w="28" w:type="dxa"/>
          <w:bottom w:w="28" w:type="dxa"/>
          <w:right w:w="28" w:type="dxa"/>
        </w:tblCellMar>
      </w:tblPr>
      <w:tblGrid>
        <w:gridCol w:w="2222"/>
        <w:gridCol w:w="1948"/>
        <w:gridCol w:w="1964"/>
        <w:gridCol w:w="209"/>
        <w:gridCol w:w="787"/>
        <w:gridCol w:w="116"/>
        <w:gridCol w:w="116"/>
        <w:gridCol w:w="116"/>
        <w:gridCol w:w="116"/>
        <w:gridCol w:w="209"/>
        <w:gridCol w:w="787"/>
        <w:gridCol w:w="164"/>
      </w:tblGrid>
      <w:tr>
        <w:trPr/>
        <w:tc>
          <w:tcPr>
            <w:tcW w:w="2222"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(44,157)</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(12,078)</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(4,512)</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(7,448)</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 net of acquired cash, cash equivalents, and restricted cash</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(40,933)</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connection with ESPP</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 borrowings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revolving credit facility borrowings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assumed indebtedness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(17,068)</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(56,078)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244,159 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288,929 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1005"/>
                <wp:effectExtent l="0" t="0" r="0" b="0"/>
                <wp:wrapNone/>
                <wp:docPr id="8" name="Frame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before="0" w:after="12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    Organization and Description of Business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Description of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and is a wholly-owned subsidiary of Remitly Global, Inc.</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is a leading digital financial services provider for immigrants, their families, and other global citizens in over 170 countries, helping customers send money internationally in a quick, reliable, and more cost-effective manner, by leveraging digital channels and supporting cross-border transmissions across the globe.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otherwise expressly stated or the context otherwise requires, the terms “Remitly” and the “Company” within these notes to the condensed consolidated financial statements refer to Remitly Global, Inc.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Basis of Presentation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months ended March 31, 2024 are not necessarily indicative of the results that may be expected for the year ending December 31, 2024, or for any other future annual or interim period.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Principles of Consolidation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Reclassification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condensed consolidated financial statements and accompanying notes have been prepared consistently, with the exception of certain prior year amounts which have been reclassified to conform with the current period presentation. Reclassifications include a change in presentation of shares purchased under the ESPP within the Company’s Condensed Consolidated Statements of Cash Flows. Beginning in the year ended December 31, 2023, the Company changed the presentation of shares purchased under the ESPP to reflect an operating cash outflow for compensation paid to employees and a financing cash inflow for cash paid by employees in exchange for shares. Previously, such activity was treated and disclosed as noncash activity for the three months ended March 31, 2023. The Company has conformed the prior period statement of cash flows to the current period presentation to enhance transparency and provide comparability.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Use of Estimates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preparation of the accompanying condensed consolidated financial statements in conformity with GAAP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the recoverability of deferred tax assets, capitalization of software development costs, goodwill, and the recoverability of intangible assets. The key assumptions applied for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1005"/>
                <wp:effectExtent l="0" t="0" r="0" b="0"/>
                <wp:wrapNone/>
                <wp:docPr id="9" name="Frame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Concentration of Credit 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months ended March 31, 2024 and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2024 and 2023, no individual customer represented 10% or more of the Company’s total revenues or the Company’s customer funds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Advertising</w:t>
      </w:r>
    </w:p>
    <w:p>
      <w:pPr>
        <w:pStyle w:val="TextBody"/>
        <w:bidi w:val="0"/>
        <w:spacing w:lineRule="auto" w:line="288" w:before="0" w:after="180"/>
        <w:jc w:val="left"/>
        <w:rPr/>
      </w:pPr>
      <w:r>
        <w:rPr>
          <w:rFonts w:ascii="Times New Roman;sans-serif" w:hAnsi="Times New Roman;sans-serif"/>
          <w:b w:val="false"/>
          <w:color w:val="000000"/>
          <w:sz w:val="18"/>
        </w:rPr>
        <w:t>Advertising expenses are charged to operations as incurred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 Condensed Consolidated Statements of Operations. Advertising expenses are used primarily to attract new customers. Advertising expenses totaled $51.7 million and $34.6 million during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Summary of Significant Accounting Policies</w:t>
      </w:r>
    </w:p>
    <w:p>
      <w:pPr>
        <w:pStyle w:val="TextBody"/>
        <w:bidi w:val="0"/>
        <w:spacing w:lineRule="auto" w:line="288" w:before="0" w:after="180"/>
        <w:jc w:val="left"/>
        <w:rPr/>
      </w:pPr>
      <w:r>
        <w:rPr>
          <w:rFonts w:ascii="Times New Roman;sans-serif" w:hAnsi="Times New Roman;sans-serif"/>
          <w:b w:val="false"/>
          <w:color w:val="000000"/>
          <w:sz w:val="18"/>
        </w:rPr>
        <w:t xml:space="preserve">The Company’s significant accounting policies are discussed in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within the notes to consolidated financial statements included in the Company’s Annual Report on Form 10-K for the year ended December 31, 2023. There have been no significant changes to these policies during the three months ended March 31, 2024, except as noted above.</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Recently Adopted Accounting Pronouncements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Accounting Pronouncements Not Yet Adopted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November 2023, the Financial Accounting Standards Board (“FASB”) issued Accounting Standards Update (“ASU”)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evaluating the potential impact of adopting this new guidance to its condensed consolidated financial statements and related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is currently evaluating the potential impact of adopting this new guidance to its condensed consolidated financial statements and related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are other new accounting pronouncements issued by the FASB that the Company has adopted or will adopt, as applicable. The Company does not believe any of these accounting pronouncements have had, or will have, a material impact on the condensed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3.    Revenue    </w:t>
      </w:r>
    </w:p>
    <w:p>
      <w:pPr>
        <w:pStyle w:val="TextBody"/>
        <w:bidi w:val="0"/>
        <w:spacing w:lineRule="auto" w:line="288" w:before="0" w:after="180"/>
        <w:jc w:val="left"/>
        <w:rPr/>
      </w:pPr>
      <w:r>
        <w:rPr>
          <w:rFonts w:ascii="Times New Roman;sans-serif" w:hAnsi="Times New Roman;sans-serif"/>
          <w:b w:val="false"/>
          <w:color w:val="000000"/>
          <w:sz w:val="18"/>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606, </w:t>
      </w:r>
      <w:r>
        <w:rPr>
          <w:rFonts w:ascii="Times New Roman;sans-serif" w:hAnsi="Times New Roman;sans-serif"/>
          <w:b w:val="false"/>
          <w:i/>
          <w:color w:val="000000"/>
          <w:sz w:val="18"/>
        </w:rPr>
        <w:t>Revenue from Contracts with Customers</w:t>
      </w:r>
      <w:r>
        <w:rPr>
          <w:rFonts w:ascii="Times New Roman;sans-serif" w:hAnsi="Times New Roman;sans-serif"/>
          <w:b w:val="false"/>
          <w:color w:val="000000"/>
          <w:sz w:val="18"/>
        </w:rPr>
        <w:t>, which includes the following steps:</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(1)identification of the contract with a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(3)determination of the transaction price;</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(5)recognition of revenue when, or as, the Company satisfies a performance obligation.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Customers engage the Company to perform one integrated service — 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contains a significant financing component.</w:t>
      </w:r>
    </w:p>
    <w:p>
      <w:pPr>
        <w:pStyle w:val="TextBody"/>
        <w:bidi w:val="0"/>
        <w:spacing w:lineRule="auto" w:line="288" w:before="0" w:after="180"/>
        <w:jc w:val="left"/>
        <w:rPr/>
      </w:pPr>
      <w:r>
        <w:rPr>
          <w:rFonts w:ascii="Times New Roman;sans-serif" w:hAnsi="Times New Roman;sans-serif"/>
          <w:b w:val="false"/>
          <w:color w:val="000000"/>
          <w:sz w:val="18"/>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within the Condensed Consolidated Statements of Operations. The Company does not have any capitalized contract acquisition costs.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Deferred 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deferred revenue balances from contracts with customers were as follows for the three months ended March 31, 2024 and 2023: </w:t>
      </w:r>
    </w:p>
    <w:tbl>
      <w:tblPr>
        <w:tblW w:w="9807" w:type="dxa"/>
        <w:jc w:val="left"/>
        <w:tblInd w:w="0" w:type="dxa"/>
        <w:tblLayout w:type="fixed"/>
        <w:tblCellMar>
          <w:top w:w="28" w:type="dxa"/>
          <w:left w:w="28" w:type="dxa"/>
          <w:bottom w:w="28" w:type="dxa"/>
          <w:right w:w="28" w:type="dxa"/>
        </w:tblCellMar>
      </w:tblPr>
      <w:tblGrid>
        <w:gridCol w:w="2444"/>
        <w:gridCol w:w="2149"/>
        <w:gridCol w:w="2156"/>
        <w:gridCol w:w="246"/>
        <w:gridCol w:w="700"/>
        <w:gridCol w:w="137"/>
        <w:gridCol w:w="137"/>
        <w:gridCol w:w="137"/>
        <w:gridCol w:w="137"/>
        <w:gridCol w:w="246"/>
        <w:gridCol w:w="700"/>
        <w:gridCol w:w="137"/>
        <w:gridCol w:w="109"/>
        <w:gridCol w:w="109"/>
        <w:gridCol w:w="109"/>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beginning of the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end of the period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recognized from amounts included in deferred revenue at the beginning of the period</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8"/>
        </w:rPr>
        <w:t>Deferred revenue represents amounts received from customers for which the performance obligations are not yet fulfilled. Deferred revenue is primarily included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Condensed Consolidated Balance Sheets, as the performance obligations are expected to be fulfilled within the next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Sales Incentives </w:t>
      </w:r>
    </w:p>
    <w:p>
      <w:pPr>
        <w:pStyle w:val="TextBody"/>
        <w:bidi w:val="0"/>
        <w:spacing w:lineRule="auto" w:line="288" w:before="0" w:after="180"/>
        <w:jc w:val="left"/>
        <w:rPr/>
      </w:pPr>
      <w:r>
        <w:rPr>
          <w:rFonts w:ascii="Times New Roman;sans-serif" w:hAnsi="Times New Roman;sans-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 Condensed Consolidated Statements of Operations. In addition, referral credits given to a referrer are classified as ‘</w:t>
      </w:r>
      <w:r>
        <w:rPr>
          <w:rFonts w:ascii="Times New Roman;sans-serif" w:hAnsi="Times New Roman;sans-serif"/>
          <w:b w:val="false"/>
          <w:i/>
          <w:color w:val="000000"/>
          <w:sz w:val="18"/>
        </w:rPr>
        <w:t>Marketing expenses</w:t>
      </w:r>
      <w:r>
        <w:rPr>
          <w:rFonts w:ascii="Times New Roman;sans-serif" w:hAnsi="Times New Roman;sans-serif"/>
          <w:b w:val="false"/>
          <w:color w:val="000000"/>
          <w:sz w:val="18"/>
        </w:rPr>
        <w:t>,’ as these incentives are paid in exchange for a distinct service.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sales incentives for the three months ended March 31, 2024 and 2023:</w:t>
      </w:r>
    </w:p>
    <w:tbl>
      <w:tblPr>
        <w:tblW w:w="4678" w:type="dxa"/>
        <w:jc w:val="left"/>
        <w:tblInd w:w="0" w:type="dxa"/>
        <w:tblLayout w:type="fixed"/>
        <w:tblCellMar>
          <w:top w:w="28" w:type="dxa"/>
          <w:left w:w="28" w:type="dxa"/>
          <w:bottom w:w="28" w:type="dxa"/>
          <w:right w:w="28" w:type="dxa"/>
        </w:tblCellMar>
      </w:tblPr>
      <w:tblGrid>
        <w:gridCol w:w="586"/>
        <w:gridCol w:w="516"/>
        <w:gridCol w:w="517"/>
        <w:gridCol w:w="226"/>
        <w:gridCol w:w="748"/>
        <w:gridCol w:w="126"/>
        <w:gridCol w:w="126"/>
        <w:gridCol w:w="126"/>
        <w:gridCol w:w="126"/>
        <w:gridCol w:w="226"/>
        <w:gridCol w:w="748"/>
        <w:gridCol w:w="126"/>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to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sales incentives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Revenue by Geography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revenue disaggregated by primary geographical location for the three months ended March 31, 2024 and 2023, attributed to the country in which the sending customer is located:</w:t>
      </w:r>
    </w:p>
    <w:tbl>
      <w:tblPr>
        <w:tblW w:w="4179" w:type="dxa"/>
        <w:jc w:val="left"/>
        <w:tblInd w:w="0" w:type="dxa"/>
        <w:tblLayout w:type="fixed"/>
        <w:tblCellMar>
          <w:top w:w="28" w:type="dxa"/>
          <w:left w:w="28" w:type="dxa"/>
          <w:bottom w:w="28" w:type="dxa"/>
          <w:right w:w="28" w:type="dxa"/>
        </w:tblCellMar>
      </w:tblPr>
      <w:tblGrid>
        <w:gridCol w:w="407"/>
        <w:gridCol w:w="358"/>
        <w:gridCol w:w="359"/>
        <w:gridCol w:w="209"/>
        <w:gridCol w:w="788"/>
        <w:gridCol w:w="116"/>
        <w:gridCol w:w="116"/>
        <w:gridCol w:w="116"/>
        <w:gridCol w:w="116"/>
        <w:gridCol w:w="209"/>
        <w:gridCol w:w="788"/>
        <w:gridCol w:w="116"/>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203,865 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4.    Prepaid Expenses &amp; Other Current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consisted of the following:</w:t>
      </w:r>
    </w:p>
    <w:tbl>
      <w:tblPr>
        <w:tblW w:w="5957" w:type="dxa"/>
        <w:jc w:val="left"/>
        <w:tblInd w:w="0" w:type="dxa"/>
        <w:tblLayout w:type="fixed"/>
        <w:tblCellMar>
          <w:top w:w="28" w:type="dxa"/>
          <w:left w:w="28" w:type="dxa"/>
          <w:bottom w:w="28" w:type="dxa"/>
          <w:right w:w="28" w:type="dxa"/>
        </w:tblCellMar>
      </w:tblPr>
      <w:tblGrid>
        <w:gridCol w:w="1266"/>
        <w:gridCol w:w="1113"/>
        <w:gridCol w:w="1115"/>
        <w:gridCol w:w="196"/>
        <w:gridCol w:w="646"/>
        <w:gridCol w:w="109"/>
        <w:gridCol w:w="109"/>
        <w:gridCol w:w="109"/>
        <w:gridCol w:w="109"/>
        <w:gridCol w:w="233"/>
        <w:gridCol w:w="769"/>
        <w:gridCol w:w="183"/>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card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compensation arrangements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5.    Property and Equipment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consisted of the following as of March 31, 2024 and December 31, 2023:</w:t>
      </w:r>
    </w:p>
    <w:tbl>
      <w:tblPr>
        <w:tblW w:w="6048" w:type="dxa"/>
        <w:jc w:val="center"/>
        <w:tblInd w:w="0" w:type="dxa"/>
        <w:tblLayout w:type="fixed"/>
        <w:tblCellMar>
          <w:top w:w="28" w:type="dxa"/>
          <w:left w:w="28" w:type="dxa"/>
          <w:bottom w:w="28" w:type="dxa"/>
          <w:right w:w="28" w:type="dxa"/>
        </w:tblCellMar>
      </w:tblPr>
      <w:tblGrid>
        <w:gridCol w:w="1298"/>
        <w:gridCol w:w="1142"/>
        <w:gridCol w:w="1145"/>
        <w:gridCol w:w="196"/>
        <w:gridCol w:w="646"/>
        <w:gridCol w:w="109"/>
        <w:gridCol w:w="109"/>
        <w:gridCol w:w="109"/>
        <w:gridCol w:w="109"/>
        <w:gridCol w:w="233"/>
        <w:gridCol w:w="769"/>
        <w:gridCol w:w="183"/>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Projects in process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property and equipment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related to property and equipment was $2.5 million and $1.8 million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Capitalized Internal-Use Software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capitalized internal-use software, including amortization expense recognized, for the three months ended March 31, 2024 and 2023:</w:t>
      </w:r>
    </w:p>
    <w:tbl>
      <w:tblPr>
        <w:tblW w:w="7962" w:type="dxa"/>
        <w:jc w:val="left"/>
        <w:tblInd w:w="0" w:type="dxa"/>
        <w:tblLayout w:type="fixed"/>
        <w:tblCellMar>
          <w:top w:w="28" w:type="dxa"/>
          <w:left w:w="28" w:type="dxa"/>
          <w:bottom w:w="28" w:type="dxa"/>
          <w:right w:w="28" w:type="dxa"/>
        </w:tblCellMar>
      </w:tblPr>
      <w:tblGrid>
        <w:gridCol w:w="1776"/>
        <w:gridCol w:w="1562"/>
        <w:gridCol w:w="1566"/>
        <w:gridCol w:w="246"/>
        <w:gridCol w:w="700"/>
        <w:gridCol w:w="137"/>
        <w:gridCol w:w="137"/>
        <w:gridCol w:w="137"/>
        <w:gridCol w:w="137"/>
        <w:gridCol w:w="246"/>
        <w:gridCol w:w="700"/>
        <w:gridCol w:w="137"/>
        <w:gridCol w:w="109"/>
        <w:gridCol w:w="109"/>
        <w:gridCol w:w="109"/>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Total capitalized internal-use software costs</w:t>
            </w:r>
            <w:r>
              <w:rPr>
                <w:rFonts w:ascii="Times New Roman;sans-serif" w:hAnsi="Times New Roman;sans-serif"/>
                <w:b w:val="false"/>
                <w:color w:val="000000"/>
                <w:sz w:val="12"/>
              </w:rPr>
              <w:t>(1)</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costs capitalized to internal-use software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Amortization expense</w:t>
            </w:r>
            <w:r>
              <w:rPr>
                <w:rFonts w:ascii="Times New Roman;sans-serif" w:hAnsi="Times New Roman;sans-serif"/>
                <w:b w:val="false"/>
                <w:color w:val="000000"/>
                <w:sz w:val="12"/>
              </w:rPr>
              <w:t>(2)</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Amounts are inclusive of stock-based compensation costs capitalized denoted below.</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Amounts are included within ‘</w:t>
      </w:r>
      <w:r>
        <w:rPr>
          <w:rFonts w:ascii="Times New Roman;sans-serif" w:hAnsi="Times New Roman;sans-serif"/>
          <w:b w:val="false"/>
          <w:i/>
          <w:color w:val="000000"/>
          <w:sz w:val="16"/>
        </w:rPr>
        <w:t>Depreciation and amortization</w:t>
      </w:r>
      <w:r>
        <w:rPr>
          <w:color w:val="000000"/>
        </w:rPr>
        <w:t xml:space="preserve">’ </w:t>
      </w:r>
      <w:r>
        <w:rPr>
          <w:rFonts w:ascii="Times New Roman;sans-serif" w:hAnsi="Times New Roman;sans-serif"/>
          <w:b w:val="false"/>
          <w:color w:val="000000"/>
          <w:sz w:val="16"/>
        </w:rPr>
        <w:t>within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18"/>
        </w:rPr>
      </w:pPr>
      <w:r>
        <w:rPr>
          <w:rFonts w:ascii="Times New Roman;sans-serif" w:hAnsi="Times New Roman;sans-serif"/>
          <w:b/>
          <w:color w:val="000000"/>
          <w:sz w:val="18"/>
        </w:rPr>
        <w:t>Capitalized Costs of Cloud Computing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capitalized costs related to the implementation of cloud computing arrangements, including amortization expense recognized, for the three months ended March 31, 2024 and 2023:</w:t>
      </w:r>
    </w:p>
    <w:tbl>
      <w:tblPr>
        <w:tblW w:w="6914" w:type="dxa"/>
        <w:jc w:val="left"/>
        <w:tblInd w:w="0" w:type="dxa"/>
        <w:tblLayout w:type="fixed"/>
        <w:tblCellMar>
          <w:top w:w="28" w:type="dxa"/>
          <w:left w:w="28" w:type="dxa"/>
          <w:bottom w:w="28" w:type="dxa"/>
          <w:right w:w="28" w:type="dxa"/>
        </w:tblCellMar>
      </w:tblPr>
      <w:tblGrid>
        <w:gridCol w:w="1396"/>
        <w:gridCol w:w="1228"/>
        <w:gridCol w:w="1231"/>
        <w:gridCol w:w="284"/>
        <w:gridCol w:w="610"/>
        <w:gridCol w:w="158"/>
        <w:gridCol w:w="158"/>
        <w:gridCol w:w="158"/>
        <w:gridCol w:w="158"/>
        <w:gridCol w:w="284"/>
        <w:gridCol w:w="610"/>
        <w:gridCol w:w="158"/>
        <w:gridCol w:w="109"/>
        <w:gridCol w:w="109"/>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capitalized cloud computing arrangement costs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amortization expense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total capitalized cloud computing arrangement costs, net of accumulated amortization, on the Company’s Condensed Consolidated Balance Sheets as of March 31, 2024 and December 31, 2023:</w:t>
      </w:r>
    </w:p>
    <w:tbl>
      <w:tblPr>
        <w:tblW w:w="6505" w:type="dxa"/>
        <w:jc w:val="center"/>
        <w:tblInd w:w="0" w:type="dxa"/>
        <w:tblLayout w:type="fixed"/>
        <w:tblCellMar>
          <w:top w:w="28" w:type="dxa"/>
          <w:left w:w="28" w:type="dxa"/>
          <w:bottom w:w="28" w:type="dxa"/>
          <w:right w:w="28" w:type="dxa"/>
        </w:tblCellMar>
      </w:tblPr>
      <w:tblGrid>
        <w:gridCol w:w="1489"/>
        <w:gridCol w:w="1308"/>
        <w:gridCol w:w="1312"/>
        <w:gridCol w:w="201"/>
        <w:gridCol w:w="572"/>
        <w:gridCol w:w="112"/>
        <w:gridCol w:w="109"/>
        <w:gridCol w:w="109"/>
        <w:gridCol w:w="109"/>
        <w:gridCol w:w="256"/>
        <w:gridCol w:w="727"/>
        <w:gridCol w:w="201"/>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capitalized cloud computing arrangement costs, net</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18"/>
        </w:rPr>
        <w:t>6.    Business Combinations</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acquisitions accounted for as business combinations or divestitures completed in the three months ended March 31, 2024.</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Acquisition Completed in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pStyle w:val="TextBody"/>
        <w:bidi w:val="0"/>
        <w:spacing w:lineRule="auto" w:line="288" w:before="0" w:after="180"/>
        <w:jc w:val="left"/>
        <w:rPr/>
      </w:pPr>
      <w:r>
        <w:rPr>
          <w:rFonts w:ascii="Times New Roman;sans-serif" w:hAnsi="Times New Roman;sans-serif"/>
          <w:b w:val="false"/>
          <w:color w:val="000000"/>
          <w:sz w:val="18"/>
        </w:rPr>
        <w:t xml:space="preserve">The acquisition met the criteria to be accounted for as a business combination in accordance with ASC 805,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(“ASC 805”). This method required,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Consideration Transferred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acquisition date fair value of consideration transferred for the acquisition totaled $77.9 million, as follows:</w:t>
      </w:r>
    </w:p>
    <w:tbl>
      <w:tblPr>
        <w:tblW w:w="9395" w:type="dxa"/>
        <w:jc w:val="left"/>
        <w:tblInd w:w="0" w:type="dxa"/>
        <w:tblLayout w:type="fixed"/>
        <w:tblCellMar>
          <w:top w:w="28" w:type="dxa"/>
          <w:left w:w="28" w:type="dxa"/>
          <w:bottom w:w="28" w:type="dxa"/>
          <w:right w:w="28" w:type="dxa"/>
        </w:tblCellMar>
      </w:tblPr>
      <w:tblGrid>
        <w:gridCol w:w="3042"/>
        <w:gridCol w:w="2673"/>
        <w:gridCol w:w="2684"/>
        <w:gridCol w:w="196"/>
        <w:gridCol w:w="646"/>
        <w:gridCol w:w="154"/>
      </w:tblGrid>
      <w:tr>
        <w:trPr/>
        <w:tc>
          <w:tcPr>
            <w:tcW w:w="3042"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to selling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issued to selling shareholders, including replacement of equity awards attributable to pre-combination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Holdback liability to be settled in cash and Company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settlement of pre-existing net receivable owed to the Company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 transferred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excluded 133,309 shares and restricted stock units held back and not legally issued at acquisition date, as further discussed below.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Approximately $11.9 million of the cash and equity proceeds were held back to satisfy any necessary adjustments, including without limitation, indemnification claims related to general representations and warranties, and any net working capital adjustments. As of the acquisition date, the majority of this holdback was expected to be settled in cash, with the remainder in 133,309 shares of Company common stock and restricted stock units. Such amounts were subject to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Company common stock, subject to the aforementioned adjustments. Refer to the discussion below regarding the settlement of the holdback consideration subsequent to March 31,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 The change in the pre-existing receivable to an intercompany receivable has been considered as a noncash activity reflected within the operating activities of the Condensed Consolidated Statements of Cash Flows.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Holdback Liability</w:t>
      </w:r>
    </w:p>
    <w:p>
      <w:pPr>
        <w:pStyle w:val="TextBody"/>
        <w:bidi w:val="0"/>
        <w:spacing w:lineRule="auto" w:line="288" w:before="0" w:after="180"/>
        <w:jc w:val="left"/>
        <w:rPr/>
      </w:pPr>
      <w:r>
        <w:rPr>
          <w:rFonts w:ascii="Times New Roman;sans-serif" w:hAnsi="Times New Roman;sans-serif"/>
          <w:b w:val="false"/>
          <w:color w:val="000000"/>
          <w:sz w:val="18"/>
        </w:rPr>
        <w:t>The holdback of cash and equity proceeds discussed above was recorded at its acquisition date fair value and was classified as a liability within ‘</w:t>
      </w:r>
      <w:r>
        <w:rPr>
          <w:rFonts w:ascii="Times New Roman;sans-serif" w:hAnsi="Times New Roman;sans-serif"/>
          <w:b w:val="false"/>
          <w:i/>
          <w:color w:val="000000"/>
          <w:sz w:val="18"/>
        </w:rPr>
        <w:t>Other noncurrent liabilities</w:t>
      </w:r>
      <w:r>
        <w:rPr>
          <w:color w:val="000000"/>
        </w:rPr>
        <w:t xml:space="preserve">’ </w:t>
      </w:r>
      <w:r>
        <w:rPr>
          <w:rFonts w:ascii="Times New Roman;sans-serif" w:hAnsi="Times New Roman;sans-serif"/>
          <w:b w:val="false"/>
          <w:color w:val="000000"/>
          <w:sz w:val="18"/>
        </w:rPr>
        <w:t xml:space="preserve">on the Company’s Condensed Consolidated Balance Sheets at the acquisition date. The portion of the holdback settled in Company shares continues to be recorded at its fair value through its settlement date, with changes recorded to earnings. The estimated fair value of the portion of the holdback liability settled in equity uses both observable and unobservable inputs, specifically considering the price of the Company’s common stock, as well as the probability of payout at the end of the holdback period, and is considered a Level 3 measurement, as defined in ASC 820, </w:t>
      </w:r>
      <w:r>
        <w:rPr>
          <w:rFonts w:ascii="Times New Roman;sans-serif" w:hAnsi="Times New Roman;sans-serif"/>
          <w:b w:val="false"/>
          <w:i/>
          <w:color w:val="000000"/>
          <w:sz w:val="18"/>
        </w:rPr>
        <w:t>Fair Value Measurement</w:t>
      </w:r>
      <w:r>
        <w:rPr>
          <w:color w:val="000000"/>
        </w:rPr>
        <w:t xml:space="preserve"> </w:t>
      </w:r>
      <w:r>
        <w:rPr>
          <w:rFonts w:ascii="Times New Roman;sans-serif" w:hAnsi="Times New Roman;sans-serif"/>
          <w:b w:val="false"/>
          <w:color w:val="000000"/>
          <w:sz w:val="18"/>
        </w:rPr>
        <w:t>(“ASC 820”). As of March 31, 2024, the holdback liability was recorded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 xml:space="preserve">on the Company’s Condensed Consolidated Balance Sheets as the liability was fulfilled within twelve months of the balance sheet date, as further discussed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color w:val="000000"/>
          <w:sz w:val="18"/>
        </w:rPr>
        <w:t>The Company recorded $0.2 million and $0.8 million during the three months ended March 31, 2024 and 2023, respectively, to reflect the change in the fair value of the holdback liability, recorded within “</w:t>
      </w:r>
      <w:r>
        <w:rPr>
          <w:rFonts w:ascii="Times New Roman;sans-serif" w:hAnsi="Times New Roman;sans-serif"/>
          <w:b w:val="false"/>
          <w:i/>
          <w:color w:val="000000"/>
          <w:sz w:val="18"/>
        </w:rPr>
        <w:t>General and Administrative Expenses</w:t>
      </w:r>
      <w:r>
        <w:rPr>
          <w:color w:val="000000"/>
        </w:rPr>
        <w:t xml:space="preserve"> ” </w:t>
      </w:r>
      <w:r>
        <w:rPr>
          <w:rFonts w:ascii="Times New Roman;sans-serif" w:hAnsi="Times New Roman;sans-serif"/>
          <w:b w:val="false"/>
          <w:color w:val="000000"/>
          <w:sz w:val="18"/>
        </w:rPr>
        <w:t>within the Condensed Consolidated Statements of Operations. As of March 31, 2024, the fair value of the holdback liability was $13.2 million, of which $10.4 million was set to be paid in cash with the remainder in equity, as further discussed below.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holdback of cash and equity consideration discussed above was paid by the Company subsequent to the balance sheet date in April 2024, adjusted for immaterial post-closing net purchase price adjustments identified during the period. These proceeds were inclusive of $10.3 million in cash and 131,507 shares of Company common stock and restricted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pPr>
      <w:r>
        <w:rPr>
          <w:rFonts w:ascii="Times New Roman;sans-serif" w:hAnsi="Times New Roman;sans-serif"/>
          <w:b/>
          <w:color w:val="000000"/>
          <w:sz w:val="18"/>
        </w:rPr>
        <w:t>Fair Value of Assets Acquired and Liabilities Assumed</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The fair values of intangible assets were estimated using inputs classified as Level 3 under the income and cost approaches, including the multi-period excess earnings method for developed technology. The key assumptions in applying the income approach used in valuing the identified intangible assets include revenue growth rates for a hypothetical market participant, selected discount rates, as well as migration curves for developed technology. The following table summarizes the allocation of the purchase consideration to the assets acquired and liabilities assumed based on their acquisition-date fair values:</w:t>
      </w:r>
    </w:p>
    <w:tbl>
      <w:tblPr>
        <w:tblW w:w="5264" w:type="dxa"/>
        <w:jc w:val="left"/>
        <w:tblInd w:w="0" w:type="dxa"/>
        <w:tblLayout w:type="fixed"/>
        <w:tblCellMar>
          <w:top w:w="28" w:type="dxa"/>
          <w:left w:w="28" w:type="dxa"/>
          <w:bottom w:w="28" w:type="dxa"/>
          <w:right w:w="28" w:type="dxa"/>
        </w:tblCellMar>
      </w:tblPr>
      <w:tblGrid>
        <w:gridCol w:w="1130"/>
        <w:gridCol w:w="994"/>
        <w:gridCol w:w="996"/>
        <w:gridCol w:w="315"/>
        <w:gridCol w:w="1039"/>
        <w:gridCol w:w="790"/>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Purchase Price Allocation </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15,465 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 net</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Advance for future deposits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assumed indebtedness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(16,234)</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790"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 transferred</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77,914 </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the valuation of assets acquired and liabilities assumed of Rewire was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deductible for income tax purposes. The acquisition did not change the Company’s one operating segment.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Acquired Receivables</w:t>
      </w:r>
    </w:p>
    <w:p>
      <w:pPr>
        <w:pStyle w:val="TextBody"/>
        <w:bidi w:val="0"/>
        <w:spacing w:lineRule="auto" w:line="288" w:before="0" w:after="180"/>
        <w:jc w:val="left"/>
        <w:rPr/>
      </w:pPr>
      <w:r>
        <w:rPr>
          <w:rFonts w:ascii="Times New Roman;sans-serif" w:hAnsi="Times New Roman;sans-serif"/>
          <w:b w:val="false"/>
          <w:color w:val="000000"/>
          <w:sz w:val="18"/>
        </w:rPr>
        <w:t>The fair value of the financial assets acquired include ‘</w:t>
      </w:r>
      <w:r>
        <w:rPr>
          <w:rFonts w:ascii="Times New Roman;sans-serif" w:hAnsi="Times New Roman;sans-serif"/>
          <w:b w:val="false"/>
          <w:i/>
          <w:color w:val="000000"/>
          <w:sz w:val="18"/>
        </w:rPr>
        <w:t>Disbursement prefunding’</w:t>
      </w:r>
      <w:r>
        <w:rPr>
          <w:color w:val="000000"/>
        </w:rPr>
        <w:t xml:space="preserve"> </w:t>
      </w:r>
      <w:r>
        <w:rPr>
          <w:rFonts w:ascii="Times New Roman;sans-serif" w:hAnsi="Times New Roman;sans-serif"/>
          <w:b w:val="false"/>
          <w:color w:val="000000"/>
          <w:sz w:val="18"/>
        </w:rPr>
        <w:t>and ‘</w:t>
      </w:r>
      <w:r>
        <w:rPr>
          <w:rFonts w:ascii="Times New Roman;sans-serif" w:hAnsi="Times New Roman;sans-serif"/>
          <w:b w:val="false"/>
          <w:i/>
          <w:color w:val="000000"/>
          <w:sz w:val="18"/>
        </w:rPr>
        <w:t>Customer funds receivable, ne</w:t>
      </w:r>
      <w:r>
        <w:rPr>
          <w:rFonts w:ascii="Times New Roman;sans-serif" w:hAnsi="Times New Roman;sans-serif"/>
          <w:b w:val="false"/>
          <w:color w:val="000000"/>
          <w:sz w:val="18"/>
        </w:rPr>
        <w:t>t,’ with a fair value of $6.0 million and $3.4 million, respectively, as disclosed above. The Company has collected substantially all of these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Transaction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 totaled $0.2 million and $1.2 million for the three months ended March 31, 2024 and 2023, respectively, which included $0.2 million and $0.8 million, respectively, for the change in the fair value of the holdback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Other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results of operations of Rewire are included within the accompanying Condensed Consolidated Statements of Operations and Comprehensive Loss since the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1005"/>
                <wp:effectExtent l="0" t="0" r="0" b="0"/>
                <wp:wrapNone/>
                <wp:docPr id="15" name="Frame1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7.    Intangible Assets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components of identifiable intangible assets as of March 31, 2024 and December 31, 2023 were as follows:</w:t>
      </w:r>
    </w:p>
    <w:tbl>
      <w:tblPr>
        <w:tblW w:w="10284" w:type="dxa"/>
        <w:jc w:val="left"/>
        <w:tblInd w:w="0" w:type="dxa"/>
        <w:tblLayout w:type="fixed"/>
        <w:tblCellMar>
          <w:top w:w="28" w:type="dxa"/>
          <w:left w:w="28" w:type="dxa"/>
          <w:bottom w:w="28" w:type="dxa"/>
          <w:right w:w="28" w:type="dxa"/>
        </w:tblCellMar>
      </w:tblPr>
      <w:tblGrid>
        <w:gridCol w:w="352"/>
        <w:gridCol w:w="298"/>
        <w:gridCol w:w="236"/>
        <w:gridCol w:w="181"/>
        <w:gridCol w:w="541"/>
        <w:gridCol w:w="109"/>
        <w:gridCol w:w="109"/>
        <w:gridCol w:w="109"/>
        <w:gridCol w:w="109"/>
        <w:gridCol w:w="109"/>
        <w:gridCol w:w="109"/>
        <w:gridCol w:w="211"/>
        <w:gridCol w:w="562"/>
        <w:gridCol w:w="128"/>
        <w:gridCol w:w="109"/>
        <w:gridCol w:w="109"/>
        <w:gridCol w:w="109"/>
        <w:gridCol w:w="181"/>
        <w:gridCol w:w="541"/>
        <w:gridCol w:w="109"/>
        <w:gridCol w:w="109"/>
        <w:gridCol w:w="109"/>
        <w:gridCol w:w="109"/>
        <w:gridCol w:w="250"/>
        <w:gridCol w:w="250"/>
        <w:gridCol w:w="251"/>
        <w:gridCol w:w="109"/>
        <w:gridCol w:w="109"/>
        <w:gridCol w:w="109"/>
        <w:gridCol w:w="181"/>
        <w:gridCol w:w="541"/>
        <w:gridCol w:w="109"/>
        <w:gridCol w:w="109"/>
        <w:gridCol w:w="109"/>
        <w:gridCol w:w="109"/>
        <w:gridCol w:w="211"/>
        <w:gridCol w:w="562"/>
        <w:gridCol w:w="128"/>
        <w:gridCol w:w="109"/>
        <w:gridCol w:w="109"/>
        <w:gridCol w:w="109"/>
        <w:gridCol w:w="181"/>
        <w:gridCol w:w="541"/>
        <w:gridCol w:w="109"/>
        <w:gridCol w:w="109"/>
        <w:gridCol w:w="109"/>
        <w:gridCol w:w="109"/>
        <w:gridCol w:w="250"/>
        <w:gridCol w:w="250"/>
        <w:gridCol w:w="251"/>
        <w:gridCol w:w="109"/>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Weighted Average Estimated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Weighted Average Estimated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 name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Customer relationships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Developed technology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(6,073)</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acquired identified intangible assets have estimated useful lives ranging from three to five years. Amortization expense for intangible assets was $1.2 million for both the three months ended March 31,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Expected future intangible asset amortization as of March 31, 2024 was as follows:</w:t>
      </w:r>
    </w:p>
    <w:tbl>
      <w:tblPr>
        <w:tblW w:w="2481" w:type="dxa"/>
        <w:jc w:val="left"/>
        <w:tblInd w:w="0" w:type="dxa"/>
        <w:tblLayout w:type="fixed"/>
        <w:tblCellMar>
          <w:top w:w="28" w:type="dxa"/>
          <w:left w:w="28" w:type="dxa"/>
          <w:bottom w:w="28" w:type="dxa"/>
          <w:right w:w="28" w:type="dxa"/>
        </w:tblCellMar>
      </w:tblPr>
      <w:tblGrid>
        <w:gridCol w:w="538"/>
        <w:gridCol w:w="473"/>
        <w:gridCol w:w="474"/>
        <w:gridCol w:w="196"/>
        <w:gridCol w:w="64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8.    Fair Value Measurements</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Except for the holdback liability related to the Rewire acquisition discussed in Note 6. </w:t>
      </w:r>
      <w:r>
        <w:rPr>
          <w:rFonts w:ascii="Times New Roman;sans-serif" w:hAnsi="Times New Roman;sans-serif"/>
          <w:b w:val="false"/>
          <w:i/>
          <w:color w:val="000000"/>
          <w:sz w:val="18"/>
          <w:shd w:fill="FFFFFF" w:val="clear"/>
        </w:rPr>
        <w:t>Business Combinations</w:t>
      </w:r>
      <w:r>
        <w:rPr>
          <w:rFonts w:ascii="Times New Roman;sans-serif" w:hAnsi="Times New Roman;sans-serif"/>
          <w:b w:val="false"/>
          <w:color w:val="000000"/>
          <w:sz w:val="18"/>
          <w:shd w:fill="FFFFFF" w:val="clear"/>
        </w:rPr>
        <w:t>, there were no financial assets and liabilities that were measured at f</w:t>
      </w:r>
      <w:r>
        <w:rPr>
          <w:rFonts w:ascii="Times New Roman;sans-serif" w:hAnsi="Times New Roman;sans-serif"/>
          <w:b w:val="false"/>
          <w:color w:val="000000"/>
          <w:sz w:val="18"/>
        </w:rPr>
        <w:t xml:space="preserve">air value on a recurring basis as of March 31, 2024 and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9.    Debt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Secured Revolving Credit Facility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2021 Revolving Credit Facility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that provided for revolving commitments of $250.0 million (including a $60.0 million letter of credit sub-facility) and terminated its then-existing 2020 Credit Agreement. </w:t>
      </w:r>
    </w:p>
    <w:p>
      <w:pPr>
        <w:pStyle w:val="TextBody"/>
        <w:bidi w:val="0"/>
        <w:spacing w:lineRule="auto" w:line="288" w:before="0" w:after="180"/>
        <w:jc w:val="left"/>
        <w:rPr/>
      </w:pPr>
      <w:r>
        <w:rPr>
          <w:rFonts w:ascii="Times New Roman;sans-serif" w:hAnsi="Times New Roman;sans-serif"/>
          <w:b w:val="false"/>
          <w:color w:val="000000"/>
          <w:sz w:val="18"/>
        </w:rPr>
        <w:t>The 2021 Revolving Credit Facility was amended on June 26, 2023 to reflect changes in the applicable interest rate as a result of the sunsetting of the LIBOR interest rate, as noted below. The 2021 Revolving Credit Facility was further amended o</w:t>
      </w:r>
      <w:r>
        <w:rPr>
          <w:rFonts w:ascii="Times New Roman;sans-serif" w:hAnsi="Times New Roman;sans-serif"/>
          <w:b w:val="false"/>
          <w:color w:val="000000"/>
          <w:sz w:val="18"/>
          <w:shd w:fill="FFFFFF" w:val="clear"/>
        </w:rPr>
        <w:t xml:space="preserve">n December 20, 2023 to increase the revolving commitments from </w:t>
      </w:r>
      <w:r>
        <w:rPr>
          <w:rFonts w:ascii="Times New Roman;sans-serif" w:hAnsi="Times New Roman;sans-serif"/>
          <w:b w:val="false"/>
          <w:color w:val="000000"/>
          <w:sz w:val="18"/>
        </w:rPr>
        <w:t>$250.0 million</w:t>
      </w:r>
      <w:r>
        <w:rPr>
          <w:color w:val="000000"/>
          <w:shd w:fill="FFFFFF" w:val="clear"/>
        </w:rPr>
        <w:t xml:space="preserve"> </w:t>
      </w:r>
      <w:r>
        <w:rPr>
          <w:rFonts w:ascii="Times New Roman;sans-serif" w:hAnsi="Times New Roman;sans-serif"/>
          <w:b w:val="false"/>
          <w:color w:val="000000"/>
          <w:sz w:val="18"/>
          <w:shd w:fill="FFFFFF" w:val="clear"/>
        </w:rPr>
        <w:t xml:space="preserve">(including a </w:t>
      </w:r>
      <w:r>
        <w:rPr>
          <w:rFonts w:ascii="Times New Roman;sans-serif" w:hAnsi="Times New Roman;sans-serif"/>
          <w:b w:val="false"/>
          <w:color w:val="000000"/>
          <w:sz w:val="18"/>
        </w:rPr>
        <w:t>$60.0 million</w:t>
      </w:r>
      <w:r>
        <w:rPr>
          <w:color w:val="000000"/>
          <w:shd w:fill="FFFFFF" w:val="clear"/>
        </w:rPr>
        <w:t xml:space="preserve"> </w:t>
      </w:r>
      <w:r>
        <w:rPr>
          <w:rFonts w:ascii="Times New Roman;sans-serif" w:hAnsi="Times New Roman;sans-serif"/>
          <w:b w:val="false"/>
          <w:color w:val="000000"/>
          <w:sz w:val="18"/>
          <w:shd w:fill="FFFFFF" w:val="clear"/>
        </w:rPr>
        <w:t xml:space="preserve">letter of credit sub-facility) to </w:t>
      </w:r>
      <w:r>
        <w:rPr>
          <w:rFonts w:ascii="Times New Roman;sans-serif" w:hAnsi="Times New Roman;sans-serif"/>
          <w:b w:val="false"/>
          <w:color w:val="000000"/>
          <w:sz w:val="18"/>
        </w:rPr>
        <w:t>$325.0 million</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 xml:space="preserve">All other terms of the 2021 Revolving Credit Facility remained unchanged. </w:t>
      </w:r>
    </w:p>
    <w:p>
      <w:pPr>
        <w:pStyle w:val="TextBody"/>
        <w:bidi w:val="0"/>
        <w:spacing w:lineRule="auto" w:line="288" w:before="0" w:after="180"/>
        <w:jc w:val="left"/>
        <w:rPr/>
      </w:pPr>
      <w:r>
        <w:rPr>
          <w:rFonts w:ascii="Times New Roman;sans-serif" w:hAnsi="Times New Roman;sans-serif"/>
          <w:b w:val="false"/>
          <w:color w:val="000000"/>
          <w:sz w:val="18"/>
        </w:rPr>
        <w:t>As of March 31, 2024 and December 31, 2023, $1.1 million and $1.2 million, respectively, of unamortized debt issuance costs were included within ‘</w:t>
      </w:r>
      <w:r>
        <w:rPr>
          <w:rFonts w:ascii="Times New Roman;sans-serif" w:hAnsi="Times New Roman;sans-serif"/>
          <w:b w:val="false"/>
          <w:i/>
          <w:color w:val="000000"/>
          <w:sz w:val="18"/>
        </w:rPr>
        <w:t>Other noncurrent assets</w:t>
      </w:r>
      <w:r>
        <w:rPr>
          <w:color w:val="000000"/>
        </w:rPr>
        <w:t xml:space="preserve">’ </w:t>
      </w:r>
      <w:r>
        <w:rPr>
          <w:rFonts w:ascii="Times New Roman;sans-serif" w:hAnsi="Times New Roman;sans-serif"/>
          <w:b w:val="false"/>
          <w:color w:val="000000"/>
          <w:sz w:val="18"/>
        </w:rPr>
        <w:t>on the Condensed Consolidated Balance Sheets.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2021 Revolving Credit Facility has a maturity date of September 13, 2026. Borrowings under the 2021 Revolving Credit Facility after the June 26, 2023 amendment accrue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Such interest is payable (a) 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pPr>
      <w:r>
        <w:rPr>
          <w:rFonts w:ascii="Times New Roman;sans-serif" w:hAnsi="Times New Roman;sans-serif"/>
          <w:b w:val="false"/>
          <w:color w:val="000000"/>
          <w:sz w:val="18"/>
        </w:rPr>
        <w:t xml:space="preserve">The 2021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March 31, 2024 and December 31, 2023, financial covenants in the 2021 Revolving Credit Facility include (1) a requirement to maintain a minimum Adjusted Quick Ratio of 1.50:1.00, which is tested quarterly and (2) a requirement to maintain a minimum Liquidity of $100.0 million, which is tested quarterly. </w:t>
      </w:r>
      <w:r>
        <w:rPr>
          <w:rFonts w:ascii="Times New Roman;sans-serif" w:hAnsi="Times New Roman;sans-serif"/>
          <w:b w:val="false"/>
          <w:color w:val="000000"/>
          <w:sz w:val="18"/>
          <w:shd w:fill="FFFFFF" w:val="clear"/>
        </w:rPr>
        <w:t xml:space="preserve">The Company was in compliance with all financial covenants under the 2021 Revolving Credit Facility as of </w:t>
      </w:r>
      <w:r>
        <w:rPr>
          <w:rFonts w:ascii="Times New Roman;sans-serif" w:hAnsi="Times New Roman;sans-serif"/>
          <w:b w:val="false"/>
          <w:color w:val="000000"/>
          <w:sz w:val="18"/>
        </w:rPr>
        <w:t xml:space="preserve">March 31, 2024 and </w:t>
      </w:r>
      <w:r>
        <w:rPr>
          <w:rFonts w:ascii="Times New Roman;sans-serif" w:hAnsi="Times New Roman;sans-serif"/>
          <w:b w:val="false"/>
          <w:color w:val="000000"/>
          <w:sz w:val="18"/>
          <w:shd w:fill="FFFFFF" w:val="clear"/>
        </w:rPr>
        <w:t xml:space="preserve">December 31, </w:t>
      </w:r>
      <w:r>
        <w:rPr>
          <w:rFonts w:ascii="Times New Roman;sans-serif" w:hAnsi="Times New Roman;sans-serif"/>
          <w:b w:val="false"/>
          <w:color w:val="000000"/>
          <w:sz w:val="18"/>
        </w:rPr>
        <w:t>2023</w:t>
      </w:r>
      <w:r>
        <w:rPr>
          <w:rFonts w:ascii="Times New Roman;sans-serif" w:hAnsi="Times New Roman;sans-serif"/>
          <w:b w:val="false"/>
          <w:color w:val="000000"/>
          <w:sz w:val="18"/>
          <w:shd w:fill="FFFFFF" w:val="clear"/>
        </w:rPr>
        <w:t>.</w:t>
      </w:r>
    </w:p>
    <w:p>
      <w:pPr>
        <w:pStyle w:val="TextBody"/>
        <w:bidi w:val="0"/>
        <w:spacing w:lineRule="auto" w:line="288" w:before="0" w:after="180"/>
        <w:jc w:val="left"/>
        <w:rPr/>
      </w:pPr>
      <w:r>
        <w:rPr>
          <w:rFonts w:ascii="Times New Roman;sans-serif" w:hAnsi="Times New Roman;sans-serif"/>
          <w:b w:val="false"/>
          <w:color w:val="000000"/>
          <w:sz w:val="18"/>
        </w:rPr>
        <w:t>The obligations under the 2021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2021 Revolving Credit Facility may fluctuate depending upon transaction volumes and seasonality.</w:t>
      </w:r>
      <w:r>
        <w:rPr>
          <w:color w:val="000000"/>
          <w:shd w:fill="FFFFFF" w:val="clear"/>
        </w:rPr>
        <w:t xml:space="preserve"> </w:t>
      </w:r>
    </w:p>
    <w:p>
      <w:pPr>
        <w:pStyle w:val="TextBody"/>
        <w:bidi w:val="0"/>
        <w:spacing w:lineRule="auto" w:line="288" w:before="0" w:after="180"/>
        <w:jc w:val="left"/>
        <w:rPr/>
      </w:pPr>
      <w:r>
        <w:rPr>
          <w:rFonts w:ascii="Times New Roman;sans-serif" w:hAnsi="Times New Roman;sans-serif"/>
          <w:b w:val="false"/>
          <w:color w:val="000000"/>
          <w:sz w:val="18"/>
        </w:rPr>
        <w:t>As of March 31, 2024 and December 31, 2023, the Company had $150.0 million and $130.0 million outstanding, respectively, under the 2021 Revolving Credit Facility. As of both March 31, 2024 and December 31, 2023, the weighted-average interest rate was 9.0%. As of March 31, 2024 and December 31, 2023, the Company had unused borrowing capacity o</w:t>
      </w:r>
      <w:r>
        <w:rPr>
          <w:rFonts w:ascii="Times New Roman;sans-serif" w:hAnsi="Times New Roman;sans-serif"/>
          <w:b w:val="false"/>
          <w:color w:val="000000"/>
          <w:sz w:val="18"/>
          <w:shd w:fill="FFFFFF" w:val="clear"/>
        </w:rPr>
        <w:t xml:space="preserve">f </w:t>
      </w:r>
      <w:r>
        <w:rPr>
          <w:rFonts w:ascii="Times New Roman;sans-serif" w:hAnsi="Times New Roman;sans-serif"/>
          <w:b w:val="false"/>
          <w:color w:val="000000"/>
          <w:sz w:val="18"/>
        </w:rPr>
        <w:t>$126.9 million and $146.8 million, respectively, under the 2021 Revolving Credit Facility. As of March 31, 2024 and December 31, 2023, the Company had $50.3 million and $49.4 million, respectively, in issued, but undrawn, standby letters of credit.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Advance for Future Deposits</w:t>
      </w:r>
    </w:p>
    <w:p>
      <w:pPr>
        <w:pStyle w:val="TextBody"/>
        <w:bidi w:val="0"/>
        <w:spacing w:lineRule="auto" w:line="288" w:before="0" w:after="180"/>
        <w:jc w:val="left"/>
        <w:rPr/>
      </w:pPr>
      <w:r>
        <w:rPr>
          <w:rFonts w:ascii="Times New Roman;sans-serif" w:hAnsi="Times New Roman;sans-serif"/>
          <w:b w:val="false"/>
          <w:color w:val="000000"/>
          <w:sz w:val="18"/>
        </w:rPr>
        <w:t>As part of the acquisition of Rewire, the Company assumed short-term indebtedness of Rewire that represents an advance for future deposits from Rewire’s amended agreement with one of its financial partners (the “Amendment” and the “Depositor,” respectively) entered into in October 2021. The Amendment has a maturity date of November 2024. The Depositor made an advance payment to Rewire with respect to future deposits (the “Advance for Future Deposits”). The original amount of 9.0 million Israeli shekel, approximately $2.8 million, was transferred as an advance under the Amendment. As of March 31, 2024 and December 31, 2023, the Company had $2.4 million and $2.5 million outstanding under the Amendment, respectively, and was included within ‘</w:t>
      </w:r>
      <w:r>
        <w:rPr>
          <w:rFonts w:ascii="Times New Roman;sans-serif" w:hAnsi="Times New Roman;sans-serif"/>
          <w:b w:val="false"/>
          <w:i/>
          <w:color w:val="000000"/>
          <w:sz w:val="18"/>
        </w:rPr>
        <w:t>Short-term debt</w:t>
      </w:r>
      <w:r>
        <w:rPr>
          <w:color w:val="000000"/>
        </w:rPr>
        <w:t xml:space="preserve">’ </w:t>
      </w:r>
      <w:r>
        <w:rPr>
          <w:rFonts w:ascii="Times New Roman;sans-serif" w:hAnsi="Times New Roman;sans-serif"/>
          <w:b w:val="false"/>
          <w:color w:val="000000"/>
          <w:sz w:val="18"/>
        </w:rPr>
        <w:t>on the Condensed Consolidated Balance Sheets. The change in the outstanding balance is driven by the change in the foreign exchange conversion rate. The Advance for Future Deposits bears a floating interest rate of 1.4%+ Israeli Prime per annum, paid on a monthly basis. The Israeli Prime rate is defined as the Bank of Israel rate + 1.5%. As of both March 31, 2024 and December 31, 2023, the weighted-average interest rate was</w:t>
      </w:r>
      <w:r>
        <w:rPr>
          <w:color w:val="000000"/>
          <w:shd w:fill="FFFFFF" w:val="clear"/>
        </w:rPr>
        <w:t xml:space="preserve"> </w:t>
      </w:r>
      <w:r>
        <w:rPr>
          <w:rFonts w:ascii="Times New Roman;sans-serif" w:hAnsi="Times New Roman;sans-serif"/>
          <w:b w:val="false"/>
          <w:color w:val="000000"/>
          <w:sz w:val="18"/>
        </w:rPr>
        <w:t>3.0%.</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Assumed Short-term Debt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part of the acquisition of Rewire, the Company assumed the amounts due on a revolving credit line that Rewire had entered into in 2021 and the amounts due on a bridge loan that Rewire had entered into in 2022. The total outstanding amounts were repaid during the three months ended March 31, 2023, along with certain other acquired indebtedness, subsequent to the Company’s acquisition of Rewire and were included within the Condensed Consolidated Statements of Cash Flows as a financing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18"/>
          <w:shd w:fill="FFFFFF" w:val="clear"/>
        </w:rPr>
        <w:t>10.    </w:t>
      </w:r>
      <w:r>
        <w:rPr>
          <w:rFonts w:ascii="Times New Roman;sans-serif" w:hAnsi="Times New Roman;sans-serif"/>
          <w:b/>
          <w:color w:val="000000"/>
          <w:sz w:val="18"/>
        </w:rPr>
        <w:t>Net Loss Per Common Share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tbl>
      <w:tblPr>
        <w:tblW w:w="10205" w:type="dxa"/>
        <w:jc w:val="left"/>
        <w:tblInd w:w="0" w:type="dxa"/>
        <w:tblLayout w:type="fixed"/>
        <w:tblCellMar>
          <w:top w:w="28" w:type="dxa"/>
          <w:left w:w="28" w:type="dxa"/>
          <w:bottom w:w="28" w:type="dxa"/>
          <w:right w:w="28" w:type="dxa"/>
        </w:tblCellMar>
      </w:tblPr>
      <w:tblGrid>
        <w:gridCol w:w="2469"/>
        <w:gridCol w:w="2138"/>
        <w:gridCol w:w="2154"/>
        <w:gridCol w:w="212"/>
        <w:gridCol w:w="775"/>
        <w:gridCol w:w="117"/>
        <w:gridCol w:w="117"/>
        <w:gridCol w:w="117"/>
        <w:gridCol w:w="117"/>
        <w:gridCol w:w="240"/>
        <w:gridCol w:w="811"/>
        <w:gridCol w:w="117"/>
        <w:gridCol w:w="109"/>
        <w:gridCol w:w="109"/>
        <w:gridCol w:w="109"/>
        <w:gridCol w:w="494"/>
      </w:tblGrid>
      <w:tr>
        <w:trPr/>
        <w:tc>
          <w:tcPr>
            <w:tcW w:w="246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603" w:type="dxa"/>
            <w:gridSpan w:val="2"/>
            <w:tcBorders/>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189,848,799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175,113,904 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potentially dilutive securities were excluded from the computation of diluted net loss per share calculations for the periods presented because the impact of including them would have been anti-dilutive:</w:t>
      </w:r>
    </w:p>
    <w:tbl>
      <w:tblPr>
        <w:tblW w:w="10205" w:type="dxa"/>
        <w:jc w:val="left"/>
        <w:tblInd w:w="0" w:type="dxa"/>
        <w:tblLayout w:type="fixed"/>
        <w:tblCellMar>
          <w:top w:w="28" w:type="dxa"/>
          <w:left w:w="28" w:type="dxa"/>
          <w:bottom w:w="28" w:type="dxa"/>
          <w:right w:w="28" w:type="dxa"/>
        </w:tblCellMar>
      </w:tblPr>
      <w:tblGrid>
        <w:gridCol w:w="2645"/>
        <w:gridCol w:w="2320"/>
        <w:gridCol w:w="2334"/>
        <w:gridCol w:w="479"/>
        <w:gridCol w:w="482"/>
        <w:gridCol w:w="156"/>
        <w:gridCol w:w="109"/>
        <w:gridCol w:w="109"/>
        <w:gridCol w:w="109"/>
        <w:gridCol w:w="480"/>
        <w:gridCol w:w="481"/>
        <w:gridCol w:w="501"/>
      </w:tblGrid>
      <w:tr>
        <w:trPr/>
        <w:tc>
          <w:tcPr>
            <w:tcW w:w="264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9,907,408 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14,074,783 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outstanding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21,924,785 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23,910,861 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1,175,687 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subject to repurchase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61,683 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Unvested common stock, subject to service-based vesting conditions, issued in connection with acquisition</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104,080 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Equity issuable in connection with acquisition</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133,309 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33,215,837 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39,460,403 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180"/>
        <w:ind w:left="0" w:right="0" w:hanging="3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Refer to Note 6.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 xml:space="preserve">for further discussion of equity issued or to be issued in connection with the Rewire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11.    Common Stock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three months ended March 31, 2024 and March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12.    Stock-Based Compensation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Shares Available for Issuance</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As of </w:t>
      </w:r>
      <w:r>
        <w:rPr>
          <w:rFonts w:ascii="Times New Roman;sans-serif" w:hAnsi="Times New Roman;sans-serif"/>
          <w:b w:val="false"/>
          <w:color w:val="000000"/>
          <w:sz w:val="18"/>
        </w:rPr>
        <w:t>March 31, 2024</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19,332,356</w:t>
      </w:r>
      <w:r>
        <w:rPr>
          <w:color w:val="000000"/>
          <w:shd w:fill="FFFFFF" w:val="clear"/>
        </w:rPr>
        <w:t xml:space="preserve"> </w:t>
      </w:r>
      <w:r>
        <w:rPr>
          <w:rFonts w:ascii="Times New Roman;sans-serif" w:hAnsi="Times New Roman;sans-serif"/>
          <w:b w:val="false"/>
          <w:color w:val="000000"/>
          <w:sz w:val="18"/>
          <w:shd w:fill="FFFFFF" w:val="clear"/>
        </w:rPr>
        <w:t xml:space="preserve">and </w:t>
      </w:r>
      <w:r>
        <w:rPr>
          <w:rFonts w:ascii="Times New Roman;sans-serif" w:hAnsi="Times New Roman;sans-serif"/>
          <w:b w:val="false"/>
          <w:color w:val="000000"/>
          <w:sz w:val="18"/>
        </w:rPr>
        <w:t>7,308,767</w:t>
      </w:r>
      <w:r>
        <w:rPr>
          <w:color w:val="000000"/>
          <w:shd w:fill="FFFFFF" w:val="clear"/>
        </w:rPr>
        <w:t xml:space="preserve"> </w:t>
      </w:r>
      <w:r>
        <w:rPr>
          <w:rFonts w:ascii="Times New Roman;sans-serif" w:hAnsi="Times New Roman;sans-serif"/>
          <w:b w:val="false"/>
          <w:color w:val="000000"/>
          <w:sz w:val="18"/>
          <w:shd w:fill="FFFFFF" w:val="clear"/>
        </w:rPr>
        <w:t>awards remain available for issuance under the 2021 Plan and the ESPP, respectively.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 Options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three months ended March 31, 2024:</w:t>
      </w:r>
    </w:p>
    <w:tbl>
      <w:tblPr>
        <w:tblW w:w="10205" w:type="dxa"/>
        <w:jc w:val="left"/>
        <w:tblInd w:w="0" w:type="dxa"/>
        <w:tblLayout w:type="fixed"/>
        <w:tblCellMar>
          <w:top w:w="28" w:type="dxa"/>
          <w:left w:w="28" w:type="dxa"/>
          <w:bottom w:w="28" w:type="dxa"/>
          <w:right w:w="28" w:type="dxa"/>
        </w:tblCellMar>
      </w:tblPr>
      <w:tblGrid>
        <w:gridCol w:w="682"/>
        <w:gridCol w:w="582"/>
        <w:gridCol w:w="586"/>
        <w:gridCol w:w="690"/>
        <w:gridCol w:w="500"/>
        <w:gridCol w:w="501"/>
        <w:gridCol w:w="109"/>
        <w:gridCol w:w="109"/>
        <w:gridCol w:w="109"/>
        <w:gridCol w:w="466"/>
        <w:gridCol w:w="1110"/>
        <w:gridCol w:w="261"/>
        <w:gridCol w:w="109"/>
        <w:gridCol w:w="109"/>
        <w:gridCol w:w="109"/>
        <w:gridCol w:w="796"/>
        <w:gridCol w:w="796"/>
        <w:gridCol w:w="798"/>
        <w:gridCol w:w="109"/>
        <w:gridCol w:w="109"/>
        <w:gridCol w:w="109"/>
        <w:gridCol w:w="261"/>
        <w:gridCol w:w="983"/>
        <w:gridCol w:w="212"/>
      </w:tblGrid>
      <w:tr>
        <w:trPr/>
        <w:tc>
          <w:tcPr>
            <w:tcW w:w="6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Aggregate Intrinsic Value</w:t>
            </w:r>
            <w:r>
              <w:rPr>
                <w:rFonts w:ascii="Times New Roman;sans-serif" w:hAnsi="Times New Roman;sans-serif"/>
                <w:b/>
                <w:color w:val="000000"/>
                <w:sz w:val="10"/>
              </w:rPr>
              <w:t>(1)</w:t>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January 1, 2024</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10,801,396 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161,603 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(819,904)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(74,084)</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2024</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9,907,408 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160,301 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as of March 31, 2024</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8,193,954 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142,117 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March 31, 2024</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9,863,138 </w:t>
            </w:r>
          </w:p>
        </w:tc>
        <w:tc>
          <w:tcPr>
            <w:tcW w:w="5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The aggregate intrinsic value is calculated as the difference between the exercise price of the underlying stock options and the estimated fair value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 stock options were granted during the three months ended March 31, 2024 and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three months ended March 31, 2024 and 2023:</w:t>
      </w:r>
    </w:p>
    <w:tbl>
      <w:tblPr>
        <w:tblW w:w="6191" w:type="dxa"/>
        <w:jc w:val="left"/>
        <w:tblInd w:w="0" w:type="dxa"/>
        <w:tblLayout w:type="fixed"/>
        <w:tblCellMar>
          <w:top w:w="28" w:type="dxa"/>
          <w:left w:w="28" w:type="dxa"/>
          <w:bottom w:w="28" w:type="dxa"/>
          <w:right w:w="28" w:type="dxa"/>
        </w:tblCellMar>
      </w:tblPr>
      <w:tblGrid>
        <w:gridCol w:w="1293"/>
        <w:gridCol w:w="1137"/>
        <w:gridCol w:w="1140"/>
        <w:gridCol w:w="245"/>
        <w:gridCol w:w="697"/>
        <w:gridCol w:w="136"/>
        <w:gridCol w:w="136"/>
        <w:gridCol w:w="136"/>
        <w:gridCol w:w="136"/>
        <w:gridCol w:w="245"/>
        <w:gridCol w:w="697"/>
        <w:gridCol w:w="193"/>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options vested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Intrinsic value of options exercised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Restricted Stock Units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activity during the three months ended March 31, 2024 was as follows:</w:t>
      </w:r>
    </w:p>
    <w:tbl>
      <w:tblPr>
        <w:tblW w:w="7909" w:type="dxa"/>
        <w:jc w:val="left"/>
        <w:tblInd w:w="0" w:type="dxa"/>
        <w:tblLayout w:type="fixed"/>
        <w:tblCellMar>
          <w:top w:w="28" w:type="dxa"/>
          <w:left w:w="28" w:type="dxa"/>
          <w:bottom w:w="28" w:type="dxa"/>
          <w:right w:w="28" w:type="dxa"/>
        </w:tblCellMar>
      </w:tblPr>
      <w:tblGrid>
        <w:gridCol w:w="776"/>
        <w:gridCol w:w="682"/>
        <w:gridCol w:w="687"/>
        <w:gridCol w:w="480"/>
        <w:gridCol w:w="481"/>
        <w:gridCol w:w="471"/>
        <w:gridCol w:w="109"/>
        <w:gridCol w:w="109"/>
        <w:gridCol w:w="109"/>
        <w:gridCol w:w="864"/>
        <w:gridCol w:w="2457"/>
        <w:gridCol w:w="68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 Per Share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January 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23,555,665 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1,870,851 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(2,680,581)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(821,150)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March 31,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21,924,785 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restricted stock unit activity during the three months ended March 31, 2024 and 2023:</w:t>
      </w:r>
    </w:p>
    <w:tbl>
      <w:tblPr>
        <w:tblW w:w="6701" w:type="dxa"/>
        <w:jc w:val="left"/>
        <w:tblInd w:w="0" w:type="dxa"/>
        <w:tblLayout w:type="fixed"/>
        <w:tblCellMar>
          <w:top w:w="28" w:type="dxa"/>
          <w:left w:w="28" w:type="dxa"/>
          <w:bottom w:w="28" w:type="dxa"/>
          <w:right w:w="28" w:type="dxa"/>
        </w:tblCellMar>
      </w:tblPr>
      <w:tblGrid>
        <w:gridCol w:w="1476"/>
        <w:gridCol w:w="1297"/>
        <w:gridCol w:w="1307"/>
        <w:gridCol w:w="245"/>
        <w:gridCol w:w="697"/>
        <w:gridCol w:w="136"/>
        <w:gridCol w:w="136"/>
        <w:gridCol w:w="136"/>
        <w:gridCol w:w="136"/>
        <w:gridCol w:w="245"/>
        <w:gridCol w:w="697"/>
        <w:gridCol w:w="193"/>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 of RSUs granted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RSUs vested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Employee Stock Purchase Plan (“ESPP”)</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offering period that commenced on September 1, 2023 ended on February 29, 2024, due to a decline in the Company’s stock price at the end of the purchase period, triggering a new offering period, as required by the ESPP plan documents. A new 24-month offering period commenced on March 1, 2024. This event, inclusive of the impact of employees who elected to increase their withholding percentages, was accounted for as a modification under GAAP in the first quarter of 2024, whereby the fair value of the ESPP offering was measured immediately before and after modification, resulting in incremental stock-based compensation expense of $1.7 million, which is being recognized over the new offering period, which is deemed to be the requisite service period. A new subsequent 24-month offering period commences on March 1 and September 1 of each fiscal year.</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of the ESPP offerings, including those described above, were estimated using the Black-Scholes option-pricing model as of the respective offering dates, using the following assumptions. These assumptions represent the grant date fair value inputs for new offerings which commenced during the three months ended March 31, 2024 and 2023, as well as updated valuation information as of the modification date for any offerings for which a modification occurred during the periods presented herein:</w:t>
      </w:r>
    </w:p>
    <w:tbl>
      <w:tblPr>
        <w:tblW w:w="5287" w:type="dxa"/>
        <w:jc w:val="left"/>
        <w:tblInd w:w="0" w:type="dxa"/>
        <w:tblLayout w:type="fixed"/>
        <w:tblCellMar>
          <w:top w:w="28" w:type="dxa"/>
          <w:left w:w="28" w:type="dxa"/>
          <w:bottom w:w="28" w:type="dxa"/>
          <w:right w:w="28" w:type="dxa"/>
        </w:tblCellMar>
      </w:tblPr>
      <w:tblGrid>
        <w:gridCol w:w="668"/>
        <w:gridCol w:w="586"/>
        <w:gridCol w:w="590"/>
        <w:gridCol w:w="289"/>
        <w:gridCol w:w="289"/>
        <w:gridCol w:w="682"/>
        <w:gridCol w:w="220"/>
        <w:gridCol w:w="220"/>
        <w:gridCol w:w="220"/>
        <w:gridCol w:w="289"/>
        <w:gridCol w:w="289"/>
        <w:gridCol w:w="682"/>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4.49% to 5.20%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4.83% to 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52.9% to 61.3%</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48.9% to 59.5%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Stock-Based Compensation Expense</w:t>
      </w:r>
    </w:p>
    <w:p>
      <w:pPr>
        <w:pStyle w:val="TextBody"/>
        <w:bidi w:val="0"/>
        <w:spacing w:lineRule="auto" w:line="288" w:before="0" w:after="180"/>
        <w:jc w:val="left"/>
        <w:rPr/>
      </w:pPr>
      <w:r>
        <w:rPr>
          <w:rFonts w:ascii="Times New Roman;sans-serif" w:hAnsi="Times New Roman;sans-serif"/>
          <w:b w:val="false"/>
          <w:color w:val="000000"/>
          <w:sz w:val="18"/>
        </w:rPr>
        <w:t xml:space="preserve">Stock-based compensation expense for stock options, RSUs, and ESPP, included within the Condensed Consolidated Statements of Operations, net of amounts capitalized to internal-use software, as described in Note 5. </w:t>
      </w:r>
      <w:r>
        <w:rPr>
          <w:rFonts w:ascii="Times New Roman;sans-serif" w:hAnsi="Times New Roman;sans-serif"/>
          <w:b w:val="false"/>
          <w:i/>
          <w:color w:val="000000"/>
          <w:sz w:val="18"/>
        </w:rPr>
        <w:t>Property and Equipment</w:t>
      </w:r>
      <w:r>
        <w:rPr>
          <w:rFonts w:ascii="Times New Roman;sans-serif" w:hAnsi="Times New Roman;sans-serif"/>
          <w:b w:val="false"/>
          <w:color w:val="000000"/>
          <w:sz w:val="18"/>
        </w:rPr>
        <w:t>, was as follows:</w:t>
      </w:r>
    </w:p>
    <w:tbl>
      <w:tblPr>
        <w:tblW w:w="5533" w:type="dxa"/>
        <w:jc w:val="left"/>
        <w:tblInd w:w="0" w:type="dxa"/>
        <w:tblLayout w:type="fixed"/>
        <w:tblCellMar>
          <w:top w:w="28" w:type="dxa"/>
          <w:left w:w="28" w:type="dxa"/>
          <w:bottom w:w="28" w:type="dxa"/>
          <w:right w:w="28" w:type="dxa"/>
        </w:tblCellMar>
      </w:tblPr>
      <w:tblGrid>
        <w:gridCol w:w="896"/>
        <w:gridCol w:w="788"/>
        <w:gridCol w:w="790"/>
        <w:gridCol w:w="226"/>
        <w:gridCol w:w="748"/>
        <w:gridCol w:w="126"/>
        <w:gridCol w:w="126"/>
        <w:gridCol w:w="126"/>
        <w:gridCol w:w="126"/>
        <w:gridCol w:w="226"/>
        <w:gridCol w:w="748"/>
        <w:gridCol w:w="126"/>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2024, the total unamortized compensation cost related to all non-vested equity awards, including options and RSUs, was $290.7 million, which will be amortized over a weighted-average remaining requisite service period of approximately 2.7 years. As of March 31, 2024, the total unrecognized compensation expense related to the ESPP was $9.8 million, which is expected to be amortized over the next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13.    Restructuring Initiatives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three months ended March 31, 2024, as a result of simplifying and scaling certain processes, functions, and team capabilities, the Company continued restructuring initiatives that commenced within the three months ended September 30, 2023 in order to better serve the Company's customers and allow the Company to centralize, transform, and automate global operations. Restructuring costs incurred primarily included severance and certain other associated costs. These specific restructuring initiatives are substantially complete.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incurred charges of $0.8 million for the three months ended March 31, 2024. There were no charges incurred related to restructuring initiatives for the three months ended March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restructuring costs included within the Company’s Condensed Consolidated Statements of Operations for the three months ended March 31, 2024:</w:t>
      </w:r>
    </w:p>
    <w:tbl>
      <w:tblPr>
        <w:tblW w:w="3270" w:type="dxa"/>
        <w:jc w:val="center"/>
        <w:tblInd w:w="0" w:type="dxa"/>
        <w:tblLayout w:type="fixed"/>
        <w:tblCellMar>
          <w:top w:w="28" w:type="dxa"/>
          <w:left w:w="28" w:type="dxa"/>
          <w:bottom w:w="28" w:type="dxa"/>
          <w:right w:w="28" w:type="dxa"/>
        </w:tblCellMar>
      </w:tblPr>
      <w:tblGrid>
        <w:gridCol w:w="896"/>
        <w:gridCol w:w="788"/>
        <w:gridCol w:w="790"/>
        <w:gridCol w:w="202"/>
        <w:gridCol w:w="434"/>
        <w:gridCol w:w="160"/>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costs</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changes in liabilities, including expenses incurred and cash payments resulting from the restructuring costs and related accruals, during the three months ended March 31, 2024:</w:t>
      </w:r>
    </w:p>
    <w:tbl>
      <w:tblPr>
        <w:tblW w:w="3301" w:type="dxa"/>
        <w:jc w:val="center"/>
        <w:tblInd w:w="0" w:type="dxa"/>
        <w:tblLayout w:type="fixed"/>
        <w:tblCellMar>
          <w:top w:w="28" w:type="dxa"/>
          <w:left w:w="28" w:type="dxa"/>
          <w:bottom w:w="28" w:type="dxa"/>
          <w:right w:w="28" w:type="dxa"/>
        </w:tblCellMar>
      </w:tblPr>
      <w:tblGrid>
        <w:gridCol w:w="907"/>
        <w:gridCol w:w="798"/>
        <w:gridCol w:w="800"/>
        <w:gridCol w:w="206"/>
        <w:gridCol w:w="427"/>
        <w:gridCol w:w="163"/>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Expenses incurred</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14.    Related Party Arrangements</w:t>
      </w:r>
    </w:p>
    <w:p>
      <w:pPr>
        <w:pStyle w:val="TextBody"/>
        <w:bidi w:val="0"/>
        <w:spacing w:lineRule="auto" w:line="288" w:before="0" w:after="180"/>
        <w:jc w:val="left"/>
        <w:rPr/>
      </w:pPr>
      <w:r>
        <w:rPr>
          <w:rFonts w:ascii="Times New Roman;sans-serif" w:hAnsi="Times New Roman;sans-serif"/>
          <w:b w:val="false"/>
          <w:color w:val="000000"/>
          <w:sz w:val="18"/>
        </w:rPr>
        <w:t xml:space="preserve">There were no significant related party transactions for the three months ended </w:t>
      </w:r>
      <w:r>
        <w:rPr>
          <w:rFonts w:ascii="Times New Roman;sans-serif" w:hAnsi="Times New Roman;sans-serif"/>
          <w:b w:val="false"/>
          <w:color w:val="000000"/>
          <w:sz w:val="18"/>
          <w:shd w:fill="FFFFFF" w:val="clear"/>
        </w:rPr>
        <w:t xml:space="preserve">March 31, 2024 and </w:t>
      </w:r>
      <w:r>
        <w:rPr>
          <w:rFonts w:ascii="Times New Roman;sans-serif" w:hAnsi="Times New Roman;sans-serif"/>
          <w:b w:val="false"/>
          <w:color w:val="000000"/>
          <w:sz w:val="18"/>
        </w:rPr>
        <w:t>2023</w:t>
      </w:r>
      <w:r>
        <w:rPr>
          <w:rFonts w:ascii="Times New Roman;sans-serif" w:hAnsi="Times New Roman;sans-serif"/>
          <w:b w:val="false"/>
          <w:color w:val="000000"/>
          <w:sz w:val="18"/>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15.    Income Taxes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computes its tax provision for interim periods by applying the estimated annual effective tax rate to year-to-date income from recurring operations and adjusting for discrete items arising in that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color w:val="000000"/>
          <w:sz w:val="18"/>
        </w:rPr>
        <w:t>The Company’s effective tax rates on pre-tax income wer</w:t>
      </w:r>
      <w:r>
        <w:rPr>
          <w:rFonts w:ascii="Times New Roman;sans-serif" w:hAnsi="Times New Roman;sans-serif"/>
          <w:b w:val="false"/>
          <w:color w:val="000000"/>
          <w:sz w:val="18"/>
          <w:shd w:fill="FFFFFF" w:val="clear"/>
        </w:rPr>
        <w:t>e (5.0)% and (1.3)% for the three months ended March 31, 2024 and 2023, respectively</w:t>
      </w:r>
      <w:r>
        <w:rPr>
          <w:rFonts w:ascii="Times New Roman;sans-serif" w:hAnsi="Times New Roman;sans-serif"/>
          <w:b w:val="false"/>
          <w:color w:val="000000"/>
          <w:sz w:val="18"/>
        </w:rPr>
        <w:t>. The difference between the effective tax rate and the U.S. federal statutory rate of 21% in both periods was primarily the result of foreign income taxed at different rates and changes in the U.S.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color w:val="000000"/>
          <w:sz w:val="18"/>
        </w:rPr>
        <w:t xml:space="preserve">In addition, during the three months ended </w:t>
      </w:r>
      <w:r>
        <w:rPr>
          <w:rFonts w:ascii="Times New Roman;sans-serif" w:hAnsi="Times New Roman;sans-serif"/>
          <w:b w:val="false"/>
          <w:color w:val="000000"/>
          <w:sz w:val="18"/>
          <w:shd w:fill="FFFFFF" w:val="clear"/>
        </w:rPr>
        <w:t>March 31, 2024</w:t>
      </w:r>
      <w:r>
        <w:rPr>
          <w:rFonts w:ascii="Times New Roman;sans-serif" w:hAnsi="Times New Roman;sans-serif"/>
          <w:b w:val="false"/>
          <w:color w:val="000000"/>
          <w:sz w:val="18"/>
        </w:rPr>
        <w:t>, the Company recognized a discrete income tax benefit related to excess stock-based compensation deductions.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maintains a full valuation allowance against the U.S. net deferred tax assets, as it believes that these deferred tax assets do not meet the more likely than not threshold.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files income tax returns in the U.S. federal jurisdiction, various state jurisdictions, and internationally. As of March 31, 2024, tax years 2012 through 2023 remain open for examination by taxing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16.    Commitments and Contingencies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Guarantees and Indemnification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Litigation and Loss Contingencies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Litigation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as defined under GAAP, and estimable. Although the results of litigation and claims are inherently unpredictable, the Company does not believe that there was a reasonable possibility that it had incurred a material loss with respect to such loss contingencies as of March 31, 2024 and December 31, 2023.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Indirect taxes</w:t>
      </w:r>
    </w:p>
    <w:p>
      <w:pPr>
        <w:pStyle w:val="TextBody"/>
        <w:bidi w:val="0"/>
        <w:spacing w:lineRule="auto" w:line="288" w:before="0" w:after="180"/>
        <w:jc w:val="left"/>
        <w:rPr/>
      </w:pPr>
      <w:r>
        <w:rPr>
          <w:rFonts w:ascii="Times New Roman;sans-serif" w:hAnsi="Times New Roman;sans-serif"/>
          <w:b w:val="false"/>
          <w:color w:val="000000"/>
          <w:sz w:val="18"/>
        </w:rPr>
        <w:t>The Company is subject to indirect taxation in various states and foreign jurisdictions in which it conducts business. The Company continually evaluates those jurisdictions in which indirect tax obligations exist to determine whether a loss is probable, as defined under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potential or actual self-disclosure, and applicability of tax rules. As a result of this assessment, management accrued an estimated liability of approximately $7.6 million and $6.4 million as of March 31, 2024 and December 31, 2023, respectively, reflecting the amount that the Company believes is probable and estimable. The estimated liability is recorded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Company’s Condensed Consolidated Balance Sheets. Although the Company believes its indirect tax estimates and associated liabilities are reasonable, the final determination of indirect tax audits or settlements could be materially different than the amounts recorded.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Reserve for Transaction Losses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table below summarizes the Company’s reserve for transaction losses for the three months ended March 31, 2024 and 2023: </w:t>
      </w:r>
    </w:p>
    <w:tbl>
      <w:tblPr>
        <w:tblW w:w="5563" w:type="dxa"/>
        <w:jc w:val="left"/>
        <w:tblInd w:w="0" w:type="dxa"/>
        <w:tblLayout w:type="fixed"/>
        <w:tblCellMar>
          <w:top w:w="28" w:type="dxa"/>
          <w:left w:w="28" w:type="dxa"/>
          <w:bottom w:w="28" w:type="dxa"/>
          <w:right w:w="28" w:type="dxa"/>
        </w:tblCellMar>
      </w:tblPr>
      <w:tblGrid>
        <w:gridCol w:w="907"/>
        <w:gridCol w:w="798"/>
        <w:gridCol w:w="800"/>
        <w:gridCol w:w="246"/>
        <w:gridCol w:w="700"/>
        <w:gridCol w:w="137"/>
        <w:gridCol w:w="137"/>
        <w:gridCol w:w="137"/>
        <w:gridCol w:w="137"/>
        <w:gridCol w:w="246"/>
        <w:gridCol w:w="700"/>
        <w:gridCol w:w="137"/>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transaction losses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incurred, net of recoveries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17.    Accrued Expenses &amp; Other Current Liabilities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consisted of the following:</w:t>
      </w:r>
    </w:p>
    <w:tbl>
      <w:tblPr>
        <w:tblW w:w="5643" w:type="dxa"/>
        <w:jc w:val="center"/>
        <w:tblInd w:w="0" w:type="dxa"/>
        <w:tblLayout w:type="fixed"/>
        <w:tblCellMar>
          <w:top w:w="28" w:type="dxa"/>
          <w:left w:w="28" w:type="dxa"/>
          <w:bottom w:w="28" w:type="dxa"/>
          <w:right w:w="28" w:type="dxa"/>
        </w:tblCellMar>
      </w:tblPr>
      <w:tblGrid>
        <w:gridCol w:w="1119"/>
        <w:gridCol w:w="984"/>
        <w:gridCol w:w="987"/>
        <w:gridCol w:w="196"/>
        <w:gridCol w:w="736"/>
        <w:gridCol w:w="109"/>
        <w:gridCol w:w="109"/>
        <w:gridCol w:w="109"/>
        <w:gridCol w:w="109"/>
        <w:gridCol w:w="214"/>
        <w:gridCol w:w="803"/>
        <w:gridCol w:w="168"/>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Trade settlement liability</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transaction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Holdback liability</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salary, benefits, and related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Accrued taxes and taxes payable</w:t>
            </w:r>
            <w:r>
              <w:rPr>
                <w:rFonts w:ascii="Times New Roman;sans-serif" w:hAnsi="Times New Roman;sans-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transaction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ESPP employee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145,802 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ans-serif" w:hAnsi="Times New Roman;sans-serif"/>
          <w:b w:val="false"/>
          <w:i/>
          <w:color w:val="000000"/>
          <w:sz w:val="16"/>
        </w:rPr>
        <w:t>Basis of Presentation and Summary of Significant Accounting Policies</w:t>
      </w:r>
      <w:r>
        <w:rPr>
          <w:color w:val="000000"/>
        </w:rPr>
        <w:t xml:space="preserve"> </w:t>
      </w:r>
      <w:r>
        <w:rPr>
          <w:rFonts w:ascii="Times New Roman;sans-serif" w:hAnsi="Times New Roman;sans-serif"/>
          <w:b w:val="false"/>
          <w:color w:val="000000"/>
          <w:sz w:val="16"/>
        </w:rPr>
        <w:t>within the notes to consolidated financial statements included in the Company’s Annual Report on Form 10-K for the year ended December 31, 2023 for further discussion.</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Refer to Note 6.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for further detail on the Holdback liability.</w:t>
      </w:r>
    </w:p>
    <w:p>
      <w:pPr>
        <w:pStyle w:val="TextBody"/>
        <w:bidi w:val="0"/>
        <w:spacing w:lineRule="auto" w:line="288" w:before="0" w:after="180"/>
        <w:jc w:val="left"/>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 xml:space="preserve">The accrued taxes and taxes payable amount is inclusive of indirect taxes of approximately $7.6 million and $6.4 million as of March 31, 2024 and December 31, 2023, respectively. Refer to Note 16. </w:t>
      </w:r>
      <w:r>
        <w:rPr>
          <w:rFonts w:ascii="Times New Roman;sans-serif" w:hAnsi="Times New Roman;sans-serif"/>
          <w:b w:val="false"/>
          <w:i/>
          <w:color w:val="000000"/>
          <w:sz w:val="16"/>
        </w:rPr>
        <w:t>Commitments and Contingencies</w:t>
      </w:r>
      <w:r>
        <w:rPr>
          <w:color w:val="000000"/>
        </w:rPr>
        <w:t xml:space="preserve"> </w:t>
      </w:r>
      <w:r>
        <w:rPr>
          <w:rFonts w:ascii="Times New Roman;sans-serif" w:hAnsi="Times New Roman;sans-serif"/>
          <w:b w:val="false"/>
          <w:color w:val="000000"/>
          <w:sz w:val="16"/>
        </w:rPr>
        <w:t>for further detail.</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18.    Supplemental Cash Flow Information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supplemental disclosures of cash flow information consisted of the following:</w:t>
      </w:r>
    </w:p>
    <w:tbl>
      <w:tblPr>
        <w:tblW w:w="9941" w:type="dxa"/>
        <w:jc w:val="left"/>
        <w:tblInd w:w="0" w:type="dxa"/>
        <w:tblLayout w:type="fixed"/>
        <w:tblCellMar>
          <w:top w:w="28" w:type="dxa"/>
          <w:left w:w="28" w:type="dxa"/>
          <w:bottom w:w="28" w:type="dxa"/>
          <w:right w:w="28" w:type="dxa"/>
        </w:tblCellMar>
      </w:tblPr>
      <w:tblGrid>
        <w:gridCol w:w="2647"/>
        <w:gridCol w:w="2327"/>
        <w:gridCol w:w="2346"/>
        <w:gridCol w:w="245"/>
        <w:gridCol w:w="697"/>
        <w:gridCol w:w="136"/>
        <w:gridCol w:w="136"/>
        <w:gridCol w:w="136"/>
        <w:gridCol w:w="136"/>
        <w:gridCol w:w="245"/>
        <w:gridCol w:w="697"/>
        <w:gridCol w:w="193"/>
      </w:tblGrid>
      <w:tr>
        <w:trPr/>
        <w:tc>
          <w:tcPr>
            <w:tcW w:w="264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options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capitalized to internal-use software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 consideration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subject to service-based vesting conditions, in connection with acquisition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held back for acquisition consideration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preexisting net receivable in exchange for net assets acquired in business combination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0" w:after="180"/>
        <w:jc w:val="left"/>
        <w:rPr/>
      </w:pPr>
      <w:r>
        <w:rPr>
          <w:rFonts w:ascii="Times New Roman;sans-serif" w:hAnsi="Times New Roman;sans-serif"/>
          <w:b w:val="false"/>
          <w:i/>
          <w:color w:val="000000"/>
          <w:sz w:val="18"/>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color w:val="000000"/>
        </w:rPr>
        <w:t>“</w:t>
      </w:r>
      <w:r>
        <w:rPr>
          <w:rFonts w:ascii="Times New Roman;sans-serif" w:hAnsi="Times New Roman;sans-serif"/>
          <w:b w:val="false"/>
          <w:i/>
          <w:color w:val="000000"/>
          <w:sz w:val="18"/>
        </w:rPr>
        <w:t>Management’s Discussion and Analysis of Financial Condition and Results of Operations</w:t>
      </w:r>
      <w:r>
        <w:rPr>
          <w:color w:val="000000"/>
        </w:rPr>
        <w:t xml:space="preserve">” </w:t>
      </w:r>
      <w:r>
        <w:rPr>
          <w:rFonts w:ascii="Times New Roman;sans-serif" w:hAnsi="Times New Roman;sans-serif"/>
          <w:b w:val="false"/>
          <w:i/>
          <w:color w:val="000000"/>
          <w:sz w:val="18"/>
        </w:rPr>
        <w:t>included in the Annual Report on Form 10-K for the year ended December 31, 2023.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brand promise is to bring “peace of mind” into everything we do. We focus on bringing trust, reliability, and a fair and transparent price to cross-border remittances and complementary financial services.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To deliver on our brand promise, we have a differentiated approach that aligns with the specific needs and interests of our customers and solves the problems immigrant communities often face in making remittances. There are four core elements to our differentiated approach: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Mobile First.</w:t>
      </w:r>
      <w:r>
        <w:rPr>
          <w:color w:val="000000"/>
        </w:rPr>
        <w:t xml:space="preserve"> </w:t>
      </w:r>
      <w:r>
        <w:rPr>
          <w:rFonts w:ascii="Times New Roman;sans-serif" w:hAnsi="Times New Roman;sans-serif"/>
          <w:b w:val="false"/>
          <w:color w:val="000000"/>
          <w:sz w:val="18"/>
        </w:rPr>
        <w:t xml:space="preserve">Our mobile app for cross-border remittances provides an easy-to-use, end-to-end process with a simple and reliable user experience that delivers peace of mind. In just a few minutes, customers are able to set up and send money for the first time with Remitly, and repeat transactions are easier with just a few taps. Our customers and their families can also track the status of their transactions as they are processed, and we provide a reliability promise to customers which is underpinned by our sophisticated risk models, high quality network, and empathetic customer service. This mobile-first experience enables us to engage beyond the initial transaction, generating strong repeat usage and high customer loyalty. Our services are highly non-discretionary for our customers which results in high revenue visibility throughout economic cycles.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Global Scale and High Quality Money Movement Platform</w:t>
      </w:r>
      <w:r>
        <w:rPr>
          <w:rFonts w:ascii="Times New Roman;sans-serif" w:hAnsi="Times New Roman;sans-serif"/>
          <w:b w:val="false"/>
          <w:color w:val="000000"/>
          <w:sz w:val="18"/>
        </w:rPr>
        <w:t>. Our global network of funding and disbursement partnerships enables us to complete money transfers efficiently in approximately 5,000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scale and direct integration strategy allows us to negotiate favorable terms with both funding and disbursement partners while providing a great end-to-end customer experience including rapid and reliable transfers.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provide broad and high 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disbursement network enables us to send (or pay-out) funds to over 4.2 billion bank accounts, over 1.2 billion mobile wallets, and approximately 470,000 cash pick-up options including various currencies provided.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Highly Attractive Unit Economics.</w:t>
      </w:r>
      <w:r>
        <w:rPr>
          <w:color w:val="000000"/>
        </w:rPr>
        <w:t xml:space="preserve"> </w:t>
      </w:r>
      <w:r>
        <w:rPr>
          <w:rFonts w:ascii="Times New Roman;sans-serif" w:hAnsi="Times New Roman;sans-serif"/>
          <w:b w:val="false"/>
          <w:color w:val="000000"/>
          <w:sz w:val="18"/>
        </w:rPr>
        <w:t xml:space="preserve">Our data driven approach to optimizing customer lifetime value combined with a localized and scalable marketing platform allows us to acquire new customers at highly attractive unit economics. As we continue to improve customer lifetime value through product enhancements and changes to variable operating costs, we are able to invest more in marketing while maintaining our marketing efficiency.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Superior Technology Platform.</w:t>
      </w:r>
      <w:r>
        <w:rPr>
          <w:color w:val="000000"/>
        </w:rPr>
        <w:t xml:space="preserve"> </w:t>
      </w:r>
      <w:r>
        <w:rPr>
          <w:rFonts w:ascii="Times New Roman;sans-serif" w:hAnsi="Times New Roman;sans-serif"/>
          <w:b w:val="false"/>
          <w:color w:val="000000"/>
          <w:sz w:val="18"/>
        </w:rPr>
        <w:t>We believe that our differentiated approach to building our technology infrastructure enables a great customer experience and allows us to scale to meet customer demands in a more flexible way. We have been able to scale to more customers, more regions, and more use cases while continuing to get better at our reliability, speed, and performance due to our investments and unique approach to our technology platform. This enables not only our ability to scale, but also accelerates innovation on behalf of our customers - whether that is doing simple things well like delivering reliability, speed, and performance, or about enabling new use cases like complementary new products over time. Because our customers initiate transfers digitally, we capture and leverage a body of transaction-related data that provides insight into customer behavior and customer experience. This data and the analytics we perform help to inform our marketing investments and product development prioritization. In addition, we leverage our data platform and proprietary models to improve our compliance systems and manage pricing, treasury, fraud risk, and customer support. Finally, our proactive investments in artificial intelligence and machine learning have continued to drive scaled improvement in the areas of fraud and risk, pricing, customer support, and marketing.</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Our Revenue Model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our remittance business, which represents substantially all of our revenue today, we generate revenue from transaction fees charged to customers and foreign exchange spreads applied to the amount the customer is sending.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Business Metrics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Active customers” is defined as the number of distinct customers that have successfully completed at least one transaction using Remitly during a given period. We identify customers through unique account numbers.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 xml:space="preserve">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Active Customers</w:t>
      </w:r>
    </w:p>
    <w:tbl>
      <w:tblPr>
        <w:tblW w:w="3968" w:type="dxa"/>
        <w:jc w:val="left"/>
        <w:tblInd w:w="0" w:type="dxa"/>
        <w:tblLayout w:type="fixed"/>
        <w:tblCellMar>
          <w:top w:w="28" w:type="dxa"/>
          <w:left w:w="28" w:type="dxa"/>
          <w:bottom w:w="28" w:type="dxa"/>
          <w:right w:w="28" w:type="dxa"/>
        </w:tblCellMar>
      </w:tblPr>
      <w:tblGrid>
        <w:gridCol w:w="489"/>
        <w:gridCol w:w="430"/>
        <w:gridCol w:w="431"/>
        <w:gridCol w:w="278"/>
        <w:gridCol w:w="278"/>
        <w:gridCol w:w="278"/>
        <w:gridCol w:w="278"/>
        <w:gridCol w:w="278"/>
        <w:gridCol w:w="278"/>
        <w:gridCol w:w="278"/>
        <w:gridCol w:w="278"/>
        <w:gridCol w:w="39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ind w:left="0" w:right="0" w:hanging="0"/>
              <w:jc w:val="left"/>
              <w:rPr>
                <w:sz w:val="4"/>
                <w:szCs w:val="4"/>
              </w:rPr>
            </w:pPr>
            <w:r>
              <w:rPr>
                <w:sz w:val="4"/>
                <w:szCs w:val="4"/>
              </w:rPr>
            </w:r>
          </w:p>
        </w:tc>
        <w:tc>
          <w:tcPr>
            <w:tcW w:w="1784"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4,559 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the number of our active customers is an important indicator of customer engagement, customer retention, and the overall growth of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 increased to approximately 6.2 million, or 36% growth, for the three months ended March 31, 2024, compared to the three months ended March 31, 2023. This increase was primarily due to an increase in the number of new customers, driven by investments in our mobile platform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our successful diversification of our corridor portfolio across both send and receive countries has contributed to new customer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Send Volume </w:t>
      </w:r>
    </w:p>
    <w:tbl>
      <w:tblPr>
        <w:tblW w:w="3672" w:type="dxa"/>
        <w:jc w:val="left"/>
        <w:tblInd w:w="0" w:type="dxa"/>
        <w:tblLayout w:type="fixed"/>
        <w:tblCellMar>
          <w:top w:w="28" w:type="dxa"/>
          <w:left w:w="28" w:type="dxa"/>
          <w:bottom w:w="28" w:type="dxa"/>
          <w:right w:w="28" w:type="dxa"/>
        </w:tblCellMar>
      </w:tblPr>
      <w:tblGrid>
        <w:gridCol w:w="380"/>
        <w:gridCol w:w="334"/>
        <w:gridCol w:w="335"/>
        <w:gridCol w:w="235"/>
        <w:gridCol w:w="776"/>
        <w:gridCol w:w="131"/>
        <w:gridCol w:w="131"/>
        <w:gridCol w:w="131"/>
        <w:gridCol w:w="131"/>
        <w:gridCol w:w="235"/>
        <w:gridCol w:w="668"/>
        <w:gridCol w:w="185"/>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ind w:left="0" w:right="0" w:hanging="0"/>
              <w:jc w:val="left"/>
              <w:rPr>
                <w:sz w:val="4"/>
                <w:szCs w:val="4"/>
              </w:rPr>
            </w:pPr>
            <w:r>
              <w:rPr>
                <w:sz w:val="4"/>
                <w:szCs w:val="4"/>
              </w:rPr>
            </w:r>
          </w:p>
        </w:tc>
        <w:tc>
          <w:tcPr>
            <w:tcW w:w="1481" w:type="dxa"/>
            <w:gridSpan w:val="6"/>
            <w:tcBorders/>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Send volume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send volume to assess the scale of remittances sent using our platform. Our customers mostly send from the United States, Canada, the United Kingdom, and other countries in Europe. Our customers and their recipients are located in over 170 countries and territories across the globe; the largest receive countries by send volume include India, Mexico, and the Philippines.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Send volume increased 34% to $11.5 billion for the three months ended March 31, 2024, compared to $8.5 billion for the three months ended March 31, 2023,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Factors Affecting Our Performance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Customer Retention and High Customer Engagement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send volume is primarily driven by existing customers who regularly use our remittance product to send money home. We believe our mobile-first products and superior customer experience encourage high retention and repeat usage, which are significant though not the only drivers of our performance.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active customers to monitor the growth and performance of our customer base. The majority of our active customers send money for recurring, non-discretionary needs multiple times per month, providing a recurring revenue stream with high visibility and predictability.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Attracting New Customers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customers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loss and Adjusted EBITDA in the quarter they are acquired, but are expected to favorably impact net loss and Adjusted EBITDA in subsequent periods.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Acquisition Costs</w:t>
      </w:r>
    </w:p>
    <w:p>
      <w:pPr>
        <w:pStyle w:val="TextBody"/>
        <w:bidi w:val="0"/>
        <w:spacing w:lineRule="auto" w:line="288" w:before="0" w:after="180"/>
        <w:jc w:val="left"/>
        <w:rPr/>
      </w:pPr>
      <w:r>
        <w:rPr>
          <w:rFonts w:ascii="Times New Roman;sans-serif" w:hAnsi="Times New Roman;sans-serif"/>
          <w:b w:val="false"/>
          <w:color w:val="000000"/>
          <w:sz w:val="18"/>
        </w:rPr>
        <w:t xml:space="preserve">Efficiently acquiring customers is critical to our growth and maintaining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sans-serif" w:hAnsi="Times New Roman;sans-serif"/>
          <w:b w:val="false"/>
          <w:i/>
          <w:color w:val="000000"/>
          <w:sz w:val="18"/>
        </w:rPr>
        <w:t xml:space="preserve">Basis of Presentation and Summary of Significant Accounting Policies </w:t>
      </w:r>
      <w:r>
        <w:rPr>
          <w:rFonts w:ascii="Times New Roman;sans-serif" w:hAnsi="Times New Roman;sans-serif"/>
          <w:b w:val="false"/>
          <w:color w:val="000000"/>
          <w:sz w:val="18"/>
        </w:rPr>
        <w:t>in the notes to the condensed consolidated financial statements included in Part I, Item 1 of this Quarterly Report on Form 10-Q.</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Corridor Mix</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Seasonality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Conversely, we typically observe lower customer acquisition and existing customer activity through most of the first quarter, especially in regions that experience favorable seasonality in the fourth quarter. The number of business days in a quarter and the day of week that the last day of the quarter falls on may also introduce variability in our results, working capital balances, or cash flows period over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Our Technology Platform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Management of Risk and Fraud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Macroeconomic and Geopolitical Changes </w:t>
      </w:r>
    </w:p>
    <w:p>
      <w:pPr>
        <w:pStyle w:val="TextBody"/>
        <w:bidi w:val="0"/>
        <w:spacing w:lineRule="auto" w:line="288" w:before="0" w:after="180"/>
        <w:jc w:val="left"/>
        <w:rPr/>
      </w:pPr>
      <w:r>
        <w:rPr>
          <w:rFonts w:ascii="Times New Roman;sans-serif" w:hAnsi="Times New Roman;sans-serif"/>
          <w:b w:val="false"/>
          <w:color w:val="000000"/>
          <w:sz w:val="18"/>
        </w:rPr>
        <w:t xml:space="preserve">Global macroeconomic and geopolitical factors, including inflation, currency fluctuations, immigration, trade and regulatory policies,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impact our business in numerous ways. For example, as the U.S. dollar strengthens, we see customers in certain markets taking advantage of the ability to get more local currency to their families and friends. We also believe the strength of the U.S. dollar and the strength of other developed market currencies versus emerging market currencies make it easier to acquire new customers in certain markets.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in the Company’s notes to the condensed consolidated financial statements included in Part I, Item 1 of this Quarterly Report on Form 10-Q for a more comprehensive description of current business concentrations.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Components of 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revenue is generated on transaction fees charged to customers and foreign exchange spreads between the foreign exchange rate offered to customers and the foreign exchange rate on our currency purchases. Revenue is recognized when control of these services is transferred to our customers, which is the time the funds have been delivered to the intended recipient in an amount that reflects the consideration we expect to be entitled to in exchange for services provided.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Costs and expenses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Transaction Expenses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Over the long term we expect to continue to benefit from increasing scale and improvements in our proprietary fraud models, although we expect some variability in transaction expense from quarter to quarter.</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Provisions for Transaction Losses </w:t>
      </w:r>
    </w:p>
    <w:p>
      <w:pPr>
        <w:pStyle w:val="TextBody"/>
        <w:bidi w:val="0"/>
        <w:spacing w:lineRule="auto" w:line="288" w:before="0" w:after="180"/>
        <w:jc w:val="left"/>
        <w:rPr/>
      </w:pPr>
      <w:r>
        <w:rPr>
          <w:rFonts w:ascii="Times New Roman;sans-serif" w:hAnsi="Times New Roman;sans-serif"/>
          <w:b w:val="false"/>
          <w:color w:val="000000"/>
          <w:sz w:val="18"/>
        </w:rPr>
        <w:t>We are exposed to transaction losses, including chargebacks, unauthorized credit card use, fraud associated with customer transactions, and other non-fraud-related losses. We establish reserves for such losses based on historical trends and any specific risks identified in processing customer transactions. This reserve is included 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Condensed Consolidated Balance Sheets. The provision for transaction losses is included as a component of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 xml:space="preserve">within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w:t>
      </w:r>
    </w:p>
    <w:p>
      <w:pPr>
        <w:pStyle w:val="TextBody"/>
        <w:bidi w:val="0"/>
        <w:spacing w:lineRule="auto" w:line="288" w:before="0" w:after="180"/>
        <w:jc w:val="left"/>
        <w:rPr/>
      </w:pPr>
      <w:r>
        <w:rPr>
          <w:rFonts w:ascii="Times New Roman;sans-serif" w:hAnsi="Times New Roman;sans-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ans-serif" w:hAnsi="Times New Roman;sans-serif"/>
          <w:b w:val="false"/>
          <w:i/>
          <w:color w:val="000000"/>
          <w:sz w:val="18"/>
        </w:rPr>
        <w:t>Intangibles - Goodwill and Other-Internal-Use Software</w:t>
      </w:r>
      <w:r>
        <w:rPr>
          <w:rFonts w:ascii="Times New Roman;sans-serif" w:hAnsi="Times New Roman;sans-serif"/>
          <w:b w:val="false"/>
          <w:color w:val="000000"/>
          <w:sz w:val="18"/>
        </w:rPr>
        <w:t>, are separately presented under the caption ‘Depreciation and amortization’ within the Condensed Consolidated Statements of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w:t>
      </w:r>
    </w:p>
    <w:p>
      <w:pPr>
        <w:pStyle w:val="TextBody"/>
        <w:bidi w:val="0"/>
        <w:spacing w:lineRule="auto" w:line="288" w:before="0" w:after="180"/>
        <w:jc w:val="left"/>
        <w:rPr/>
      </w:pPr>
      <w:r>
        <w:rPr>
          <w:rFonts w:ascii="Times New Roman;sans-serif" w:hAnsi="Times New Roman;sans-serif"/>
          <w:b w:val="false"/>
          <w:color w:val="000000"/>
          <w:sz w:val="18"/>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See Note 6.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in the notes to the condensed consolidated financial statements included in Part I, Item 1 of this Quarterly Report on Form 10-Q for further details.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includes depreciation on property and equipment and leasehold improvements, as well as the amortization of internal-use software costs and amortization of intangible assets.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Income (Expense), net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 primarily includes foreign currency exchange gains and losses due to remeasurement of certain foreign currency denominated monetary assets and liabilities.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U.S. for the foreseeable future as it is more likely than not that the assets will not be realized based on our history of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bidi w:val="0"/>
        <w:spacing w:lineRule="auto" w:line="288" w:before="0" w:after="180"/>
        <w:jc w:val="left"/>
        <w:rPr/>
      </w:pPr>
      <w:r>
        <w:rPr>
          <w:rFonts w:ascii="Times New Roman;sans-serif" w:hAnsi="Times New Roman;sans-serif"/>
          <w:b/>
          <w:i/>
          <w:color w:val="000000"/>
          <w:sz w:val="18"/>
        </w:rPr>
        <w:t>Comparison of the three months ended March 31,</w:t>
      </w:r>
      <w:r>
        <w:rPr>
          <w:color w:val="000000"/>
        </w:rPr>
        <w:t xml:space="preserve"> </w:t>
      </w:r>
      <w:r>
        <w:rPr>
          <w:rFonts w:ascii="Times New Roman;sans-serif" w:hAnsi="Times New Roman;sans-serif"/>
          <w:b/>
          <w:i/>
          <w:color w:val="000000"/>
          <w:sz w:val="18"/>
        </w:rPr>
        <w:t>2024 and 2023</w:t>
      </w:r>
    </w:p>
    <w:p>
      <w:pPr>
        <w:pStyle w:val="TextBody"/>
        <w:bidi w:val="0"/>
        <w:spacing w:lineRule="auto" w:line="288" w:before="0" w:after="180"/>
        <w:jc w:val="left"/>
        <w:rPr/>
      </w:pPr>
      <w:r>
        <w:rPr>
          <w:rFonts w:ascii="Times New Roman;sans-serif" w:hAnsi="Times New Roman;sans-serif"/>
          <w:b w:val="false"/>
          <w:color w:val="000000"/>
          <w:sz w:val="18"/>
        </w:rPr>
        <w:t>The following table sets forth our results of operations together with the dollar and percentage change for the</w:t>
      </w:r>
      <w:r>
        <w:rPr>
          <w:color w:val="000000"/>
        </w:rPr>
        <w:t xml:space="preserve"> </w:t>
      </w:r>
      <w:r>
        <w:rPr>
          <w:rFonts w:ascii="Times New Roman;sans-serif" w:hAnsi="Times New Roman;sans-serif"/>
          <w:b w:val="false"/>
          <w:color w:val="000000"/>
          <w:sz w:val="18"/>
        </w:rPr>
        <w:t>three months ended</w:t>
      </w:r>
      <w:r>
        <w:rPr>
          <w:color w:val="000000"/>
        </w:rPr>
        <w:t xml:space="preserve"> </w:t>
      </w:r>
      <w:r>
        <w:rPr>
          <w:rFonts w:ascii="Times New Roman;sans-serif" w:hAnsi="Times New Roman;sans-serif"/>
          <w:b w:val="false"/>
          <w:color w:val="000000"/>
          <w:sz w:val="18"/>
        </w:rPr>
        <w:t>March 31,</w:t>
      </w:r>
      <w:r>
        <w:rPr>
          <w:color w:val="000000"/>
        </w:rPr>
        <w:t xml:space="preserve"> </w:t>
      </w:r>
      <w:r>
        <w:rPr>
          <w:rFonts w:ascii="Times New Roman;sans-serif" w:hAnsi="Times New Roman;sans-serif"/>
          <w:b w:val="false"/>
          <w:color w:val="000000"/>
          <w:sz w:val="18"/>
        </w:rPr>
        <w:t>2024</w:t>
      </w:r>
      <w:r>
        <w:rPr>
          <w:color w:val="000000"/>
        </w:rPr>
        <w:t xml:space="preserve"> </w:t>
      </w:r>
      <w:r>
        <w:rPr>
          <w:rFonts w:ascii="Times New Roman;sans-serif" w:hAnsi="Times New Roman;sans-serif"/>
          <w:b w:val="false"/>
          <w:color w:val="000000"/>
          <w:sz w:val="18"/>
        </w:rPr>
        <w:t>and</w:t>
      </w:r>
      <w:r>
        <w:rPr>
          <w:color w:val="000000"/>
        </w:rPr>
        <w:t xml:space="preserve"> </w:t>
      </w:r>
      <w:r>
        <w:rPr>
          <w:rFonts w:ascii="Times New Roman;sans-serif" w:hAnsi="Times New Roman;sans-serif"/>
          <w:b w:val="false"/>
          <w:color w:val="000000"/>
          <w:sz w:val="18"/>
        </w:rPr>
        <w:t>2023, as well as the components of our condensed consolidated statements of operations for the periods presented as a percentage of revenue:</w:t>
      </w:r>
    </w:p>
    <w:tbl>
      <w:tblPr>
        <w:tblW w:w="8874" w:type="dxa"/>
        <w:jc w:val="left"/>
        <w:tblInd w:w="0" w:type="dxa"/>
        <w:tblLayout w:type="fixed"/>
        <w:tblCellMar>
          <w:top w:w="28" w:type="dxa"/>
          <w:left w:w="28" w:type="dxa"/>
          <w:bottom w:w="28" w:type="dxa"/>
          <w:right w:w="28" w:type="dxa"/>
        </w:tblCellMar>
      </w:tblPr>
      <w:tblGrid>
        <w:gridCol w:w="1048"/>
        <w:gridCol w:w="920"/>
        <w:gridCol w:w="927"/>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9"/>
        <w:gridCol w:w="212"/>
        <w:gridCol w:w="366"/>
        <w:gridCol w:w="109"/>
        <w:gridCol w:w="109"/>
        <w:gridCol w:w="109"/>
        <w:gridCol w:w="851"/>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discussion and analysis is for the three months ended March 31, 2024, compared to the same period in 2023,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increased $65.3 million, or 32%, to $269.1 million for the three months ended March 31, 2024, compared to $203.9 million for the three months ended March 31, 2023. This increase was primarily driven by a 36% increase in active customers period over period, continued strength in the retention of existing customers,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countries to which the funds are transferred.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reflection of this growth, send volume increased 34% to $11.5 billion for the three months ended March 31, 2024, as compared to $8.5 billion for the three months ended March 31, 2023.</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Transaction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Transaction expenses increased $15.8 million, or 21%, to $89.9 million for the three months ended March 31, 2024, </w:t>
      </w:r>
      <w:r>
        <w:rPr>
          <w:rFonts w:ascii="Times New Roman;sans-serif" w:hAnsi="Times New Roman;sans-serif"/>
          <w:b w:val="false"/>
          <w:color w:val="000000"/>
          <w:sz w:val="18"/>
        </w:rPr>
        <w:t>compared to $74.1 million, for the three months ended March 31, 2023. The increase was primarily due to a $14.1 million increase in direct costs associated with processing a higher volume of our customers’ remittance transactions and the disbursement of our customers’ funds to their recipients.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transaction expenses declined to 33% for the three months ended March 31, 2024 as compared to 36% for the three months ended March 31, 2023. The decrease was primarily due to better economics with partners as we are able to secure better terms with our payment and disbursement partners as a result of increasing scale, and also due to improvements in our ability to prevent fraud and other losses.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 Expenses</w:t>
      </w:r>
    </w:p>
    <w:p>
      <w:pPr>
        <w:pStyle w:val="TextBody"/>
        <w:bidi w:val="0"/>
        <w:spacing w:lineRule="auto" w:line="288" w:before="0" w:after="180"/>
        <w:jc w:val="left"/>
        <w:rPr/>
      </w:pPr>
      <w:r>
        <w:rPr>
          <w:rFonts w:ascii="Times New Roman;sans-serif" w:hAnsi="Times New Roman;sans-serif"/>
          <w:b w:val="false"/>
          <w:color w:val="000000"/>
          <w:sz w:val="18"/>
        </w:rPr>
        <w:t xml:space="preserve">Customer support and operations expenses increased $0.2 million, or 1%, for the three months ended March 31, 2024, compared to the three months ended March 31, 2023. The increase was primarily driven by a $0.8 million increase to restructuring costs primarily related to severance (refer to Note 13. </w:t>
      </w:r>
      <w:r>
        <w:rPr>
          <w:rFonts w:ascii="Times New Roman;sans-serif" w:hAnsi="Times New Roman;sans-serif"/>
          <w:b w:val="false"/>
          <w:i/>
          <w:color w:val="000000"/>
          <w:sz w:val="18"/>
        </w:rPr>
        <w:t>Restructuring Initiatives</w:t>
      </w:r>
      <w:r>
        <w:rPr>
          <w:color w:val="000000"/>
        </w:rPr>
        <w:t xml:space="preserve"> </w:t>
      </w:r>
      <w:r>
        <w:rPr>
          <w:rFonts w:ascii="Times New Roman;sans-serif" w:hAnsi="Times New Roman;sans-serif"/>
          <w:b w:val="false"/>
          <w:color w:val="000000"/>
          <w:sz w:val="18"/>
        </w:rPr>
        <w:t>in the notes to the condensed consolidated financial statements included in Part I, Item 1 of this Quarterly Report on Form 10-Q for more information on the restructuring costs). This was offset by a $0.6 million decrease in personnel-related costs driven by an 11% decrease in customer support and operations headcount compared to the three months ended March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customer support and operations expenses decreased to 7% for the three months ended March 31, 2024, from 10% for the three months ended March 31, 2023. The decrease was primarily due to process improvements and automation driving scale across customer support headcount at internal and third-party customer support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Marketing expenses increased $23.9 million, or 54%, for the three months ended March 31, 2024, compared to the three months ended March 31, 2023</w:t>
      </w:r>
      <w:r>
        <w:rPr>
          <w:rFonts w:ascii="Times New Roman;sans-serif" w:hAnsi="Times New Roman;sans-serif"/>
          <w:b w:val="false"/>
          <w:color w:val="000000"/>
          <w:sz w:val="18"/>
        </w:rPr>
        <w:t>, primarily due to an increase of $19.8 million in advertising expense and other targeted marketing expense, including online and offline marketing spend and promotion costs to acquire new customers. In addition, personnel-related costs increased by $3.5 million, driven by a 23% increase in marketing headcount compared to the three months ended March 31, 2023.</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Technology and development expenses increased $13.8 million, or 28%</w:t>
      </w:r>
      <w:r>
        <w:rPr>
          <w:color w:val="000000"/>
        </w:rPr>
        <w:t xml:space="preserve"> </w:t>
      </w:r>
      <w:r>
        <w:rPr>
          <w:rFonts w:ascii="Times New Roman;sans-serif" w:hAnsi="Times New Roman;sans-serif"/>
          <w:b w:val="false"/>
          <w:color w:val="000000"/>
          <w:sz w:val="18"/>
        </w:rPr>
        <w:t>for the three months ended March 31, 2024, compared to the three months ended March 31, 2023. The increase was driven by $11.8 million in personnel-related expenses, net of personnel-related expenses capitalized as internal-use software, resulting from a 23% increase in headcount compared to the three months ended March 31, 2023, as part of our continued investment in our technology platform. The increase in technology and development expense was also driven by a $2.1 million increase in software costs for cloud services to support incremental transaction volume.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General and administrative expenses increased $2.8 million, or 7%, for the three months ended March 31, 2024, compared to the three months ended </w:t>
      </w:r>
      <w:r>
        <w:rPr>
          <w:rFonts w:ascii="Times New Roman;sans-serif" w:hAnsi="Times New Roman;sans-serif"/>
          <w:b w:val="false"/>
          <w:color w:val="000000"/>
          <w:sz w:val="18"/>
        </w:rPr>
        <w:t>March 31, 2023. This increase was primarily driven by a $5.6 million increase in personnel-related expenses resulting from an 18% increase in headcount compared to the three months ended March 31, 2023. This increase in general and administrative expenses was partially offset by a reduction in indirect taxes, professional fees, and certain non-recurring tax benefits recognized in the current quarter.</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As a percentage of revenue, general and administrative expenses decreased to 16% for the three months ended March 31, 2024, from 20% for the three months ended </w:t>
      </w:r>
      <w:r>
        <w:rPr>
          <w:rFonts w:ascii="Times New Roman;sans-serif" w:hAnsi="Times New Roman;sans-serif"/>
          <w:b w:val="false"/>
          <w:color w:val="000000"/>
          <w:sz w:val="18"/>
        </w:rPr>
        <w:t>March 31, 2023, as we begin to leverage scale in our general and administrative functions.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increased $0.6 million, or 21%, for the three months ended March 31, 2024, compared to the three months ended March 31, 2023. This increase is primarily driven by an increase in amortization of internal-use software.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provision for income taxes increased by $0.6 million for the three months ended March 31, 2024, as compared to the three months ended March 31, 2023. This increase is primarily driven by an increase in taxable income in certain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Non-GAAP Financial Measures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use Adjusted EBITDA, a non-GAAP financial measure to supplement net loss. Adjusted EBITDA is calculated as net loss adjusted by (i) interest (income) expense, net; (ii)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restructuring, and other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effect of gains and losses from the remeasurement of foreign currency assets and liabilities into their functional currency;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excludes noncash charges associated with the donation of our common stock in connection with our Pledge 1% commitment, which is recorded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Adjusted EBITDA excludes stock-based compensation expense, which has recently been, and will continue to be for the foreseeable future, a significant recurring expense for our business and an important part of our compensation strategy;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Adjusted EBITDA excludes certain transaction costs related to acquisition, integration, restructuring, and other costs. The acquisition and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a reconciliation of net loss to Adjusted EBITDA, the most directly comparable financial measure prepared in accordance with GAAP, for each of the periods indicated:</w:t>
      </w:r>
    </w:p>
    <w:tbl>
      <w:tblPr>
        <w:tblW w:w="7139" w:type="dxa"/>
        <w:jc w:val="left"/>
        <w:tblInd w:w="0" w:type="dxa"/>
        <w:tblLayout w:type="fixed"/>
        <w:tblCellMar>
          <w:top w:w="28" w:type="dxa"/>
          <w:left w:w="28" w:type="dxa"/>
          <w:bottom w:w="28" w:type="dxa"/>
          <w:right w:w="28" w:type="dxa"/>
        </w:tblCellMar>
      </w:tblPr>
      <w:tblGrid>
        <w:gridCol w:w="1478"/>
        <w:gridCol w:w="1300"/>
        <w:gridCol w:w="1302"/>
        <w:gridCol w:w="212"/>
        <w:gridCol w:w="782"/>
        <w:gridCol w:w="118"/>
        <w:gridCol w:w="118"/>
        <w:gridCol w:w="118"/>
        <w:gridCol w:w="118"/>
        <w:gridCol w:w="212"/>
        <w:gridCol w:w="782"/>
        <w:gridCol w:w="118"/>
        <w:gridCol w:w="109"/>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loss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Acquisition, integration, restructuring, and other costs</w:t>
            </w:r>
            <w:r>
              <w:rPr>
                <w:rFonts w:ascii="Times New Roman;sans-serif" w:hAnsi="Times New Roman;sans-serif"/>
                <w:b w:val="false"/>
                <w:color w:val="000000"/>
                <w:sz w:val="12"/>
              </w:rPr>
              <w:t>(1)</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18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Acquisition, integration, restructuring, and other costs for the three months ended March 31, 2024 consisted primarily of $0.8 million in restructuring charges incurred, $0.5 million of non-recurring legal charges, and $0.2 million related to the change in the fair value of the holdback liability associated with the acquisition of Rewire (O.S.G.) Research and Development Ltd. ("Rewire"). Acquisition, integration, restructuring, and other costs for the three months ended March 31, 2023 consisted primarily of $0.8 million related to the change in the fair value of the holdback liability and $0.4 million of professional fees incurred in connection with the acquisition and integration of Rewire. Refer to Note 6.</w:t>
      </w:r>
      <w:r>
        <w:rPr>
          <w:color w:val="000000"/>
        </w:rPr>
        <w:t xml:space="preserve">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 xml:space="preserve">and Note 13. </w:t>
      </w:r>
      <w:r>
        <w:rPr>
          <w:rFonts w:ascii="Times New Roman;sans-serif" w:hAnsi="Times New Roman;sans-serif"/>
          <w:b w:val="false"/>
          <w:i/>
          <w:color w:val="000000"/>
          <w:sz w:val="16"/>
        </w:rPr>
        <w:t>Restructuring Initiatives</w:t>
      </w:r>
      <w:r>
        <w:rPr>
          <w:color w:val="000000"/>
        </w:rPr>
        <w:t xml:space="preserve"> </w:t>
      </w:r>
      <w:r>
        <w:rPr>
          <w:rFonts w:ascii="Times New Roman;sans-serif" w:hAnsi="Times New Roman;sans-serif"/>
          <w:b w:val="false"/>
          <w:color w:val="000000"/>
          <w:sz w:val="16"/>
        </w:rPr>
        <w:t>in the notes to the condensed consolidated financial statements included in Part I, Item 1 of this Quarterly Report on Form 10-Q for more information on these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Liquidity and Capital Resources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Sources of Liquidity and Material Future Cash Requirements</w:t>
      </w:r>
    </w:p>
    <w:p>
      <w:pPr>
        <w:pStyle w:val="TextBody"/>
        <w:bidi w:val="0"/>
        <w:spacing w:lineRule="auto" w:line="288" w:before="0" w:after="180"/>
        <w:jc w:val="left"/>
        <w:rPr/>
      </w:pPr>
      <w:r>
        <w:rPr>
          <w:rFonts w:ascii="Times New Roman;sans-serif" w:hAnsi="Times New Roman;sans-serif"/>
          <w:b w:val="false"/>
          <w:color w:val="000000"/>
          <w:sz w:val="18"/>
        </w:rPr>
        <w:t>As of March 31, 2024 and December 31, 2023, our principal sources of liquidity were cash and cash equivalents of $286.0 million and $323.7 million, respectively, as well as funds available under the 2021 Revolving Credit Facility, which we entered into in September 2021. The 2021 Revolving Credit Facility was amended o</w:t>
      </w:r>
      <w:r>
        <w:rPr>
          <w:rFonts w:ascii="Times New Roman;sans-serif" w:hAnsi="Times New Roman;sans-serif"/>
          <w:b w:val="false"/>
          <w:color w:val="000000"/>
          <w:sz w:val="18"/>
          <w:shd w:fill="FFFFFF" w:val="clear"/>
        </w:rPr>
        <w:t xml:space="preserve">n December 20, 2023 to increase the revolving commitments from </w:t>
      </w:r>
      <w:r>
        <w:rPr>
          <w:rFonts w:ascii="Times New Roman;sans-serif" w:hAnsi="Times New Roman;sans-serif"/>
          <w:b w:val="false"/>
          <w:color w:val="000000"/>
          <w:sz w:val="18"/>
        </w:rPr>
        <w:t>$250.0 million</w:t>
      </w:r>
      <w:r>
        <w:rPr>
          <w:color w:val="000000"/>
          <w:shd w:fill="FFFFFF" w:val="clear"/>
        </w:rPr>
        <w:t xml:space="preserve"> </w:t>
      </w:r>
      <w:r>
        <w:rPr>
          <w:rFonts w:ascii="Times New Roman;sans-serif" w:hAnsi="Times New Roman;sans-serif"/>
          <w:b w:val="false"/>
          <w:color w:val="000000"/>
          <w:sz w:val="18"/>
          <w:shd w:fill="FFFFFF" w:val="clear"/>
        </w:rPr>
        <w:t xml:space="preserve">(including a </w:t>
      </w:r>
      <w:r>
        <w:rPr>
          <w:rFonts w:ascii="Times New Roman;sans-serif" w:hAnsi="Times New Roman;sans-serif"/>
          <w:b w:val="false"/>
          <w:color w:val="000000"/>
          <w:sz w:val="18"/>
        </w:rPr>
        <w:t>$60.0 million</w:t>
      </w:r>
      <w:r>
        <w:rPr>
          <w:color w:val="000000"/>
          <w:shd w:fill="FFFFFF" w:val="clear"/>
        </w:rPr>
        <w:t xml:space="preserve"> </w:t>
      </w:r>
      <w:r>
        <w:rPr>
          <w:rFonts w:ascii="Times New Roman;sans-serif" w:hAnsi="Times New Roman;sans-serif"/>
          <w:b w:val="false"/>
          <w:color w:val="000000"/>
          <w:sz w:val="18"/>
          <w:shd w:fill="FFFFFF" w:val="clear"/>
        </w:rPr>
        <w:t xml:space="preserve">letter of credit sub-facility) to </w:t>
      </w:r>
      <w:r>
        <w:rPr>
          <w:rFonts w:ascii="Times New Roman;sans-serif" w:hAnsi="Times New Roman;sans-serif"/>
          <w:b w:val="false"/>
          <w:color w:val="000000"/>
          <w:sz w:val="18"/>
        </w:rPr>
        <w:t>$325.0 million</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We have historically financed our operations and capital expenditures primarily through cash generated from operations including transaction fees and foreign exchange spreads. In recent periods, we have supplemented those cash flows with borrowings on our 2021 Revolving Credit Facility, primarily to support customer transaction volumes during peak periods, which we expect to continue to do in the future. During the three months ended March 31, 2024, we cumulatively borrowed $275.0 million against this credit facility, of which we repaid $255.0 million. The outstanding balance of $150.0 million as of March 31, 2024 was subsequently repaid the following business day on April 1, 2024. Operations continue to be substantially funded by the existing cash we have on hand and ongoing utilization of the 2021 Revolving Credit Facility (including the letter of credit sub-facility), which included active borrowings and repayments during the three months ended March 31, 2024. As of March 31, 2024, we have unused borrowing capacity of $126.9 million.</w:t>
      </w:r>
    </w:p>
    <w:p>
      <w:pPr>
        <w:pStyle w:val="TextBody"/>
        <w:bidi w:val="0"/>
        <w:spacing w:lineRule="auto" w:line="288" w:before="0" w:after="180"/>
        <w:jc w:val="left"/>
        <w:rPr/>
      </w:pPr>
      <w:r>
        <w:rPr>
          <w:rFonts w:ascii="Times New Roman;sans-serif" w:hAnsi="Times New Roman;sans-serif"/>
          <w:b w:val="false"/>
          <w:color w:val="000000"/>
          <w:sz w:val="18"/>
        </w:rPr>
        <w:t>We believe that our cash, cash equivalents, and funds available under the 2021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In addition, on January 5, 2023, we acquired 100% of the outstanding equity interests of Rewire (as defined herein) for approximately $77.9 million, which includes the fair value of cash and equity issued, or to be issued, to selling shareholders. A portion of these proceeds were held back at closing for any potential indemnity claims during the 15-month holdback period, subject to any deductions, the majority of which will be settled in cash, with a portion in Company common stock. As of March 31, 2024, the fair value of the liability held back that will be settled in cash and Company common stock was $13.2 million and was settled in April 2024. Refer to Note 6.</w:t>
      </w:r>
      <w:r>
        <w:rPr>
          <w:color w:val="000000"/>
        </w:rPr>
        <w:t xml:space="preserve">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 xml:space="preserve">in the notes to the condensed consolidated financial statements included in Part I, Item 1 of this Quarterly Report on Form 10-Q for more information on the settlement of the holdback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a summary of our Condensed Consolidated Statements of Cash Flows for the periods presented:</w:t>
      </w:r>
    </w:p>
    <w:tbl>
      <w:tblPr>
        <w:tblW w:w="8759" w:type="dxa"/>
        <w:jc w:val="left"/>
        <w:tblInd w:w="0" w:type="dxa"/>
        <w:tblLayout w:type="fixed"/>
        <w:tblCellMar>
          <w:top w:w="28" w:type="dxa"/>
          <w:left w:w="28" w:type="dxa"/>
          <w:bottom w:w="28" w:type="dxa"/>
          <w:right w:w="28" w:type="dxa"/>
        </w:tblCellMar>
      </w:tblPr>
      <w:tblGrid>
        <w:gridCol w:w="2222"/>
        <w:gridCol w:w="1954"/>
        <w:gridCol w:w="1959"/>
        <w:gridCol w:w="212"/>
        <w:gridCol w:w="781"/>
        <w:gridCol w:w="118"/>
        <w:gridCol w:w="118"/>
        <w:gridCol w:w="118"/>
        <w:gridCol w:w="118"/>
        <w:gridCol w:w="212"/>
        <w:gridCol w:w="781"/>
        <w:gridCol w:w="166"/>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Operating activities</w:t>
            </w:r>
            <w:r>
              <w:rPr>
                <w:rFonts w:ascii="Times New Roman;sans-serif" w:hAnsi="Times New Roman;sans-serif"/>
                <w:b w:val="false"/>
                <w:color w:val="000000"/>
                <w:sz w:val="12"/>
              </w:rPr>
              <w:t>(1)</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Financing activities</w:t>
            </w:r>
            <w:r>
              <w:rPr>
                <w:rFonts w:ascii="Times New Roman;sans-serif" w:hAnsi="Times New Roman;sans-serif"/>
                <w:b w:val="false"/>
                <w:color w:val="000000"/>
                <w:sz w:val="12"/>
              </w:rPr>
              <w:t>(1)</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(56,078)</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6"/>
        </w:rPr>
        <w:t xml:space="preserve">Certain prior period amounts have been reclassified to conform to the current period presentation. Refer to Note 2. </w:t>
      </w:r>
      <w:r>
        <w:rPr>
          <w:rFonts w:ascii="Times New Roman;sans-serif" w:hAnsi="Times New Roman;sans-serif"/>
          <w:b w:val="false"/>
          <w:i/>
          <w:color w:val="000000"/>
          <w:sz w:val="16"/>
        </w:rPr>
        <w:t>Basis of Presentation and Summary of Significant Accounting Policies</w:t>
      </w:r>
      <w:r>
        <w:rPr>
          <w:color w:val="000000"/>
        </w:rPr>
        <w:t xml:space="preserve"> </w:t>
      </w:r>
      <w:r>
        <w:rPr>
          <w:rFonts w:ascii="Times New Roman;sans-serif" w:hAnsi="Times New Roman;sans-serif"/>
          <w:b w:val="false"/>
          <w:color w:val="000000"/>
          <w:sz w:val="16"/>
        </w:rPr>
        <w:t>in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Cash Flows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Activities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disbursement postfunding liabilities and book overdrafts, both of which are included within the line item ‘</w:t>
      </w:r>
      <w:r>
        <w:rPr>
          <w:rFonts w:ascii="Times New Roman;sans-serif" w:hAnsi="Times New Roman;sans-serif"/>
          <w:b w:val="false"/>
          <w:i/>
          <w:color w:val="000000"/>
          <w:sz w:val="18"/>
          <w:shd w:fill="FFFFFF" w:val="clear"/>
        </w:rPr>
        <w:t>Accrued expenses and other liabilities.</w:t>
      </w:r>
      <w:r>
        <w:rPr>
          <w:color w:val="000000"/>
          <w:shd w:fill="FFFFFF" w:val="clear"/>
        </w:rPr>
        <w: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March 31, 2024, net cash used in operating activities was $56.8 million, which was primarily driven by an increase in overall growth in our global network of funding and disbursement partnerships, and an increase in volume of customer transactions. Specifically, as a result of both growth and timing, we saw an increase in disbursement prefunding of $6.2 million and customer funds receivable of $59.4 million, offset by an increase in customer liabilities of $14.7 million and accrued expenses and other liabilities, which are inclusive of disbursement postfunding liabilities and book overdrafts, of $10.4 million, which were the key drivers for the changes in our operating assets and liabilities which decreased operating cash flows by $73.7 million. This was partially offset by cash generated from our operations, when excluding the $38.0 million of noncash charges included within the $21.1 million net loss for the period.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2023, net cash used in operating activities was $2.3 million, which was primarily driven by a net loss of $28.3 million, excluding $33.3 million of noncash charges included within net loss for the period, and unfavorable changes in our operating assets and liabilities of $7.3 million. </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Investing Activities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 consists primarily of purchases of property and equipment, capitalization of internal-use software, and cash paid for acquisitions of businesses, net of acquired cash, cash equivalents, and restricted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cash used in investing activities was $4.3 million for the three months ended March 31, 2024, a decrease of $38.8 million, compared to net cash used in investing activities of $43.1 million for the three months ended March 31, 2023. This decrease was primarily driven by the acquisition of Rewire in the first quarter of 2023. </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Financing Activities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financing activities consists primarily of borrowings on our 2021 Revolving Credit Facility, proceeds from the exercise of stock options, and proceeds from the issuance of common stock in connection with ESPP, offset by repayments of borrowings and other indebtedness.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 for the three months ended March 31, 2024 was $26.1 million, an increase of $37.0 million, compared to net cash used in financing activities for the three months ended March 31, 2023 of $10.9 million. This increase was primarily driven by the net borrowings on our 2021 Revolving Credit Facility of $20.0 million in the three months ended March 31, 2024 and repayment of assumed indebtedness of $17.1 million that occurred in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Contractual Obligations and Commitments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rPr/>
      </w:pPr>
      <w:r>
        <w:rPr>
          <w:rFonts w:ascii="Times New Roman;sans-serif" w:hAnsi="Times New Roman;sans-serif"/>
          <w:b w:val="false"/>
          <w:color w:val="000000"/>
          <w:sz w:val="18"/>
        </w:rPr>
        <w:t xml:space="preserve">During the three months ended March 31, 2024, other than software, cloud infrastructure, marketing, and compliance-tool related contracts entered into in the normal course of business, there were no other material changes to the contractual obligations and contingencies as disclosed in Note 18. </w:t>
      </w:r>
      <w:r>
        <w:rPr>
          <w:rFonts w:ascii="Times New Roman;sans-serif" w:hAnsi="Times New Roman;sans-serif"/>
          <w:b w:val="false"/>
          <w:i/>
          <w:color w:val="000000"/>
          <w:sz w:val="18"/>
        </w:rPr>
        <w:t>Commitments and Contingencies</w:t>
      </w:r>
      <w:r>
        <w:rPr>
          <w:color w:val="000000"/>
        </w:rPr>
        <w:t xml:space="preserve"> </w:t>
      </w:r>
      <w:r>
        <w:rPr>
          <w:rFonts w:ascii="Times New Roman;sans-serif" w:hAnsi="Times New Roman;sans-serif"/>
          <w:b w:val="false"/>
          <w:color w:val="000000"/>
          <w:sz w:val="18"/>
        </w:rPr>
        <w:t xml:space="preserve">and Note 20. </w:t>
      </w:r>
      <w:r>
        <w:rPr>
          <w:rFonts w:ascii="Times New Roman;sans-serif" w:hAnsi="Times New Roman;sans-serif"/>
          <w:b w:val="false"/>
          <w:i/>
          <w:color w:val="000000"/>
          <w:sz w:val="18"/>
        </w:rPr>
        <w:t>Leases</w:t>
      </w:r>
      <w:r>
        <w:rPr>
          <w:color w:val="000000"/>
        </w:rPr>
        <w:t xml:space="preserve"> </w:t>
      </w:r>
      <w:r>
        <w:rPr>
          <w:rFonts w:ascii="Times New Roman;sans-serif" w:hAnsi="Times New Roman;sans-serif"/>
          <w:b w:val="false"/>
          <w:color w:val="000000"/>
          <w:sz w:val="18"/>
        </w:rPr>
        <w:t xml:space="preserve">in the notes to the consolidated financial statements included in Part II, Item 8 in our Annual Report on Form 10-K for the year ended December 31, 2023. For further discussion of commitments and contingencies, also refer to Note 16. </w:t>
      </w:r>
      <w:r>
        <w:rPr>
          <w:rFonts w:ascii="Times New Roman;sans-serif" w:hAnsi="Times New Roman;sans-serif"/>
          <w:b w:val="false"/>
          <w:i/>
          <w:color w:val="000000"/>
          <w:sz w:val="18"/>
        </w:rPr>
        <w:t>Commitments and Contingencies</w:t>
      </w:r>
      <w:r>
        <w:rPr>
          <w:color w:val="000000"/>
        </w:rPr>
        <w:t xml:space="preserve"> </w:t>
      </w:r>
      <w:r>
        <w:rPr>
          <w:rFonts w:ascii="Times New Roman;sans-serif" w:hAnsi="Times New Roman;sans-serif"/>
          <w:b w:val="false"/>
          <w:color w:val="000000"/>
          <w:sz w:val="18"/>
        </w:rPr>
        <w:t>of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2024,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on our Annual Report on Form 10-K, we elected not to record leases on our Condensed Consolidated Balance Sheets if the lease term is 12 months or less. For further information on our lease arrangements, refer to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rPr/>
      </w:pPr>
      <w:r>
        <w:rPr>
          <w:rFonts w:ascii="Times New Roman;sans-serif" w:hAnsi="Times New Roman;sans-serif"/>
          <w:b w:val="false"/>
          <w:color w:val="000000"/>
          <w:sz w:val="18"/>
        </w:rPr>
        <w:t xml:space="preserve">There have been no material changes, other than as described in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of the notes to the condensed consolidated financial statements to the Company’s critical accounting policies and estimates as compared to those described in “Management’s Discussion and Analysis of Financial Condition and Results of Operations” set forth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Recently Issued Accounting Pronouncements</w:t>
      </w:r>
    </w:p>
    <w:p>
      <w:pPr>
        <w:pStyle w:val="TextBody"/>
        <w:bidi w:val="0"/>
        <w:spacing w:lineRule="auto" w:line="288" w:before="0" w:after="180"/>
        <w:jc w:val="left"/>
        <w:rPr/>
      </w:pPr>
      <w:r>
        <w:rPr>
          <w:rFonts w:ascii="Times New Roman;sans-serif" w:hAnsi="Times New Roman;sans-serif"/>
          <w:b w:val="false"/>
          <w:color w:val="000000"/>
          <w:sz w:val="18"/>
        </w:rPr>
        <w:t xml:space="preserve">See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in the Company’s notes to the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Credit 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a limited number of pay-in payment processors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Foreign Currency Exchange Rate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18"/>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2024 and December 31, 2023,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$10.0 million and $19.3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Item 4. Controls and Procedures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Based on their evaluation as of March 31, 2024,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changes in our internal control over financial reporting as defined in the Exchange Act Rule 13a-15(f) that occurred during the quarter ended March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2023,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 Sales of Unregistered Equity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Use of Proceeds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September 2021, we completed our initial public offering (the “IPO”), in which we issued and sold 7,000,000 shares of our common stock at $43.00 per share. Concurrently, 5,162,777 shares were sold by certain of our existing stockholders. In addition, we concurrently issued 581,395 shares of common stock in a private placement at the same offering price as the IPO. We received net proceeds of $305.2 million for the IPO and private placement, after deducting underwriting discounts and other fees of $20.8 million. There has been no material change in the planned use of proceeds from our IPO as described in our final prospectus filed with the SEC on September 24, 2021 pursuant to Rule 424(b) under the Securities Act.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Issuer Purchase of Equity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Rule 10b5-1 and Non-Rule 10b5-1 Trading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March 12, 2024, Rene Yoakum, our EVP, Customer and Culture, adopted a trading plan intended to satisfy the conditions under Rule 10b5-1 of the Exchange Act. Ms. Yoakum’s plan is for the sale of up to 180,000 shares of our common stock and terminates on the earlier of the date all the shares under the plan are sold and June 30, 2025.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March 15, 2024, Hemanth Munipalli, our Chief Financial Officer, adopted a trading plan intended to satisfy the conditions under Rule 10b5-1 of the Exchange Act. Mr. Munipalli’s plan is for the sale of up to 110,000 shares of our common stock, the actual amount of which may be less based on tax withholdings of RSUs, and terminates on the earlier of the date all the shares under the plan are sold and June 30, 2025.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Litigation</w:t>
      </w:r>
    </w:p>
    <w:p>
      <w:pPr>
        <w:pStyle w:val="TextBody"/>
        <w:bidi w:val="0"/>
        <w:spacing w:lineRule="auto" w:line="288" w:before="0" w:after="180"/>
        <w:jc w:val="left"/>
        <w:rPr/>
      </w:pPr>
      <w:r>
        <w:rPr>
          <w:rFonts w:ascii="Times New Roman;sans-serif" w:hAnsi="Times New Roman;sans-serif"/>
          <w:b w:val="false"/>
          <w:color w:val="000000"/>
          <w:sz w:val="18"/>
        </w:rPr>
        <w:t xml:space="preserve">On February 29, 2024, Plaintiff James O’Connor (“Plaintiff”), on behalf of himself and all similarly situated stockholders of Remitly Global, Inc. (“Remitly”), filed a putative class action complaint styled </w:t>
      </w:r>
      <w:r>
        <w:rPr>
          <w:rFonts w:ascii="Times New Roman;sans-serif" w:hAnsi="Times New Roman;sans-serif"/>
          <w:b w:val="false"/>
          <w:i/>
          <w:color w:val="000000"/>
          <w:sz w:val="18"/>
        </w:rPr>
        <w:t>James O’Connor v. Ryno Blignaut, et al.</w:t>
      </w:r>
      <w:r>
        <w:rPr>
          <w:rFonts w:ascii="Times New Roman;sans-serif" w:hAnsi="Times New Roman;sans-serif"/>
          <w:b w:val="false"/>
          <w:color w:val="000000"/>
          <w:sz w:val="18"/>
        </w:rPr>
        <w:t>, 2024-0190-PAF (Del. Ch.) (the “Action”), against Remitly and its directors (collectively, “Defendants”) alleging breaches of fiduciary duty in connection with the approval, adoption, and maintenance of certain provisions in Remitly’s Restated Bylaws, effective September 27, 2021 (the “Bylaws”). Remitly and the director defendants do not believe the Bylaws required amendment under applicable law and deny that any breach of fiduciary duties or other wrongful conduct occurred, and solely to avoid the costs, distractions, and uncertainties inherent in litigation, on March 19, 2024, amended the Bylaws, which mooted Plaintiff’s claims. On March 25, 2024, the Court entered an Order dismissing the Action with prejudice as to Plaintiff and without prejudice as to any actual or potential claims of any other members of the putative class, retaining jurisdiction solely for the purpose of determining Plaintiff’s counsel’s application for attorneys’ fees and reimbursement of expenses (the “Fee Application”). To avoid the time and expense of continued litigation, the parties agreed to resolve the Fee Application in exchange for a payment by Remitly of $465,000 to Plaintiff’s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1782"/>
        <w:gridCol w:w="1655"/>
        <w:gridCol w:w="1673"/>
        <w:gridCol w:w="310"/>
        <w:gridCol w:w="310"/>
        <w:gridCol w:w="311"/>
        <w:gridCol w:w="191"/>
        <w:gridCol w:w="191"/>
        <w:gridCol w:w="157"/>
        <w:gridCol w:w="248"/>
        <w:gridCol w:w="239"/>
        <w:gridCol w:w="163"/>
        <w:gridCol w:w="225"/>
        <w:gridCol w:w="225"/>
        <w:gridCol w:w="226"/>
        <w:gridCol w:w="340"/>
        <w:gridCol w:w="340"/>
        <w:gridCol w:w="426"/>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Description</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ans-serif" w:hAnsi="Times New Roman;sans-serif"/>
                  <w:b w:val="false"/>
                  <w:color w:val="0000FF"/>
                  <w:sz w:val="18"/>
                  <w:u w:val="single"/>
                </w:rPr>
                <w:t>Amended and Restated Certificate of Incorporation</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Amended and Restated Bylaws</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March 20, 2024</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4-exhibit311.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4-exhibit312.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4-exhibit32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4-exhibit322.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1005"/>
                <wp:effectExtent l="0" t="0" r="0" b="0"/>
                <wp:wrapNone/>
                <wp:docPr id="35" name="Frame3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SIGNATURES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4897" w:type="dxa"/>
        <w:jc w:val="left"/>
        <w:tblInd w:w="0" w:type="dxa"/>
        <w:tblLayout w:type="fixed"/>
        <w:tblCellMar>
          <w:top w:w="28" w:type="dxa"/>
          <w:left w:w="28" w:type="dxa"/>
          <w:bottom w:w="28" w:type="dxa"/>
          <w:right w:w="28" w:type="dxa"/>
        </w:tblCellMar>
      </w:tblPr>
      <w:tblGrid>
        <w:gridCol w:w="195"/>
        <w:gridCol w:w="171"/>
        <w:gridCol w:w="173"/>
        <w:gridCol w:w="339"/>
        <w:gridCol w:w="339"/>
        <w:gridCol w:w="341"/>
        <w:gridCol w:w="120"/>
        <w:gridCol w:w="120"/>
        <w:gridCol w:w="120"/>
        <w:gridCol w:w="759"/>
        <w:gridCol w:w="759"/>
        <w:gridCol w:w="762"/>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Hemanth Munipalli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Hemanth Munipalli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Gail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Gail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1005"/>
                <wp:effectExtent l="0" t="0" r="0" b="0"/>
                <wp:wrapNone/>
                <wp:docPr id="36" name="Frame3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43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Hemanth Munipalli,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376"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04"/>
        <w:gridCol w:w="704"/>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Quarterly Report on Form 10-Q of the Company for the fiscal quarter ended March 31, 2024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43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40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400"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Hemanth Munipalli,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Quarterly Report on Form 10-Q of the Company for the fiscal quarter ended March 31, 2024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376"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04"/>
        <w:gridCol w:w="704"/>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1782170/000178217024000074/ex31-restated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20926</Words>
  <Characters>119641</Characters>
  <CharactersWithSpaces>139439</CharactersWithSpaces>
  <Paragraphs>1915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