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 Moal Laurent</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Remitly Global,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20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401 UNION STREET, SUITE 1000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98101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02/25/2026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0"/>
              </w:rPr>
              <w:t>566</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58,652</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02/25/2026</w:t>
            </w:r>
          </w:p>
        </w:tc>
        <w:tc>
          <w:tcPr>
            <w:tcW w:w="110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566</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273" w:lineRule="exact"/>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(5)</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(RSUs)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vesting of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reported prior awards of RSUs in Table II. The total reported in Table I, Column 5, includes 15,805 unvested RSUs previously reported in Table II and 42,847 shares of common stock.</w:t>
      </w:r>
    </w:p>
    <w:p>
      <w:pPr>
        <w:spacing w:after="0" w:line="14" w:lineRule="exact"/>
        <w:rPr>
          <w:rFonts w:ascii="Times New Roman" w:cs="Times New Roman" w:eastAsia="Times New Roman" w:hAnsi="Times New Roman"/>
          <w:sz w:val="13"/>
          <w:szCs w:val="13"/>
          <w:color w:val="008000"/>
        </w:rPr>
      </w:pPr>
    </w:p>
    <w:p>
      <w:pPr>
        <w:ind w:left="40" w:right="3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June 11, 2025, and will vest in four equal installments on each August 25, November 25, February 25, and May 25 following the grant date and, if not fully vested, shall vest in full on the earlier of (i) the date of the 2026 annual meeting of the Issuer's stockholders or (ii) June 11, 2026, subject to the reporting person's provision of service to the Issuer on each vesting date.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reported in Table I, Column 5, includes 566 unvested RSUs remaining under this RSU award previously reported in Table II.</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Jeff Mason as attorney-in-</w:t>
            </w:r>
          </w:p>
        </w:tc>
        <w:tc>
          <w:tcPr>
            <w:tcW w:w="10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02/27/2026</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0832"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2026-02-27T16:17:41Z</dcterms:created>
  <dcterms:modified xsi:type="dcterms:W3CDTF">2026-02-27T16:17:41Z</dcterms:modified>
</cp:coreProperties>
</file>