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September 23, 2021</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56515</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4"/>
          <w:szCs w:val="14"/>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REMITLY GLOBAL,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66" w:lineRule="exact"/>
        <w:rPr>
          <w:sz w:val="24"/>
          <w:szCs w:val="24"/>
          <w:color w:val="auto"/>
        </w:rPr>
      </w:pPr>
    </w:p>
    <w:tbl>
      <w:tblPr>
        <w:tblLayout w:type="fixed"/>
        <w:tblInd w:w="2120" w:type="dxa"/>
        <w:tblCellMar>
          <w:top w:w="0" w:type="dxa"/>
          <w:left w:w="0" w:type="dxa"/>
          <w:bottom w:w="0" w:type="dxa"/>
          <w:right w:w="0" w:type="dxa"/>
        </w:tblCellMar>
      </w:tblPr>
      <w:tr>
        <w:trPr>
          <w:trHeight w:val="210"/>
        </w:trPr>
        <w:tc>
          <w:tcPr>
            <w:tcW w:w="2340" w:type="dxa"/>
            <w:vAlign w:val="bottom"/>
          </w:tcPr>
          <w:p>
            <w:pPr>
              <w:jc w:val="center"/>
              <w:ind w:right="193"/>
              <w:spacing w:after="0"/>
              <w:rPr>
                <w:sz w:val="20"/>
                <w:szCs w:val="20"/>
                <w:color w:val="auto"/>
              </w:rPr>
            </w:pPr>
            <w:r>
              <w:rPr>
                <w:rFonts w:ascii="Arial" w:cs="Arial" w:eastAsia="Arial" w:hAnsi="Arial"/>
                <w:sz w:val="16"/>
                <w:szCs w:val="16"/>
                <w:b w:val="1"/>
                <w:bCs w:val="1"/>
                <w:color w:val="auto"/>
                <w:w w:val="91"/>
              </w:rPr>
              <w:t>Delaware</w:t>
            </w:r>
          </w:p>
        </w:tc>
        <w:tc>
          <w:tcPr>
            <w:tcW w:w="4660" w:type="dxa"/>
            <w:vAlign w:val="bottom"/>
            <w:gridSpan w:val="2"/>
          </w:tcPr>
          <w:p>
            <w:pPr>
              <w:jc w:val="center"/>
              <w:ind w:left="2503"/>
              <w:spacing w:after="0"/>
              <w:rPr>
                <w:sz w:val="20"/>
                <w:szCs w:val="20"/>
                <w:color w:val="auto"/>
              </w:rPr>
            </w:pPr>
            <w:r>
              <w:rPr>
                <w:rFonts w:ascii="Arial" w:cs="Arial" w:eastAsia="Arial" w:hAnsi="Arial"/>
                <w:sz w:val="16"/>
                <w:szCs w:val="16"/>
                <w:b w:val="1"/>
                <w:bCs w:val="1"/>
                <w:color w:val="auto"/>
                <w:w w:val="88"/>
              </w:rPr>
              <w:t>83-2301143</w:t>
            </w:r>
          </w:p>
        </w:tc>
        <w:tc>
          <w:tcPr>
            <w:tcW w:w="0" w:type="dxa"/>
            <w:vAlign w:val="bottom"/>
          </w:tcPr>
          <w:p>
            <w:pPr>
              <w:spacing w:after="0"/>
              <w:rPr>
                <w:sz w:val="1"/>
                <w:szCs w:val="1"/>
                <w:color w:val="auto"/>
              </w:rPr>
            </w:pPr>
          </w:p>
        </w:tc>
      </w:tr>
      <w:tr>
        <w:trPr>
          <w:trHeight w:val="186"/>
        </w:trPr>
        <w:tc>
          <w:tcPr>
            <w:tcW w:w="234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(State or other jurisdiction of</w:t>
            </w:r>
          </w:p>
        </w:tc>
        <w:tc>
          <w:tcPr>
            <w:tcW w:w="2340" w:type="dxa"/>
            <w:vAlign w:val="bottom"/>
          </w:tcPr>
          <w:p>
            <w:pPr>
              <w:spacing w:after="0"/>
              <w:rPr>
                <w:sz w:val="16"/>
                <w:szCs w:val="16"/>
                <w:color w:val="auto"/>
              </w:rPr>
            </w:pPr>
          </w:p>
        </w:tc>
        <w:tc>
          <w:tcPr>
            <w:tcW w:w="2320" w:type="dxa"/>
            <w:vAlign w:val="bottom"/>
          </w:tcPr>
          <w:p>
            <w:pPr>
              <w:jc w:val="center"/>
              <w:ind w:left="175"/>
              <w:spacing w:after="0"/>
              <w:rPr>
                <w:sz w:val="20"/>
                <w:szCs w:val="20"/>
                <w:color w:val="auto"/>
              </w:rPr>
            </w:pPr>
            <w:r>
              <w:rPr>
                <w:rFonts w:ascii="Arial" w:cs="Arial" w:eastAsia="Arial" w:hAnsi="Arial"/>
                <w:sz w:val="14"/>
                <w:szCs w:val="14"/>
                <w:b w:val="1"/>
                <w:bCs w:val="1"/>
                <w:color w:val="auto"/>
                <w:w w:val="96"/>
              </w:rPr>
              <w:t>(I.R.S. Employer Identification</w:t>
            </w:r>
          </w:p>
        </w:tc>
        <w:tc>
          <w:tcPr>
            <w:tcW w:w="0" w:type="dxa"/>
            <w:vAlign w:val="bottom"/>
          </w:tcPr>
          <w:p>
            <w:pPr>
              <w:spacing w:after="0"/>
              <w:rPr>
                <w:sz w:val="1"/>
                <w:szCs w:val="1"/>
                <w:color w:val="auto"/>
              </w:rPr>
            </w:pPr>
          </w:p>
        </w:tc>
      </w:tr>
      <w:tr>
        <w:trPr>
          <w:trHeight w:val="186"/>
        </w:trPr>
        <w:tc>
          <w:tcPr>
            <w:tcW w:w="2340" w:type="dxa"/>
            <w:vAlign w:val="bottom"/>
          </w:tcPr>
          <w:p>
            <w:pPr>
              <w:jc w:val="center"/>
              <w:ind w:right="193"/>
              <w:spacing w:after="0"/>
              <w:rPr>
                <w:sz w:val="20"/>
                <w:szCs w:val="20"/>
                <w:color w:val="auto"/>
              </w:rPr>
            </w:pPr>
            <w:r>
              <w:rPr>
                <w:rFonts w:ascii="Arial" w:cs="Arial" w:eastAsia="Arial" w:hAnsi="Arial"/>
                <w:sz w:val="14"/>
                <w:szCs w:val="14"/>
                <w:b w:val="1"/>
                <w:bCs w:val="1"/>
                <w:color w:val="auto"/>
                <w:w w:val="94"/>
              </w:rPr>
              <w:t>incorporation or organization)</w:t>
            </w:r>
          </w:p>
        </w:tc>
        <w:tc>
          <w:tcPr>
            <w:tcW w:w="2340" w:type="dxa"/>
            <w:vAlign w:val="bottom"/>
          </w:tcPr>
          <w:p>
            <w:pPr>
              <w:spacing w:after="0"/>
              <w:rPr>
                <w:sz w:val="16"/>
                <w:szCs w:val="16"/>
                <w:color w:val="auto"/>
              </w:rPr>
            </w:pPr>
          </w:p>
        </w:tc>
        <w:tc>
          <w:tcPr>
            <w:tcW w:w="2320" w:type="dxa"/>
            <w:vAlign w:val="bottom"/>
          </w:tcPr>
          <w:p>
            <w:pPr>
              <w:jc w:val="center"/>
              <w:ind w:left="195"/>
              <w:spacing w:after="0"/>
              <w:rPr>
                <w:sz w:val="20"/>
                <w:szCs w:val="20"/>
                <w:color w:val="auto"/>
              </w:rPr>
            </w:pPr>
            <w:r>
              <w:rPr>
                <w:rFonts w:ascii="Arial" w:cs="Arial" w:eastAsia="Arial" w:hAnsi="Arial"/>
                <w:sz w:val="14"/>
                <w:szCs w:val="14"/>
                <w:b w:val="1"/>
                <w:bCs w:val="1"/>
                <w:color w:val="auto"/>
                <w:w w:val="95"/>
              </w:rPr>
              <w:t>No.)</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4660" w:type="dxa"/>
            <w:vAlign w:val="bottom"/>
            <w:gridSpan w:val="2"/>
          </w:tcPr>
          <w:p>
            <w:pPr>
              <w:jc w:val="center"/>
              <w:ind w:right="2275"/>
              <w:spacing w:after="0"/>
              <w:rPr>
                <w:sz w:val="20"/>
                <w:szCs w:val="20"/>
                <w:color w:val="auto"/>
              </w:rPr>
            </w:pPr>
            <w:r>
              <w:rPr>
                <w:rFonts w:ascii="Arial" w:cs="Arial" w:eastAsia="Arial" w:hAnsi="Arial"/>
                <w:sz w:val="16"/>
                <w:szCs w:val="16"/>
                <w:b w:val="1"/>
                <w:bCs w:val="1"/>
                <w:color w:val="auto"/>
                <w:w w:val="90"/>
              </w:rPr>
              <w:t>1111 Third Avenue, Suite 2100</w:t>
            </w:r>
          </w:p>
        </w:tc>
        <w:tc>
          <w:tcPr>
            <w:tcW w:w="0" w:type="dxa"/>
            <w:vAlign w:val="bottom"/>
          </w:tcPr>
          <w:p>
            <w:pPr>
              <w:spacing w:after="0"/>
              <w:rPr>
                <w:sz w:val="1"/>
                <w:szCs w:val="1"/>
                <w:color w:val="auto"/>
              </w:rPr>
            </w:pPr>
          </w:p>
        </w:tc>
      </w:tr>
      <w:tr>
        <w:trPr>
          <w:trHeight w:val="185"/>
        </w:trPr>
        <w:tc>
          <w:tcPr>
            <w:tcW w:w="2340" w:type="dxa"/>
            <w:vAlign w:val="bottom"/>
          </w:tcPr>
          <w:p>
            <w:pPr>
              <w:spacing w:after="0"/>
              <w:rPr>
                <w:sz w:val="16"/>
                <w:szCs w:val="16"/>
                <w:color w:val="auto"/>
              </w:rPr>
            </w:pPr>
          </w:p>
        </w:tc>
        <w:tc>
          <w:tcPr>
            <w:tcW w:w="4660" w:type="dxa"/>
            <w:vAlign w:val="bottom"/>
            <w:gridSpan w:val="2"/>
          </w:tcPr>
          <w:p>
            <w:pPr>
              <w:jc w:val="center"/>
              <w:ind w:right="2255"/>
              <w:spacing w:after="0"/>
              <w:rPr>
                <w:sz w:val="20"/>
                <w:szCs w:val="20"/>
                <w:color w:val="auto"/>
              </w:rPr>
            </w:pPr>
            <w:r>
              <w:rPr>
                <w:rFonts w:ascii="Arial" w:cs="Arial" w:eastAsia="Arial" w:hAnsi="Arial"/>
                <w:sz w:val="16"/>
                <w:szCs w:val="16"/>
                <w:b w:val="1"/>
                <w:bCs w:val="1"/>
                <w:color w:val="auto"/>
                <w:w w:val="91"/>
              </w:rPr>
              <w:t>Seattle, WA 98101</w:t>
            </w:r>
          </w:p>
        </w:tc>
        <w:tc>
          <w:tcPr>
            <w:tcW w:w="0" w:type="dxa"/>
            <w:vAlign w:val="bottom"/>
          </w:tcPr>
          <w:p>
            <w:pPr>
              <w:spacing w:after="0"/>
              <w:rPr>
                <w:sz w:val="1"/>
                <w:szCs w:val="1"/>
                <w:color w:val="auto"/>
              </w:rPr>
            </w:pPr>
          </w:p>
        </w:tc>
      </w:tr>
      <w:tr>
        <w:trPr>
          <w:trHeight w:val="164"/>
        </w:trPr>
        <w:tc>
          <w:tcPr>
            <w:tcW w:w="7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 including zip code)</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7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Remitly Global, Inc. 2011 Equity Incentive Plan</w:t>
            </w:r>
          </w:p>
        </w:tc>
        <w:tc>
          <w:tcPr>
            <w:tcW w:w="0" w:type="dxa"/>
            <w:vAlign w:val="bottom"/>
          </w:tcPr>
          <w:p>
            <w:pPr>
              <w:spacing w:after="0"/>
              <w:rPr>
                <w:sz w:val="1"/>
                <w:szCs w:val="1"/>
                <w:color w:val="auto"/>
              </w:rPr>
            </w:pPr>
          </w:p>
        </w:tc>
      </w:tr>
      <w:tr>
        <w:trPr>
          <w:trHeight w:val="164"/>
        </w:trPr>
        <w:tc>
          <w:tcPr>
            <w:tcW w:w="2340" w:type="dxa"/>
            <w:vAlign w:val="bottom"/>
          </w:tcPr>
          <w:p>
            <w:pPr>
              <w:spacing w:after="0"/>
              <w:rPr>
                <w:sz w:val="14"/>
                <w:szCs w:val="14"/>
                <w:color w:val="auto"/>
              </w:rPr>
            </w:pPr>
          </w:p>
        </w:tc>
        <w:tc>
          <w:tcPr>
            <w:tcW w:w="4660" w:type="dxa"/>
            <w:vAlign w:val="bottom"/>
            <w:gridSpan w:val="2"/>
          </w:tcPr>
          <w:p>
            <w:pPr>
              <w:jc w:val="center"/>
              <w:ind w:right="2255"/>
              <w:spacing w:after="0"/>
              <w:rPr>
                <w:sz w:val="20"/>
                <w:szCs w:val="20"/>
                <w:color w:val="auto"/>
              </w:rPr>
            </w:pPr>
            <w:r>
              <w:rPr>
                <w:rFonts w:ascii="Arial" w:cs="Arial" w:eastAsia="Arial" w:hAnsi="Arial"/>
                <w:sz w:val="13"/>
                <w:szCs w:val="13"/>
                <w:b w:val="1"/>
                <w:bCs w:val="1"/>
                <w:color w:val="auto"/>
                <w:w w:val="89"/>
              </w:rPr>
              <w:t>(Full title of the plan)</w:t>
            </w:r>
          </w:p>
        </w:tc>
        <w:tc>
          <w:tcPr>
            <w:tcW w:w="0" w:type="dxa"/>
            <w:vAlign w:val="bottom"/>
          </w:tcPr>
          <w:p>
            <w:pPr>
              <w:spacing w:after="0"/>
              <w:rPr>
                <w:sz w:val="1"/>
                <w:szCs w:val="1"/>
                <w:color w:val="auto"/>
              </w:rPr>
            </w:pPr>
          </w:p>
        </w:tc>
      </w:tr>
      <w:tr>
        <w:trPr>
          <w:trHeight w:val="83"/>
        </w:trPr>
        <w:tc>
          <w:tcPr>
            <w:tcW w:w="2340" w:type="dxa"/>
            <w:vAlign w:val="bottom"/>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2340" w:type="dxa"/>
            <w:vAlign w:val="bottom"/>
          </w:tcPr>
          <w:p>
            <w:pPr>
              <w:spacing w:after="0"/>
              <w:rPr>
                <w:sz w:val="24"/>
                <w:szCs w:val="24"/>
                <w:color w:val="auto"/>
              </w:rPr>
            </w:pPr>
          </w:p>
        </w:tc>
        <w:tc>
          <w:tcPr>
            <w:tcW w:w="4660" w:type="dxa"/>
            <w:vAlign w:val="bottom"/>
            <w:gridSpan w:val="2"/>
          </w:tcPr>
          <w:p>
            <w:pPr>
              <w:jc w:val="center"/>
              <w:ind w:right="2255"/>
              <w:spacing w:after="0"/>
              <w:rPr>
                <w:sz w:val="20"/>
                <w:szCs w:val="20"/>
                <w:color w:val="auto"/>
              </w:rPr>
            </w:pPr>
            <w:r>
              <w:rPr>
                <w:rFonts w:ascii="Arial" w:cs="Arial" w:eastAsia="Arial" w:hAnsi="Arial"/>
                <w:sz w:val="16"/>
                <w:szCs w:val="16"/>
                <w:b w:val="1"/>
                <w:bCs w:val="1"/>
                <w:color w:val="auto"/>
                <w:w w:val="94"/>
              </w:rPr>
              <w:t>Matthew Oppenheimer</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660" w:type="dxa"/>
            <w:vAlign w:val="bottom"/>
            <w:gridSpan w:val="2"/>
          </w:tcPr>
          <w:p>
            <w:pPr>
              <w:jc w:val="center"/>
              <w:ind w:right="2275"/>
              <w:spacing w:after="0"/>
              <w:rPr>
                <w:sz w:val="20"/>
                <w:szCs w:val="20"/>
                <w:color w:val="auto"/>
              </w:rPr>
            </w:pPr>
            <w:r>
              <w:rPr>
                <w:rFonts w:ascii="Arial" w:cs="Arial" w:eastAsia="Arial" w:hAnsi="Arial"/>
                <w:sz w:val="16"/>
                <w:szCs w:val="16"/>
                <w:b w:val="1"/>
                <w:bCs w:val="1"/>
                <w:color w:val="auto"/>
                <w:w w:val="93"/>
              </w:rPr>
              <w:t>Chief Executive Officer</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660" w:type="dxa"/>
            <w:vAlign w:val="bottom"/>
            <w:gridSpan w:val="2"/>
          </w:tcPr>
          <w:p>
            <w:pPr>
              <w:jc w:val="center"/>
              <w:ind w:right="2275"/>
              <w:spacing w:after="0"/>
              <w:rPr>
                <w:sz w:val="20"/>
                <w:szCs w:val="20"/>
                <w:color w:val="auto"/>
              </w:rPr>
            </w:pPr>
            <w:r>
              <w:rPr>
                <w:rFonts w:ascii="Arial" w:cs="Arial" w:eastAsia="Arial" w:hAnsi="Arial"/>
                <w:sz w:val="16"/>
                <w:szCs w:val="16"/>
                <w:b w:val="1"/>
                <w:bCs w:val="1"/>
                <w:color w:val="auto"/>
                <w:w w:val="94"/>
              </w:rPr>
              <w:t>Remitly Global, Inc.</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660" w:type="dxa"/>
            <w:vAlign w:val="bottom"/>
            <w:gridSpan w:val="2"/>
          </w:tcPr>
          <w:p>
            <w:pPr>
              <w:jc w:val="center"/>
              <w:ind w:right="2275"/>
              <w:spacing w:after="0"/>
              <w:rPr>
                <w:sz w:val="20"/>
                <w:szCs w:val="20"/>
                <w:color w:val="auto"/>
              </w:rPr>
            </w:pPr>
            <w:r>
              <w:rPr>
                <w:rFonts w:ascii="Arial" w:cs="Arial" w:eastAsia="Arial" w:hAnsi="Arial"/>
                <w:sz w:val="16"/>
                <w:szCs w:val="16"/>
                <w:b w:val="1"/>
                <w:bCs w:val="1"/>
                <w:color w:val="auto"/>
                <w:w w:val="90"/>
              </w:rPr>
              <w:t>1111 Third Avenue, Suite 2100</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4660" w:type="dxa"/>
            <w:vAlign w:val="bottom"/>
            <w:gridSpan w:val="2"/>
          </w:tcPr>
          <w:p>
            <w:pPr>
              <w:jc w:val="center"/>
              <w:ind w:right="2255"/>
              <w:spacing w:after="0"/>
              <w:rPr>
                <w:sz w:val="20"/>
                <w:szCs w:val="20"/>
                <w:color w:val="auto"/>
              </w:rPr>
            </w:pPr>
            <w:r>
              <w:rPr>
                <w:rFonts w:ascii="Arial" w:cs="Arial" w:eastAsia="Arial" w:hAnsi="Arial"/>
                <w:sz w:val="16"/>
                <w:szCs w:val="16"/>
                <w:b w:val="1"/>
                <w:bCs w:val="1"/>
                <w:color w:val="auto"/>
                <w:w w:val="91"/>
              </w:rPr>
              <w:t>Seattle, WA 98101</w:t>
            </w:r>
          </w:p>
        </w:tc>
        <w:tc>
          <w:tcPr>
            <w:tcW w:w="0" w:type="dxa"/>
            <w:vAlign w:val="bottom"/>
          </w:tcPr>
          <w:p>
            <w:pPr>
              <w:spacing w:after="0"/>
              <w:rPr>
                <w:sz w:val="1"/>
                <w:szCs w:val="1"/>
                <w:color w:val="auto"/>
              </w:rPr>
            </w:pPr>
          </w:p>
        </w:tc>
      </w:tr>
      <w:tr>
        <w:trPr>
          <w:trHeight w:val="185"/>
        </w:trPr>
        <w:tc>
          <w:tcPr>
            <w:tcW w:w="234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(888) 736-4859</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(Name, address and telephone number, including area code, of agent for service)</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4660" w:type="dxa"/>
            <w:vAlign w:val="bottom"/>
            <w:gridSpan w:val="2"/>
          </w:tcPr>
          <w:p>
            <w:pPr>
              <w:jc w:val="center"/>
              <w:ind w:right="2275"/>
              <w:spacing w:after="0"/>
              <w:rPr>
                <w:sz w:val="20"/>
                <w:szCs w:val="20"/>
                <w:color w:val="auto"/>
              </w:rPr>
            </w:pPr>
            <w:r>
              <w:rPr>
                <w:rFonts w:ascii="Arial" w:cs="Arial" w:eastAsia="Arial" w:hAnsi="Arial"/>
                <w:sz w:val="14"/>
                <w:szCs w:val="14"/>
                <w:i w:val="1"/>
                <w:iCs w:val="1"/>
                <w:color w:val="auto"/>
                <w:w w:val="95"/>
              </w:rPr>
              <w:t>Copies to:</w:t>
            </w:r>
          </w:p>
        </w:tc>
        <w:tc>
          <w:tcPr>
            <w:tcW w:w="0" w:type="dxa"/>
            <w:vAlign w:val="bottom"/>
          </w:tcPr>
          <w:p>
            <w:pPr>
              <w:spacing w:after="0"/>
              <w:rPr>
                <w:sz w:val="1"/>
                <w:szCs w:val="1"/>
                <w:color w:val="auto"/>
              </w:rPr>
            </w:pPr>
          </w:p>
        </w:tc>
      </w:tr>
      <w:tr>
        <w:trPr>
          <w:trHeight w:val="80"/>
        </w:trPr>
        <w:tc>
          <w:tcPr>
            <w:tcW w:w="2340" w:type="dxa"/>
            <w:vAlign w:val="bottom"/>
            <w:vMerge w:val="restart"/>
          </w:tcPr>
          <w:p>
            <w:pPr>
              <w:jc w:val="center"/>
              <w:ind w:right="1153"/>
              <w:spacing w:after="0"/>
              <w:rPr>
                <w:sz w:val="20"/>
                <w:szCs w:val="20"/>
                <w:color w:val="auto"/>
              </w:rPr>
            </w:pPr>
            <w:r>
              <w:rPr>
                <w:rFonts w:ascii="Arial" w:cs="Arial" w:eastAsia="Arial" w:hAnsi="Arial"/>
                <w:sz w:val="13"/>
                <w:szCs w:val="13"/>
                <w:b w:val="1"/>
                <w:bCs w:val="1"/>
                <w:color w:val="auto"/>
                <w:w w:val="91"/>
              </w:rPr>
              <w:t>William Bromfield</w:t>
            </w:r>
          </w:p>
        </w:tc>
        <w:tc>
          <w:tcPr>
            <w:tcW w:w="2340" w:type="dxa"/>
            <w:vAlign w:val="bottom"/>
            <w:tcBorders>
              <w:bottom w:val="single" w:sz="8" w:color="auto"/>
            </w:tcBorders>
          </w:tcPr>
          <w:p>
            <w:pPr>
              <w:spacing w:after="0"/>
              <w:rPr>
                <w:sz w:val="6"/>
                <w:szCs w:val="6"/>
                <w:color w:val="auto"/>
              </w:rPr>
            </w:pPr>
          </w:p>
        </w:tc>
        <w:tc>
          <w:tcPr>
            <w:tcW w:w="2320" w:type="dxa"/>
            <w:vAlign w:val="bottom"/>
            <w:vMerge w:val="restart"/>
          </w:tcPr>
          <w:p>
            <w:pPr>
              <w:jc w:val="center"/>
              <w:ind w:left="1155"/>
              <w:spacing w:after="0"/>
              <w:rPr>
                <w:sz w:val="20"/>
                <w:szCs w:val="20"/>
                <w:color w:val="auto"/>
              </w:rPr>
            </w:pPr>
            <w:r>
              <w:rPr>
                <w:rFonts w:ascii="Arial" w:cs="Arial" w:eastAsia="Arial" w:hAnsi="Arial"/>
                <w:sz w:val="13"/>
                <w:szCs w:val="13"/>
                <w:b w:val="1"/>
                <w:bCs w:val="1"/>
                <w:color w:val="auto"/>
                <w:w w:val="86"/>
              </w:rPr>
              <w:t>Saema Somalya</w:t>
            </w:r>
          </w:p>
        </w:tc>
        <w:tc>
          <w:tcPr>
            <w:tcW w:w="0" w:type="dxa"/>
            <w:vAlign w:val="bottom"/>
          </w:tcPr>
          <w:p>
            <w:pPr>
              <w:spacing w:after="0"/>
              <w:rPr>
                <w:sz w:val="1"/>
                <w:szCs w:val="1"/>
                <w:color w:val="auto"/>
              </w:rPr>
            </w:pPr>
          </w:p>
        </w:tc>
      </w:tr>
      <w:tr>
        <w:trPr>
          <w:trHeight w:val="288"/>
        </w:trPr>
        <w:tc>
          <w:tcPr>
            <w:tcW w:w="23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40" w:type="dxa"/>
            <w:vAlign w:val="bottom"/>
          </w:tcPr>
          <w:p>
            <w:pPr>
              <w:jc w:val="center"/>
              <w:ind w:right="1153"/>
              <w:spacing w:after="0"/>
              <w:rPr>
                <w:sz w:val="20"/>
                <w:szCs w:val="20"/>
                <w:color w:val="auto"/>
              </w:rPr>
            </w:pPr>
            <w:r>
              <w:rPr>
                <w:rFonts w:ascii="Arial" w:cs="Arial" w:eastAsia="Arial" w:hAnsi="Arial"/>
                <w:sz w:val="13"/>
                <w:szCs w:val="13"/>
                <w:b w:val="1"/>
                <w:bCs w:val="1"/>
                <w:color w:val="auto"/>
                <w:w w:val="82"/>
              </w:rPr>
              <w:t>James Evans</w:t>
            </w:r>
          </w:p>
        </w:tc>
        <w:tc>
          <w:tcPr>
            <w:tcW w:w="2340" w:type="dxa"/>
            <w:vAlign w:val="bottom"/>
          </w:tcPr>
          <w:p>
            <w:pPr>
              <w:spacing w:after="0"/>
              <w:rPr>
                <w:sz w:val="17"/>
                <w:szCs w:val="17"/>
                <w:color w:val="auto"/>
              </w:rPr>
            </w:pPr>
          </w:p>
        </w:tc>
        <w:tc>
          <w:tcPr>
            <w:tcW w:w="2320" w:type="dxa"/>
            <w:vAlign w:val="bottom"/>
          </w:tcPr>
          <w:p>
            <w:pPr>
              <w:jc w:val="center"/>
              <w:ind w:left="1155"/>
              <w:spacing w:after="0"/>
              <w:rPr>
                <w:sz w:val="20"/>
                <w:szCs w:val="20"/>
                <w:color w:val="auto"/>
              </w:rPr>
            </w:pPr>
            <w:r>
              <w:rPr>
                <w:rFonts w:ascii="Arial" w:cs="Arial" w:eastAsia="Arial" w:hAnsi="Arial"/>
                <w:sz w:val="13"/>
                <w:szCs w:val="13"/>
                <w:b w:val="1"/>
                <w:bCs w:val="1"/>
                <w:color w:val="auto"/>
                <w:w w:val="87"/>
              </w:rPr>
              <w:t>General Counsel</w:t>
            </w:r>
          </w:p>
        </w:tc>
        <w:tc>
          <w:tcPr>
            <w:tcW w:w="0" w:type="dxa"/>
            <w:vAlign w:val="bottom"/>
          </w:tcPr>
          <w:p>
            <w:pPr>
              <w:spacing w:after="0"/>
              <w:rPr>
                <w:sz w:val="1"/>
                <w:szCs w:val="1"/>
                <w:color w:val="auto"/>
              </w:rPr>
            </w:pPr>
          </w:p>
        </w:tc>
      </w:tr>
      <w:tr>
        <w:trPr>
          <w:trHeight w:val="203"/>
        </w:trPr>
        <w:tc>
          <w:tcPr>
            <w:tcW w:w="2340" w:type="dxa"/>
            <w:vAlign w:val="bottom"/>
          </w:tcPr>
          <w:p>
            <w:pPr>
              <w:jc w:val="center"/>
              <w:ind w:right="1153"/>
              <w:spacing w:after="0"/>
              <w:rPr>
                <w:sz w:val="20"/>
                <w:szCs w:val="20"/>
                <w:color w:val="auto"/>
              </w:rPr>
            </w:pPr>
            <w:r>
              <w:rPr>
                <w:rFonts w:ascii="Arial" w:cs="Arial" w:eastAsia="Arial" w:hAnsi="Arial"/>
                <w:sz w:val="13"/>
                <w:szCs w:val="13"/>
                <w:b w:val="1"/>
                <w:bCs w:val="1"/>
                <w:color w:val="auto"/>
                <w:w w:val="89"/>
              </w:rPr>
              <w:t>Katherine Duncan</w:t>
            </w:r>
          </w:p>
        </w:tc>
        <w:tc>
          <w:tcPr>
            <w:tcW w:w="2340" w:type="dxa"/>
            <w:vAlign w:val="bottom"/>
          </w:tcPr>
          <w:p>
            <w:pPr>
              <w:spacing w:after="0"/>
              <w:rPr>
                <w:sz w:val="17"/>
                <w:szCs w:val="17"/>
                <w:color w:val="auto"/>
              </w:rPr>
            </w:pPr>
          </w:p>
        </w:tc>
        <w:tc>
          <w:tcPr>
            <w:tcW w:w="2320" w:type="dxa"/>
            <w:vAlign w:val="bottom"/>
          </w:tcPr>
          <w:p>
            <w:pPr>
              <w:jc w:val="center"/>
              <w:ind w:left="1155"/>
              <w:spacing w:after="0"/>
              <w:rPr>
                <w:sz w:val="20"/>
                <w:szCs w:val="20"/>
                <w:color w:val="auto"/>
              </w:rPr>
            </w:pPr>
            <w:r>
              <w:rPr>
                <w:rFonts w:ascii="Arial" w:cs="Arial" w:eastAsia="Arial" w:hAnsi="Arial"/>
                <w:sz w:val="13"/>
                <w:szCs w:val="13"/>
                <w:b w:val="1"/>
                <w:bCs w:val="1"/>
                <w:color w:val="auto"/>
                <w:w w:val="91"/>
              </w:rPr>
              <w:t>Remitly Global, Inc.</w:t>
            </w:r>
          </w:p>
        </w:tc>
        <w:tc>
          <w:tcPr>
            <w:tcW w:w="0" w:type="dxa"/>
            <w:vAlign w:val="bottom"/>
          </w:tcPr>
          <w:p>
            <w:pPr>
              <w:spacing w:after="0"/>
              <w:rPr>
                <w:sz w:val="1"/>
                <w:szCs w:val="1"/>
                <w:color w:val="auto"/>
              </w:rPr>
            </w:pPr>
          </w:p>
        </w:tc>
      </w:tr>
      <w:tr>
        <w:trPr>
          <w:trHeight w:val="203"/>
        </w:trPr>
        <w:tc>
          <w:tcPr>
            <w:tcW w:w="2340" w:type="dxa"/>
            <w:vAlign w:val="bottom"/>
          </w:tcPr>
          <w:p>
            <w:pPr>
              <w:jc w:val="center"/>
              <w:ind w:right="1153"/>
              <w:spacing w:after="0"/>
              <w:rPr>
                <w:sz w:val="20"/>
                <w:szCs w:val="20"/>
                <w:color w:val="auto"/>
              </w:rPr>
            </w:pPr>
            <w:r>
              <w:rPr>
                <w:rFonts w:ascii="Arial" w:cs="Arial" w:eastAsia="Arial" w:hAnsi="Arial"/>
                <w:sz w:val="13"/>
                <w:szCs w:val="13"/>
                <w:b w:val="1"/>
                <w:bCs w:val="1"/>
                <w:color w:val="auto"/>
                <w:w w:val="89"/>
              </w:rPr>
              <w:t>Aman Singh</w:t>
            </w:r>
          </w:p>
        </w:tc>
        <w:tc>
          <w:tcPr>
            <w:tcW w:w="2340" w:type="dxa"/>
            <w:vAlign w:val="bottom"/>
          </w:tcPr>
          <w:p>
            <w:pPr>
              <w:spacing w:after="0"/>
              <w:rPr>
                <w:sz w:val="17"/>
                <w:szCs w:val="17"/>
                <w:color w:val="auto"/>
              </w:rPr>
            </w:pPr>
          </w:p>
        </w:tc>
        <w:tc>
          <w:tcPr>
            <w:tcW w:w="2320" w:type="dxa"/>
            <w:vAlign w:val="bottom"/>
          </w:tcPr>
          <w:p>
            <w:pPr>
              <w:jc w:val="center"/>
              <w:ind w:left="1175"/>
              <w:spacing w:after="0"/>
              <w:rPr>
                <w:sz w:val="20"/>
                <w:szCs w:val="20"/>
                <w:color w:val="auto"/>
              </w:rPr>
            </w:pPr>
            <w:r>
              <w:rPr>
                <w:rFonts w:ascii="Arial" w:cs="Arial" w:eastAsia="Arial" w:hAnsi="Arial"/>
                <w:sz w:val="13"/>
                <w:szCs w:val="13"/>
                <w:b w:val="1"/>
                <w:bCs w:val="1"/>
                <w:color w:val="auto"/>
                <w:w w:val="86"/>
              </w:rPr>
              <w:t>1111 Third Avenue</w:t>
            </w:r>
          </w:p>
        </w:tc>
        <w:tc>
          <w:tcPr>
            <w:tcW w:w="0" w:type="dxa"/>
            <w:vAlign w:val="bottom"/>
          </w:tcPr>
          <w:p>
            <w:pPr>
              <w:spacing w:after="0"/>
              <w:rPr>
                <w:sz w:val="1"/>
                <w:szCs w:val="1"/>
                <w:color w:val="auto"/>
              </w:rPr>
            </w:pPr>
          </w:p>
        </w:tc>
      </w:tr>
      <w:tr>
        <w:trPr>
          <w:trHeight w:val="203"/>
        </w:trPr>
        <w:tc>
          <w:tcPr>
            <w:tcW w:w="2340" w:type="dxa"/>
            <w:vAlign w:val="bottom"/>
          </w:tcPr>
          <w:p>
            <w:pPr>
              <w:jc w:val="center"/>
              <w:ind w:right="1113"/>
              <w:spacing w:after="0"/>
              <w:rPr>
                <w:sz w:val="20"/>
                <w:szCs w:val="20"/>
                <w:color w:val="auto"/>
              </w:rPr>
            </w:pPr>
            <w:r>
              <w:rPr>
                <w:rFonts w:ascii="Arial" w:cs="Arial" w:eastAsia="Arial" w:hAnsi="Arial"/>
                <w:sz w:val="13"/>
                <w:szCs w:val="13"/>
                <w:b w:val="1"/>
                <w:bCs w:val="1"/>
                <w:color w:val="auto"/>
                <w:w w:val="91"/>
              </w:rPr>
              <w:t>Fenwick &amp; West LLP</w:t>
            </w:r>
          </w:p>
        </w:tc>
        <w:tc>
          <w:tcPr>
            <w:tcW w:w="2340" w:type="dxa"/>
            <w:vAlign w:val="bottom"/>
          </w:tcPr>
          <w:p>
            <w:pPr>
              <w:spacing w:after="0"/>
              <w:rPr>
                <w:sz w:val="17"/>
                <w:szCs w:val="17"/>
                <w:color w:val="auto"/>
              </w:rPr>
            </w:pPr>
          </w:p>
        </w:tc>
        <w:tc>
          <w:tcPr>
            <w:tcW w:w="2320" w:type="dxa"/>
            <w:vAlign w:val="bottom"/>
          </w:tcPr>
          <w:p>
            <w:pPr>
              <w:jc w:val="center"/>
              <w:ind w:left="1175"/>
              <w:spacing w:after="0"/>
              <w:rPr>
                <w:sz w:val="20"/>
                <w:szCs w:val="20"/>
                <w:color w:val="auto"/>
              </w:rPr>
            </w:pPr>
            <w:r>
              <w:rPr>
                <w:rFonts w:ascii="Arial" w:cs="Arial" w:eastAsia="Arial" w:hAnsi="Arial"/>
                <w:sz w:val="13"/>
                <w:szCs w:val="13"/>
                <w:b w:val="1"/>
                <w:bCs w:val="1"/>
                <w:color w:val="auto"/>
                <w:w w:val="87"/>
              </w:rPr>
              <w:t>Suite 2100</w:t>
            </w:r>
          </w:p>
        </w:tc>
        <w:tc>
          <w:tcPr>
            <w:tcW w:w="0" w:type="dxa"/>
            <w:vAlign w:val="bottom"/>
          </w:tcPr>
          <w:p>
            <w:pPr>
              <w:spacing w:after="0"/>
              <w:rPr>
                <w:sz w:val="1"/>
                <w:szCs w:val="1"/>
                <w:color w:val="auto"/>
              </w:rPr>
            </w:pPr>
          </w:p>
        </w:tc>
      </w:tr>
      <w:tr>
        <w:trPr>
          <w:trHeight w:val="203"/>
        </w:trPr>
        <w:tc>
          <w:tcPr>
            <w:tcW w:w="2340" w:type="dxa"/>
            <w:vAlign w:val="bottom"/>
          </w:tcPr>
          <w:p>
            <w:pPr>
              <w:jc w:val="center"/>
              <w:ind w:right="1153"/>
              <w:spacing w:after="0"/>
              <w:rPr>
                <w:sz w:val="20"/>
                <w:szCs w:val="20"/>
                <w:color w:val="auto"/>
              </w:rPr>
            </w:pPr>
            <w:r>
              <w:rPr>
                <w:rFonts w:ascii="Arial" w:cs="Arial" w:eastAsia="Arial" w:hAnsi="Arial"/>
                <w:sz w:val="13"/>
                <w:szCs w:val="13"/>
                <w:b w:val="1"/>
                <w:bCs w:val="1"/>
                <w:color w:val="auto"/>
                <w:w w:val="83"/>
              </w:rPr>
              <w:t>1191 Second Avenue</w:t>
            </w:r>
          </w:p>
        </w:tc>
        <w:tc>
          <w:tcPr>
            <w:tcW w:w="2340" w:type="dxa"/>
            <w:vAlign w:val="bottom"/>
          </w:tcPr>
          <w:p>
            <w:pPr>
              <w:spacing w:after="0"/>
              <w:rPr>
                <w:sz w:val="17"/>
                <w:szCs w:val="17"/>
                <w:color w:val="auto"/>
              </w:rPr>
            </w:pPr>
          </w:p>
        </w:tc>
        <w:tc>
          <w:tcPr>
            <w:tcW w:w="2320" w:type="dxa"/>
            <w:vAlign w:val="bottom"/>
          </w:tcPr>
          <w:p>
            <w:pPr>
              <w:jc w:val="center"/>
              <w:ind w:left="1155"/>
              <w:spacing w:after="0"/>
              <w:rPr>
                <w:sz w:val="20"/>
                <w:szCs w:val="20"/>
                <w:color w:val="auto"/>
              </w:rPr>
            </w:pPr>
            <w:r>
              <w:rPr>
                <w:rFonts w:ascii="Arial" w:cs="Arial" w:eastAsia="Arial" w:hAnsi="Arial"/>
                <w:sz w:val="13"/>
                <w:szCs w:val="13"/>
                <w:b w:val="1"/>
                <w:bCs w:val="1"/>
                <w:color w:val="auto"/>
                <w:w w:val="88"/>
              </w:rPr>
              <w:t>Seattle, WA 98101</w:t>
            </w:r>
          </w:p>
        </w:tc>
        <w:tc>
          <w:tcPr>
            <w:tcW w:w="0" w:type="dxa"/>
            <w:vAlign w:val="bottom"/>
          </w:tcPr>
          <w:p>
            <w:pPr>
              <w:spacing w:after="0"/>
              <w:rPr>
                <w:sz w:val="1"/>
                <w:szCs w:val="1"/>
                <w:color w:val="auto"/>
              </w:rPr>
            </w:pPr>
          </w:p>
        </w:tc>
      </w:tr>
      <w:tr>
        <w:trPr>
          <w:trHeight w:val="203"/>
        </w:trPr>
        <w:tc>
          <w:tcPr>
            <w:tcW w:w="2340" w:type="dxa"/>
            <w:vAlign w:val="bottom"/>
          </w:tcPr>
          <w:p>
            <w:pPr>
              <w:jc w:val="center"/>
              <w:ind w:right="1153"/>
              <w:spacing w:after="0"/>
              <w:rPr>
                <w:sz w:val="20"/>
                <w:szCs w:val="20"/>
                <w:color w:val="auto"/>
              </w:rPr>
            </w:pPr>
            <w:r>
              <w:rPr>
                <w:rFonts w:ascii="Arial" w:cs="Arial" w:eastAsia="Arial" w:hAnsi="Arial"/>
                <w:sz w:val="13"/>
                <w:szCs w:val="13"/>
                <w:b w:val="1"/>
                <w:bCs w:val="1"/>
                <w:color w:val="auto"/>
                <w:w w:val="89"/>
              </w:rPr>
              <w:t>10th Floor</w:t>
            </w:r>
          </w:p>
        </w:tc>
        <w:tc>
          <w:tcPr>
            <w:tcW w:w="4660" w:type="dxa"/>
            <w:vAlign w:val="bottom"/>
            <w:gridSpan w:val="2"/>
          </w:tcPr>
          <w:p>
            <w:pPr>
              <w:jc w:val="center"/>
              <w:ind w:left="3483"/>
              <w:spacing w:after="0"/>
              <w:rPr>
                <w:sz w:val="20"/>
                <w:szCs w:val="20"/>
                <w:color w:val="auto"/>
              </w:rPr>
            </w:pPr>
            <w:r>
              <w:rPr>
                <w:rFonts w:ascii="Arial" w:cs="Arial" w:eastAsia="Arial" w:hAnsi="Arial"/>
                <w:sz w:val="13"/>
                <w:szCs w:val="13"/>
                <w:b w:val="1"/>
                <w:bCs w:val="1"/>
                <w:color w:val="auto"/>
                <w:w w:val="87"/>
              </w:rPr>
              <w:t>(888) 736-4859</w:t>
            </w:r>
          </w:p>
        </w:tc>
        <w:tc>
          <w:tcPr>
            <w:tcW w:w="0" w:type="dxa"/>
            <w:vAlign w:val="bottom"/>
          </w:tcPr>
          <w:p>
            <w:pPr>
              <w:spacing w:after="0"/>
              <w:rPr>
                <w:sz w:val="1"/>
                <w:szCs w:val="1"/>
                <w:color w:val="auto"/>
              </w:rPr>
            </w:pPr>
          </w:p>
        </w:tc>
      </w:tr>
      <w:tr>
        <w:trPr>
          <w:trHeight w:val="203"/>
        </w:trPr>
        <w:tc>
          <w:tcPr>
            <w:tcW w:w="2340" w:type="dxa"/>
            <w:vAlign w:val="bottom"/>
          </w:tcPr>
          <w:p>
            <w:pPr>
              <w:jc w:val="center"/>
              <w:ind w:right="1153"/>
              <w:spacing w:after="0"/>
              <w:rPr>
                <w:sz w:val="20"/>
                <w:szCs w:val="20"/>
                <w:color w:val="auto"/>
              </w:rPr>
            </w:pPr>
            <w:r>
              <w:rPr>
                <w:rFonts w:ascii="Arial" w:cs="Arial" w:eastAsia="Arial" w:hAnsi="Arial"/>
                <w:sz w:val="13"/>
                <w:szCs w:val="13"/>
                <w:b w:val="1"/>
                <w:bCs w:val="1"/>
                <w:color w:val="auto"/>
                <w:w w:val="86"/>
              </w:rPr>
              <w:t>Seattle, WA 98101</w:t>
            </w:r>
          </w:p>
        </w:tc>
        <w:tc>
          <w:tcPr>
            <w:tcW w:w="2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40" w:type="dxa"/>
            <w:vAlign w:val="bottom"/>
          </w:tcPr>
          <w:p>
            <w:pPr>
              <w:jc w:val="center"/>
              <w:ind w:right="1113"/>
              <w:spacing w:after="0"/>
              <w:rPr>
                <w:sz w:val="20"/>
                <w:szCs w:val="20"/>
                <w:color w:val="auto"/>
              </w:rPr>
            </w:pPr>
            <w:r>
              <w:rPr>
                <w:rFonts w:ascii="Arial" w:cs="Arial" w:eastAsia="Arial" w:hAnsi="Arial"/>
                <w:sz w:val="13"/>
                <w:szCs w:val="13"/>
                <w:b w:val="1"/>
                <w:bCs w:val="1"/>
                <w:color w:val="auto"/>
                <w:w w:val="89"/>
              </w:rPr>
              <w:t>(206) 389-4510</w:t>
            </w:r>
          </w:p>
        </w:tc>
        <w:tc>
          <w:tcPr>
            <w:tcW w:w="2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right="44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3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640"/>
              <w:spacing w:after="0"/>
              <w:rPr>
                <w:sz w:val="20"/>
                <w:szCs w:val="20"/>
                <w:color w:val="auto"/>
              </w:rPr>
            </w:pPr>
            <w:r>
              <w:rPr>
                <w:rFonts w:ascii="Arial" w:cs="Arial" w:eastAsia="Arial" w:hAnsi="Arial"/>
                <w:sz w:val="13"/>
                <w:szCs w:val="13"/>
                <w:color w:val="auto"/>
              </w:rPr>
              <w:t>Accelerated filer</w:t>
            </w:r>
          </w:p>
        </w:tc>
        <w:tc>
          <w:tcPr>
            <w:tcW w:w="3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64"/>
        </w:trPr>
        <w:tc>
          <w:tcPr>
            <w:tcW w:w="1340" w:type="dxa"/>
            <w:vAlign w:val="bottom"/>
          </w:tcPr>
          <w:p>
            <w:pPr>
              <w:spacing w:after="0"/>
              <w:rPr>
                <w:sz w:val="20"/>
                <w:szCs w:val="20"/>
                <w:color w:val="auto"/>
              </w:rPr>
            </w:pPr>
            <w:r>
              <w:rPr>
                <w:rFonts w:ascii="Arial" w:cs="Arial" w:eastAsia="Arial" w:hAnsi="Arial"/>
                <w:sz w:val="13"/>
                <w:szCs w:val="13"/>
                <w:color w:val="auto"/>
              </w:rPr>
              <w:t>Non-accelerated filer</w:t>
            </w:r>
          </w:p>
        </w:tc>
        <w:tc>
          <w:tcPr>
            <w:tcW w:w="39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640"/>
              <w:spacing w:after="0"/>
              <w:rPr>
                <w:sz w:val="20"/>
                <w:szCs w:val="20"/>
                <w:color w:val="auto"/>
              </w:rPr>
            </w:pPr>
            <w:r>
              <w:rPr>
                <w:rFonts w:ascii="Arial" w:cs="Arial" w:eastAsia="Arial" w:hAnsi="Arial"/>
                <w:sz w:val="13"/>
                <w:szCs w:val="13"/>
                <w:color w:val="auto"/>
              </w:rPr>
              <w:t>Smaller reporting company</w:t>
            </w:r>
          </w:p>
        </w:tc>
        <w:tc>
          <w:tcPr>
            <w:tcW w:w="3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65"/>
        </w:trPr>
        <w:tc>
          <w:tcPr>
            <w:tcW w:w="1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280" w:type="dxa"/>
            <w:vAlign w:val="bottom"/>
          </w:tcPr>
          <w:p>
            <w:pPr>
              <w:ind w:left="3640"/>
              <w:spacing w:after="0"/>
              <w:rPr>
                <w:sz w:val="20"/>
                <w:szCs w:val="20"/>
                <w:color w:val="auto"/>
              </w:rPr>
            </w:pPr>
            <w:r>
              <w:rPr>
                <w:rFonts w:ascii="Arial" w:cs="Arial" w:eastAsia="Arial" w:hAnsi="Arial"/>
                <w:sz w:val="13"/>
                <w:szCs w:val="13"/>
                <w:color w:val="auto"/>
              </w:rPr>
              <w:t>Emerging growth company</w:t>
            </w:r>
          </w:p>
        </w:tc>
        <w:tc>
          <w:tcPr>
            <w:tcW w:w="3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7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40640</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6120" w:type="dxa"/>
            <w:vAlign w:val="bottom"/>
            <w:tcBorders>
              <w:top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Proposed Maximum</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Proposed Maximum</w:t>
            </w:r>
          </w:p>
        </w:tc>
        <w:tc>
          <w:tcPr>
            <w:tcW w:w="1260" w:type="dxa"/>
            <w:vAlign w:val="bottom"/>
            <w:tcBorders>
              <w:top w:val="single" w:sz="8" w:color="auto"/>
            </w:tcBorders>
          </w:tcPr>
          <w:p>
            <w:pPr>
              <w:spacing w:after="0"/>
              <w:rPr>
                <w:sz w:val="17"/>
                <w:szCs w:val="17"/>
                <w:color w:val="auto"/>
              </w:rPr>
            </w:pPr>
          </w:p>
        </w:tc>
      </w:tr>
      <w:tr>
        <w:trPr>
          <w:trHeight w:val="162"/>
        </w:trPr>
        <w:tc>
          <w:tcPr>
            <w:tcW w:w="61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Amount to be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 per</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Aggregate Offering</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9"/>
              </w:rPr>
              <w:t>Amount of</w:t>
            </w:r>
          </w:p>
        </w:tc>
      </w:tr>
      <w:tr>
        <w:trPr>
          <w:trHeight w:val="194"/>
        </w:trPr>
        <w:tc>
          <w:tcPr>
            <w:tcW w:w="6120" w:type="dxa"/>
            <w:vAlign w:val="bottom"/>
            <w:tcBorders>
              <w:bottom w:val="single" w:sz="8" w:color="auto"/>
              <w:right w:val="single" w:sz="8" w:color="auto"/>
            </w:tcBorders>
          </w:tcPr>
          <w:p>
            <w:pPr>
              <w:ind w:left="2140"/>
              <w:spacing w:after="0"/>
              <w:rPr>
                <w:sz w:val="20"/>
                <w:szCs w:val="20"/>
                <w:color w:val="auto"/>
              </w:rPr>
            </w:pPr>
            <w:r>
              <w:rPr>
                <w:rFonts w:ascii="Arial" w:cs="Arial" w:eastAsia="Arial" w:hAnsi="Arial"/>
                <w:sz w:val="13"/>
                <w:szCs w:val="13"/>
                <w:b w:val="1"/>
                <w:bCs w:val="1"/>
                <w:color w:val="auto"/>
              </w:rPr>
              <w:t>Title of Securities to be Registered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Registered</w:t>
            </w:r>
            <w:r>
              <w:rPr>
                <w:rFonts w:ascii="Arial" w:cs="Arial" w:eastAsia="Arial" w:hAnsi="Arial"/>
                <w:sz w:val="16"/>
                <w:szCs w:val="16"/>
                <w:b w:val="1"/>
                <w:bCs w:val="1"/>
                <w:color w:val="auto"/>
                <w:w w:val="84"/>
                <w:vertAlign w:val="superscript"/>
              </w:rPr>
              <w:t>(1)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Share</w:t>
            </w:r>
            <w:r>
              <w:rPr>
                <w:rFonts w:ascii="Arial" w:cs="Arial" w:eastAsia="Arial" w:hAnsi="Arial"/>
                <w:sz w:val="16"/>
                <w:szCs w:val="16"/>
                <w:b w:val="1"/>
                <w:bCs w:val="1"/>
                <w:color w:val="auto"/>
                <w:w w:val="81"/>
                <w:vertAlign w:val="superscript"/>
              </w:rPr>
              <w:t>(2)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Registration Fee</w:t>
            </w:r>
          </w:p>
        </w:tc>
      </w:tr>
      <w:tr>
        <w:trPr>
          <w:trHeight w:val="223"/>
        </w:trPr>
        <w:tc>
          <w:tcPr>
            <w:tcW w:w="6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$0.0001 par value per share</w:t>
            </w:r>
            <w:r>
              <w:rPr>
                <w:rFonts w:ascii="Arial" w:cs="Arial" w:eastAsia="Arial" w:hAnsi="Arial"/>
                <w:sz w:val="18"/>
                <w:szCs w:val="18"/>
                <w:color w:val="auto"/>
                <w:vertAlign w:val="superscript"/>
              </w:rPr>
              <w:t>(3)</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5,293,823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$43.00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$227,634,389</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$24,835</w:t>
            </w:r>
          </w:p>
        </w:tc>
      </w:tr>
    </w:tbl>
    <w:p>
      <w:pPr>
        <w:spacing w:after="0" w:line="134" w:lineRule="exact"/>
        <w:rPr>
          <w:sz w:val="24"/>
          <w:szCs w:val="24"/>
          <w:color w:val="auto"/>
        </w:rPr>
      </w:pPr>
    </w:p>
    <w:p>
      <w:pPr>
        <w:ind w:left="540" w:right="120" w:hanging="383"/>
        <w:spacing w:after="0" w:line="243" w:lineRule="auto"/>
        <w:tabs>
          <w:tab w:leader="none" w:pos="527"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promulgated under the Securities Act of 1933, as amended (the “Securities Act”), this Registration Statement shall also cover any additional shares of the Registrant’s common stock that become issuable under the stock option awards set forth herein by reason of any stock dividend, stock split, recapitalization or other similar transaction effected without receipt of consideration that increases the number of outstanding shares of the Registrant’s common stock.</w:t>
      </w:r>
    </w:p>
    <w:p>
      <w:pPr>
        <w:spacing w:after="0" w:line="1" w:lineRule="exact"/>
        <w:rPr>
          <w:rFonts w:ascii="Arial" w:cs="Arial" w:eastAsia="Arial" w:hAnsi="Arial"/>
          <w:sz w:val="13"/>
          <w:szCs w:val="13"/>
          <w:color w:val="auto"/>
        </w:rPr>
      </w:pPr>
    </w:p>
    <w:p>
      <w:pPr>
        <w:ind w:left="540" w:right="140" w:hanging="383"/>
        <w:spacing w:after="0" w:line="238" w:lineRule="auto"/>
        <w:tabs>
          <w:tab w:leader="none" w:pos="527"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pursuant to Rule 457(h) of the Securities Act based on the initial public offering price of the Registrant’s common stock of $43.00 per share as set forth in the Registrant’s Registration Statement on Form S-1 (File No. 333-259167), as amended, declared effective on September 22, 2021.</w:t>
      </w:r>
    </w:p>
    <w:p>
      <w:pPr>
        <w:ind w:left="540" w:right="200" w:hanging="383"/>
        <w:spacing w:after="0" w:line="239" w:lineRule="auto"/>
        <w:tabs>
          <w:tab w:leader="none" w:pos="52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5,293,823 shares of common stock under the Remitly Global, Inc. 2011 Equity Incentive Plan (the “Plan”) issued to certain current and former employees, consultants and advisors of the Registrant upon exercise of stock option awards.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registration statement contains a “reoffer prospectus” prepared in accordance with Part I of Form S-3 (in accordance with Instruction C of the General Instructions to Form S-8). This reoffer prospectus may be used for reoffers and resales on a continuous or delayed basis of certain of those shares of common stock (the “Shares”) of Remitly Global, Inc. (“us,” “we” or the “Registrant”) referred to above that constitute “control securities” or “restricted securities,” within the meaning of the Securities Act, by certain stockholders that are current and former employees, consultants, and advisors of the Registrant (the “Selling Stockholders”) for their own accounts. As specified in General Instruction C of Form S-8, the amount of securities to be reoffered or resold under the reoffer prospectus by each Selling Stockholder and any other person with whom he or she is acting in concert for the purpose of selling the Registrant’s securities, may not exceed, during any three-month period, the amount specified in Rule 144(e) under the Securities Act.</w:t>
      </w:r>
    </w:p>
    <w:p>
      <w:pPr>
        <w:sectPr>
          <w:pgSz w:w="11900" w:h="16838" w:orient="portrait"/>
          <w:cols w:equalWidth="0" w:num="1">
            <w:col w:w="11180"/>
          </w:cols>
          <w:pgMar w:left="320" w:top="207" w:right="399" w:bottom="1440" w:gutter="0" w:footer="0" w:header="0"/>
        </w:sectPr>
      </w:pPr>
    </w:p>
    <w:bookmarkStart w:id="2" w:name="page3"/>
    <w:bookmarkEnd w:id="2"/>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120015</wp:posOffset>
            </wp:positionV>
            <wp:extent cx="2434590" cy="591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345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40"/>
          <w:szCs w:val="40"/>
          <w:b w:val="1"/>
          <w:bCs w:val="1"/>
          <w:color w:val="auto"/>
        </w:rPr>
        <w:t>REMITLY GLOBAL, INC.</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5,293,823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165100</wp:posOffset>
            </wp:positionV>
            <wp:extent cx="1825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color w:val="auto"/>
        </w:rPr>
        <w:t>This prospectus relates to 5,293,823 shares of common stock, par value $0.0001 per share (the “Shares”), of Remitly Global, Inc., which may be offered from time to time by certain stockholders that are our current or former employees, consultants, and advisors (the “Selling Stockholders”) for their own accounts. We will not receive any of the proceeds from the sale of Shares by the Selling Stockholders made hereunder. The Shares were acquired by the Selling Stockholders pursuant to our 2011 Equity Incentive Plan.</w:t>
      </w:r>
    </w:p>
    <w:p>
      <w:pPr>
        <w:spacing w:after="0" w:line="13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Selling Stockholders may sell the securities described in this prospectus in a number of different ways and at varying prices, including sales in the open market, sales in negotiated transactions and sales by a combination of these methods. The Selling Stockholders may sell any, all or none of the Shares and we do not know when or in what amount the Selling Stockholders may sell their Shares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the common stock at the time of a sale, at prices relating to the market price over a period of time, or at prices negotiated with the buyers of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 The Selling Stockholders will bear all sales commissions and similar expenses. Any other expenses incurred by us in connection with the registration and offering that are not borne by the Selling Stockholders will be borne by us.</w:t>
      </w:r>
    </w:p>
    <w:p>
      <w:pPr>
        <w:spacing w:after="0" w:line="128" w:lineRule="exact"/>
        <w:rPr>
          <w:sz w:val="20"/>
          <w:szCs w:val="20"/>
          <w:color w:val="auto"/>
        </w:rPr>
      </w:pPr>
    </w:p>
    <w:p>
      <w:pPr>
        <w:ind w:right="460" w:firstLine="324"/>
        <w:spacing w:after="0" w:line="279" w:lineRule="auto"/>
        <w:rPr>
          <w:sz w:val="20"/>
          <w:szCs w:val="20"/>
          <w:color w:val="auto"/>
        </w:rPr>
      </w:pPr>
      <w:r>
        <w:rPr>
          <w:rFonts w:ascii="Arial" w:cs="Arial" w:eastAsia="Arial" w:hAnsi="Arial"/>
          <w:sz w:val="18"/>
          <w:szCs w:val="18"/>
          <w:color w:val="auto"/>
        </w:rPr>
        <w:t>Our common stock has been approved for listing on the Nasdaq Global Select Market (“Nasdaq”) under the symbol “RELY.” The initial public offering price of our common stock pursuant to our Registration Statement on Form S-1, as amended, declared effective on September 22, 2021, was $43.00 per share.</w:t>
      </w:r>
    </w:p>
    <w:p>
      <w:pPr>
        <w:spacing w:after="0" w:line="129" w:lineRule="exact"/>
        <w:rPr>
          <w:sz w:val="20"/>
          <w:szCs w:val="20"/>
          <w:color w:val="auto"/>
        </w:rPr>
      </w:pPr>
    </w:p>
    <w:p>
      <w:pPr>
        <w:jc w:val="both"/>
        <w:ind w:right="220" w:firstLine="324"/>
        <w:spacing w:after="0" w:line="279" w:lineRule="auto"/>
        <w:rPr>
          <w:sz w:val="20"/>
          <w:szCs w:val="20"/>
          <w:color w:val="auto"/>
        </w:rPr>
      </w:pPr>
      <w:r>
        <w:rPr>
          <w:rFonts w:ascii="Arial" w:cs="Arial" w:eastAsia="Arial" w:hAnsi="Arial"/>
          <w:sz w:val="18"/>
          <w:szCs w:val="18"/>
          <w:color w:val="auto"/>
        </w:rPr>
        <w:t>The amount of securities to be offered or resold under this reoffer prospectus by each Selling Stockholder or other person with whom he, she or it is acting in concert for the purpose of selling our securities, may not exceed, during any three-month period, the amount specified in Rule 144(e) under the Securities Act.</w:t>
      </w:r>
    </w:p>
    <w:p>
      <w:pPr>
        <w:spacing w:after="0" w:line="125" w:lineRule="exact"/>
        <w:rPr>
          <w:sz w:val="20"/>
          <w:szCs w:val="20"/>
          <w:color w:val="auto"/>
        </w:rPr>
      </w:pPr>
    </w:p>
    <w:p>
      <w:pPr>
        <w:ind w:right="440" w:firstLine="324"/>
        <w:spacing w:after="0" w:line="329" w:lineRule="auto"/>
        <w:rPr>
          <w:sz w:val="20"/>
          <w:szCs w:val="20"/>
          <w:color w:val="auto"/>
        </w:rPr>
      </w:pPr>
      <w:r>
        <w:rPr>
          <w:rFonts w:ascii="Arial" w:cs="Arial" w:eastAsia="Arial" w:hAnsi="Arial"/>
          <w:sz w:val="17"/>
          <w:szCs w:val="17"/>
          <w:b w:val="1"/>
          <w:bCs w:val="1"/>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108585</wp:posOffset>
            </wp:positionV>
            <wp:extent cx="1825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ectPr>
          <w:pgSz w:w="11900" w:h="16838" w:orient="portrait"/>
          <w:cols w:equalWidth="0" w:num="1">
            <w:col w:w="11200"/>
          </w:cols>
          <w:pgMar w:left="320" w:top="207" w:right="379" w:bottom="1440" w:gutter="0" w:footer="0" w:header="0"/>
        </w:sectPr>
      </w:pPr>
    </w:p>
    <w:bookmarkStart w:id="3" w:name="page4"/>
    <w:bookmarkEnd w:id="3"/>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324"/>
        <w:spacing w:after="0" w:line="29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Before buying any securities, you should carefully read the discussion of the risks of investing in our securities in “</w:t>
      </w:r>
      <w:hyperlink w:anchor="page8">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beginning on page 4 of this prospectus.</w:t>
      </w:r>
    </w:p>
    <w:p>
      <w:pPr>
        <w:spacing w:after="0" w:line="113"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Securities and Exchange Commission (the “SEC”) may take the view that, under certain circumstances, the Selling Stockholders and any broker-dealers or agents that participate with the Selling Stockholders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“Plan of Distribution.”</w:t>
      </w:r>
    </w:p>
    <w:p>
      <w:pPr>
        <w:spacing w:after="0" w:line="127" w:lineRule="exact"/>
        <w:rPr>
          <w:sz w:val="20"/>
          <w:szCs w:val="20"/>
          <w:color w:val="auto"/>
        </w:rPr>
      </w:pPr>
    </w:p>
    <w:p>
      <w:pPr>
        <w:ind w:right="380" w:firstLine="324"/>
        <w:spacing w:after="0" w:line="32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108585</wp:posOffset>
            </wp:positionV>
            <wp:extent cx="1825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September 23, 2021</w:t>
      </w:r>
    </w:p>
    <w:p>
      <w:pPr>
        <w:sectPr>
          <w:pgSz w:w="11900" w:h="16838" w:orient="portrait"/>
          <w:cols w:equalWidth="0" w:num="1">
            <w:col w:w="11140"/>
          </w:cols>
          <w:pgMar w:left="320" w:top="207" w:right="439" w:bottom="1440" w:gutter="0" w:footer="0" w:header="0"/>
        </w:sectPr>
      </w:pPr>
    </w:p>
    <w:bookmarkStart w:id="4" w:name="page5"/>
    <w:bookmarkEnd w:id="4"/>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gridSpan w:val="4"/>
          </w:tcPr>
          <w:p>
            <w:pPr>
              <w:ind w:left="6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00" w:type="dxa"/>
            <w:vAlign w:val="bottom"/>
            <w:gridSpan w:val="4"/>
          </w:tcPr>
          <w:p>
            <w:pPr>
              <w:jc w:val="right"/>
              <w:ind w:right="220"/>
              <w:spacing w:after="0"/>
              <w:rPr>
                <w:sz w:val="20"/>
                <w:szCs w:val="20"/>
                <w:color w:val="auto"/>
              </w:rPr>
            </w:pPr>
            <w:r>
              <w:rPr>
                <w:rFonts w:ascii="Arial" w:cs="Arial" w:eastAsia="Arial" w:hAnsi="Arial"/>
                <w:sz w:val="18"/>
                <w:szCs w:val="18"/>
                <w:color w:val="auto"/>
                <w:w w:val="85"/>
              </w:rPr>
              <w:t>Page</w:t>
            </w:r>
          </w:p>
        </w:tc>
      </w:tr>
      <w:tr>
        <w:trPr>
          <w:trHeight w:val="27"/>
        </w:trPr>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1062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THE COMPANY</w:t>
              </w:r>
            </w:hyperlink>
          </w:p>
        </w:tc>
        <w:tc>
          <w:tcPr>
            <w:tcW w:w="6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60" w:type="dxa"/>
            <w:vAlign w:val="bottom"/>
            <w:gridSpan w:val="3"/>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RISK FACTORS</w:t>
              </w:r>
            </w:hyperlink>
          </w:p>
        </w:tc>
        <w:tc>
          <w:tcPr>
            <w:tcW w:w="9360" w:type="dxa"/>
            <w:vAlign w:val="bottom"/>
            <w:gridSpan w:val="11"/>
          </w:tcPr>
          <w:p>
            <w:pPr>
              <w:spacing w:after="0"/>
              <w:rPr>
                <w:sz w:val="22"/>
                <w:szCs w:val="22"/>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4</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340" w:type="dxa"/>
            <w:vAlign w:val="bottom"/>
            <w:gridSpan w:val="11"/>
          </w:tcPr>
          <w:p>
            <w:pPr>
              <w:spacing w:after="0"/>
              <w:rPr>
                <w:rFonts w:ascii="Arial" w:cs="Arial" w:eastAsia="Arial" w:hAnsi="Arial"/>
                <w:sz w:val="18"/>
                <w:szCs w:val="18"/>
                <w:color w:val="0000FF"/>
                <w:w w:val="95"/>
              </w:rPr>
            </w:pPr>
            <w:hyperlink w:anchor="page9">
              <w:r>
                <w:rPr>
                  <w:rFonts w:ascii="Arial" w:cs="Arial" w:eastAsia="Arial" w:hAnsi="Arial"/>
                  <w:sz w:val="18"/>
                  <w:szCs w:val="18"/>
                  <w:color w:val="0000FF"/>
                  <w:w w:val="95"/>
                </w:rPr>
                <w:t>SPECIAL NOTE REGARDING FORWARD-LOOKING STATEMENTS</w:t>
              </w:r>
            </w:hyperlink>
          </w:p>
        </w:tc>
        <w:tc>
          <w:tcPr>
            <w:tcW w:w="5280" w:type="dxa"/>
            <w:vAlign w:val="bottom"/>
            <w:gridSpan w:val="3"/>
          </w:tcPr>
          <w:p>
            <w:pPr>
              <w:spacing w:after="0"/>
              <w:rPr>
                <w:sz w:val="22"/>
                <w:szCs w:val="22"/>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340" w:type="dxa"/>
            <w:vAlign w:val="bottom"/>
            <w:gridSpan w:val="11"/>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USE OF PROCEEDS</w:t>
              </w:r>
            </w:hyperlink>
          </w:p>
        </w:tc>
        <w:tc>
          <w:tcPr>
            <w:tcW w:w="5280" w:type="dxa"/>
            <w:vAlign w:val="bottom"/>
            <w:gridSpan w:val="3"/>
          </w:tcPr>
          <w:p>
            <w:pPr>
              <w:spacing w:after="0"/>
              <w:rPr>
                <w:sz w:val="22"/>
                <w:szCs w:val="22"/>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20" w:type="dxa"/>
            <w:vAlign w:val="bottom"/>
            <w:gridSpan w:val="8"/>
          </w:tcPr>
          <w:p>
            <w:pPr>
              <w:spacing w:after="0"/>
              <w:rPr>
                <w:rFonts w:ascii="Arial" w:cs="Arial" w:eastAsia="Arial" w:hAnsi="Arial"/>
                <w:sz w:val="18"/>
                <w:szCs w:val="18"/>
                <w:color w:val="0000FF"/>
                <w:w w:val="95"/>
              </w:rPr>
            </w:pPr>
            <w:hyperlink w:anchor="page12">
              <w:r>
                <w:rPr>
                  <w:rFonts w:ascii="Arial" w:cs="Arial" w:eastAsia="Arial" w:hAnsi="Arial"/>
                  <w:sz w:val="18"/>
                  <w:szCs w:val="18"/>
                  <w:color w:val="0000FF"/>
                  <w:w w:val="95"/>
                </w:rPr>
                <w:t>SELLING STOCKHOLDERS</w:t>
              </w:r>
            </w:hyperlink>
          </w:p>
        </w:tc>
        <w:tc>
          <w:tcPr>
            <w:tcW w:w="8400" w:type="dxa"/>
            <w:vAlign w:val="bottom"/>
            <w:gridSpan w:val="6"/>
          </w:tcPr>
          <w:p>
            <w:pPr>
              <w:spacing w:after="0"/>
              <w:rPr>
                <w:sz w:val="22"/>
                <w:szCs w:val="22"/>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8</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60" w:type="dxa"/>
            <w:vAlign w:val="bottom"/>
            <w:tcBorders>
              <w:bottom w:val="single" w:sz="8" w:color="0000FF"/>
            </w:tcBorders>
            <w:gridSpan w:val="7"/>
          </w:tcPr>
          <w:p>
            <w:pPr>
              <w:spacing w:after="0"/>
              <w:rPr>
                <w:rFonts w:ascii="Arial" w:cs="Arial" w:eastAsia="Arial" w:hAnsi="Arial"/>
                <w:sz w:val="18"/>
                <w:szCs w:val="18"/>
                <w:color w:val="0000FF"/>
                <w:w w:val="97"/>
              </w:rPr>
            </w:pPr>
            <w:hyperlink w:anchor="page14">
              <w:r>
                <w:rPr>
                  <w:rFonts w:ascii="Arial" w:cs="Arial" w:eastAsia="Arial" w:hAnsi="Arial"/>
                  <w:sz w:val="18"/>
                  <w:szCs w:val="18"/>
                  <w:color w:val="0000FF"/>
                  <w:w w:val="97"/>
                </w:rPr>
                <w:t>PLAN OF DISTRIBUTION</w:t>
              </w:r>
            </w:hyperlink>
          </w:p>
        </w:tc>
        <w:tc>
          <w:tcPr>
            <w:tcW w:w="160" w:type="dxa"/>
            <w:vAlign w:val="bottom"/>
          </w:tcPr>
          <w:p>
            <w:pPr>
              <w:spacing w:after="0"/>
              <w:rPr>
                <w:sz w:val="22"/>
                <w:szCs w:val="22"/>
                <w:color w:val="auto"/>
              </w:rPr>
            </w:pPr>
          </w:p>
        </w:tc>
        <w:tc>
          <w:tcPr>
            <w:tcW w:w="8400" w:type="dxa"/>
            <w:vAlign w:val="bottom"/>
            <w:gridSpan w:val="6"/>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10</w:t>
              </w:r>
            </w:hyperlink>
          </w:p>
        </w:tc>
        <w:tc>
          <w:tcPr>
            <w:tcW w:w="20" w:type="dxa"/>
            <w:vAlign w:val="bottom"/>
          </w:tcPr>
          <w:p>
            <w:pPr>
              <w:spacing w:after="0"/>
              <w:rPr>
                <w:sz w:val="22"/>
                <w:szCs w:val="22"/>
                <w:color w:val="auto"/>
              </w:rPr>
            </w:pPr>
          </w:p>
        </w:tc>
      </w:tr>
      <w:tr>
        <w:trPr>
          <w:trHeight w:val="264"/>
        </w:trPr>
        <w:tc>
          <w:tcPr>
            <w:tcW w:w="10620" w:type="dxa"/>
            <w:vAlign w:val="bottom"/>
            <w:gridSpan w:val="1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LEGAL MATTERS</w:t>
              </w:r>
            </w:hyperlink>
          </w:p>
        </w:tc>
        <w:tc>
          <w:tcPr>
            <w:tcW w:w="58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12</w:t>
              </w:r>
            </w:hyperlink>
          </w:p>
        </w:tc>
        <w:tc>
          <w:tcPr>
            <w:tcW w:w="20" w:type="dxa"/>
            <w:vAlign w:val="bottom"/>
          </w:tcPr>
          <w:p>
            <w:pPr>
              <w:spacing w:after="0"/>
              <w:rPr>
                <w:sz w:val="22"/>
                <w:szCs w:val="22"/>
                <w:color w:val="auto"/>
              </w:rPr>
            </w:pPr>
          </w:p>
        </w:tc>
      </w:tr>
      <w:tr>
        <w:trPr>
          <w:trHeight w:val="263"/>
        </w:trPr>
        <w:tc>
          <w:tcPr>
            <w:tcW w:w="7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EXPERTS</w:t>
              </w:r>
            </w:hyperlink>
          </w:p>
        </w:tc>
        <w:tc>
          <w:tcPr>
            <w:tcW w:w="680" w:type="dxa"/>
            <w:vAlign w:val="bottom"/>
            <w:tcBorders>
              <w:top w:val="single" w:sz="8" w:color="0000FF"/>
            </w:tcBorders>
            <w:gridSpan w:val="4"/>
          </w:tcPr>
          <w:p>
            <w:pPr>
              <w:spacing w:after="0"/>
              <w:rPr>
                <w:sz w:val="22"/>
                <w:szCs w:val="22"/>
                <w:color w:val="auto"/>
              </w:rPr>
            </w:pPr>
          </w:p>
        </w:tc>
        <w:tc>
          <w:tcPr>
            <w:tcW w:w="9160" w:type="dxa"/>
            <w:vAlign w:val="bottom"/>
            <w:gridSpan w:val="9"/>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12</w:t>
              </w:r>
            </w:hyperlink>
          </w:p>
        </w:tc>
        <w:tc>
          <w:tcPr>
            <w:tcW w:w="20" w:type="dxa"/>
            <w:vAlign w:val="bottom"/>
          </w:tcPr>
          <w:p>
            <w:pPr>
              <w:spacing w:after="0"/>
              <w:rPr>
                <w:sz w:val="22"/>
                <w:szCs w:val="22"/>
                <w:color w:val="auto"/>
              </w:rPr>
            </w:pPr>
          </w:p>
        </w:tc>
      </w:tr>
      <w:tr>
        <w:trPr>
          <w:trHeight w:val="263"/>
        </w:trPr>
        <w:tc>
          <w:tcPr>
            <w:tcW w:w="10620" w:type="dxa"/>
            <w:vAlign w:val="bottom"/>
            <w:gridSpan w:val="1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INFORMATION INCORPORATED BY REFERENCE</w:t>
              </w:r>
            </w:hyperlink>
          </w:p>
        </w:tc>
        <w:tc>
          <w:tcPr>
            <w:tcW w:w="58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12</w:t>
              </w:r>
            </w:hyperlink>
          </w:p>
        </w:tc>
        <w:tc>
          <w:tcPr>
            <w:tcW w:w="20" w:type="dxa"/>
            <w:vAlign w:val="bottom"/>
          </w:tcPr>
          <w:p>
            <w:pPr>
              <w:spacing w:after="0"/>
              <w:rPr>
                <w:sz w:val="22"/>
                <w:szCs w:val="22"/>
                <w:color w:val="auto"/>
              </w:rPr>
            </w:pPr>
          </w:p>
        </w:tc>
      </w:tr>
      <w:tr>
        <w:trPr>
          <w:trHeight w:val="263"/>
        </w:trPr>
        <w:tc>
          <w:tcPr>
            <w:tcW w:w="38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7"/>
              </w:rPr>
            </w:pPr>
            <w:hyperlink w:anchor="page17">
              <w:r>
                <w:rPr>
                  <w:rFonts w:ascii="Arial" w:cs="Arial" w:eastAsia="Arial" w:hAnsi="Arial"/>
                  <w:sz w:val="18"/>
                  <w:szCs w:val="18"/>
                  <w:color w:val="0000FF"/>
                  <w:w w:val="97"/>
                </w:rPr>
                <w:t>WHERE YOU CAN FIND MORE INFORMATION</w:t>
              </w:r>
            </w:hyperlink>
          </w:p>
        </w:tc>
        <w:tc>
          <w:tcPr>
            <w:tcW w:w="200" w:type="dxa"/>
            <w:vAlign w:val="bottom"/>
            <w:tcBorders>
              <w:top w:val="single" w:sz="8" w:color="0000FF"/>
            </w:tcBorders>
          </w:tcPr>
          <w:p>
            <w:pPr>
              <w:spacing w:after="0"/>
              <w:rPr>
                <w:sz w:val="22"/>
                <w:szCs w:val="22"/>
                <w:color w:val="auto"/>
              </w:rPr>
            </w:pPr>
          </w:p>
        </w:tc>
        <w:tc>
          <w:tcPr>
            <w:tcW w:w="6600" w:type="dxa"/>
            <w:vAlign w:val="bottom"/>
            <w:gridSpan w:val="4"/>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12</w:t>
              </w:r>
            </w:hyperlink>
          </w:p>
        </w:tc>
        <w:tc>
          <w:tcPr>
            <w:tcW w:w="20" w:type="dxa"/>
            <w:vAlign w:val="bottom"/>
          </w:tcPr>
          <w:p>
            <w:pPr>
              <w:spacing w:after="0"/>
              <w:rPr>
                <w:sz w:val="22"/>
                <w:szCs w:val="22"/>
                <w:color w:val="auto"/>
              </w:rPr>
            </w:pPr>
          </w:p>
        </w:tc>
      </w:tr>
      <w:tr>
        <w:trPr>
          <w:trHeight w:val="263"/>
        </w:trPr>
        <w:tc>
          <w:tcPr>
            <w:tcW w:w="5860" w:type="dxa"/>
            <w:vAlign w:val="bottom"/>
            <w:gridSpan w:val="13"/>
          </w:tcPr>
          <w:p>
            <w:pPr>
              <w:spacing w:after="0"/>
              <w:rPr>
                <w:rFonts w:ascii="Arial" w:cs="Arial" w:eastAsia="Arial" w:hAnsi="Arial"/>
                <w:sz w:val="18"/>
                <w:szCs w:val="18"/>
                <w:color w:val="0000FF"/>
                <w:w w:val="94"/>
              </w:rPr>
            </w:pPr>
            <w:hyperlink w:anchor="page18">
              <w:r>
                <w:rPr>
                  <w:rFonts w:ascii="Arial" w:cs="Arial" w:eastAsia="Arial" w:hAnsi="Arial"/>
                  <w:sz w:val="18"/>
                  <w:szCs w:val="18"/>
                  <w:color w:val="0000FF"/>
                  <w:w w:val="94"/>
                </w:rPr>
                <w:t>PART I INFORMATION REQUIRED IN THE SECTION 10(A) PROSPECTUS</w:t>
              </w:r>
            </w:hyperlink>
          </w:p>
        </w:tc>
        <w:tc>
          <w:tcPr>
            <w:tcW w:w="4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gridSpan w:val="3"/>
          </w:tcPr>
          <w:p>
            <w:pPr>
              <w:jc w:val="right"/>
              <w:ind w:right="20"/>
              <w:spacing w:after="0"/>
              <w:rPr>
                <w:rFonts w:ascii="Arial" w:cs="Arial" w:eastAsia="Arial" w:hAnsi="Arial"/>
                <w:sz w:val="18"/>
                <w:szCs w:val="18"/>
                <w:color w:val="0000FF"/>
                <w:w w:val="75"/>
              </w:rPr>
            </w:pPr>
            <w:hyperlink w:anchor="page18">
              <w:r>
                <w:rPr>
                  <w:rFonts w:ascii="Arial" w:cs="Arial" w:eastAsia="Arial" w:hAnsi="Arial"/>
                  <w:sz w:val="18"/>
                  <w:szCs w:val="18"/>
                  <w:color w:val="0000FF"/>
                  <w:w w:val="75"/>
                </w:rPr>
                <w:t>I-1</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180" w:type="dxa"/>
            <w:vAlign w:val="bottom"/>
            <w:gridSpan w:val="8"/>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5500" w:type="dxa"/>
            <w:vAlign w:val="bottom"/>
            <w:gridSpan w:val="12"/>
          </w:tcPr>
          <w:p>
            <w:pPr>
              <w:spacing w:after="0"/>
              <w:rPr>
                <w:rFonts w:ascii="Arial" w:cs="Arial" w:eastAsia="Arial" w:hAnsi="Arial"/>
                <w:sz w:val="18"/>
                <w:szCs w:val="18"/>
                <w:color w:val="0000FF"/>
                <w:w w:val="95"/>
              </w:rPr>
            </w:pPr>
            <w:hyperlink w:anchor="page19">
              <w:r>
                <w:rPr>
                  <w:rFonts w:ascii="Arial" w:cs="Arial" w:eastAsia="Arial" w:hAnsi="Arial"/>
                  <w:sz w:val="18"/>
                  <w:szCs w:val="18"/>
                  <w:color w:val="0000FF"/>
                  <w:w w:val="95"/>
                </w:rPr>
                <w:t>PART II INFORMATION REQUIRED IN REGISTRATION STATEMENT</w:t>
              </w:r>
            </w:hyperlink>
          </w:p>
        </w:tc>
        <w:tc>
          <w:tcPr>
            <w:tcW w:w="3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II-1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500" w:type="dxa"/>
            <w:vAlign w:val="bottom"/>
            <w:gridSpan w:val="1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EXHIBIT INDEX</w:t>
              </w:r>
            </w:hyperlink>
          </w:p>
        </w:tc>
        <w:tc>
          <w:tcPr>
            <w:tcW w:w="5120" w:type="dxa"/>
            <w:vAlign w:val="bottom"/>
            <w:gridSpan w:val="2"/>
          </w:tcPr>
          <w:p>
            <w:pPr>
              <w:spacing w:after="0"/>
              <w:rPr>
                <w:sz w:val="22"/>
                <w:szCs w:val="22"/>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II-3</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30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2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SIGNATURES</w:t>
              </w:r>
            </w:hyperlink>
          </w:p>
        </w:tc>
        <w:tc>
          <w:tcPr>
            <w:tcW w:w="9300" w:type="dxa"/>
            <w:vAlign w:val="bottom"/>
            <w:gridSpan w:val="10"/>
          </w:tcPr>
          <w:p>
            <w:pPr>
              <w:spacing w:after="0"/>
              <w:rPr>
                <w:sz w:val="22"/>
                <w:szCs w:val="22"/>
                <w:color w:val="auto"/>
              </w:rPr>
            </w:pPr>
          </w:p>
        </w:tc>
        <w:tc>
          <w:tcPr>
            <w:tcW w:w="60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II-5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80" w:firstLine="324"/>
        <w:spacing w:after="0" w:line="292" w:lineRule="auto"/>
        <w:rPr>
          <w:sz w:val="20"/>
          <w:szCs w:val="20"/>
          <w:color w:val="auto"/>
        </w:rPr>
      </w:pPr>
      <w:r>
        <w:rPr>
          <w:rFonts w:ascii="Arial" w:cs="Arial" w:eastAsia="Arial" w:hAnsi="Arial"/>
          <w:sz w:val="17"/>
          <w:szCs w:val="17"/>
          <w:color w:val="auto"/>
        </w:rPr>
        <w:t>Neither we nor any of the Selling Stockholders has authorized anyone to provide you with any information or to make any representations other than those contained in this prospectus or in any free writing prospectuses we have prepared. Neither we nor any of the Selling Stockholders take any responsibility for, and can provide no assurance as to the reliability of, any other information that others may give you. We are not making an offer to sell these securities in any jurisdiction where the offer or sale is not permitted. The information contained in this prospectus is accurate only as of its date, regardless of the time of delivery of this prospectus or of any sale of our common stock.</w:t>
      </w:r>
    </w:p>
    <w:p>
      <w:pPr>
        <w:spacing w:after="0" w:line="120" w:lineRule="exact"/>
        <w:rPr>
          <w:sz w:val="20"/>
          <w:szCs w:val="20"/>
          <w:color w:val="auto"/>
        </w:rPr>
      </w:pPr>
    </w:p>
    <w:p>
      <w:pPr>
        <w:ind w:right="20" w:firstLine="324"/>
        <w:spacing w:after="0" w:line="290" w:lineRule="auto"/>
        <w:rPr>
          <w:sz w:val="20"/>
          <w:szCs w:val="20"/>
          <w:color w:val="auto"/>
        </w:rPr>
      </w:pPr>
      <w:r>
        <w:rPr>
          <w:rFonts w:ascii="Arial" w:cs="Arial" w:eastAsia="Arial" w:hAnsi="Arial"/>
          <w:sz w:val="17"/>
          <w:szCs w:val="17"/>
          <w:color w:val="auto"/>
        </w:rPr>
        <w:t>Remitly, the Clasped Hand logo, Passbook by Remitly, Hui Mei Yi (Remitly in Chinese characters), Remitly Promises Delivered + Clasped Hand logo, Remitly + Clasped Hand logo are the trademarks and service marks of Remitly. Other trade names, trademarks and service marks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our trademarks, trade names and service marks referred to in this prospectus appear without the ® and ™ symbols, but those references are not intended to indicate, in any way, that we will not assert, to the fullest extent under applicable law, our rights to these trademarks, trade names and service marks.</w:t>
      </w:r>
    </w:p>
    <w:p>
      <w:pPr>
        <w:spacing w:after="0" w:line="122"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Unless the context otherwise requires, all references in this prospectus to “we,” “us,” “our,” “our company,” and “Remitly,” refer to Remitly Global, Inc. and its consolidated subsidiaries.</w:t>
      </w:r>
    </w:p>
    <w:p>
      <w:pPr>
        <w:sectPr>
          <w:pgSz w:w="11900" w:h="16838" w:orient="portrait"/>
          <w:cols w:equalWidth="0" w:num="1">
            <w:col w:w="11240"/>
          </w:cols>
          <w:pgMar w:left="320" w:top="207"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713105</wp:posOffset>
            </wp:positionV>
            <wp:extent cx="7136130" cy="7564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56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Remitly Global, Inc.</w:t>
      </w:r>
    </w:p>
    <w:p>
      <w:pPr>
        <w:spacing w:after="0" w:line="189" w:lineRule="exact"/>
        <w:rPr>
          <w:sz w:val="20"/>
          <w:szCs w:val="20"/>
          <w:color w:val="auto"/>
        </w:rPr>
      </w:pPr>
    </w:p>
    <w:p>
      <w:pPr>
        <w:ind w:left="520" w:right="120" w:firstLine="324"/>
        <w:spacing w:after="0" w:line="272" w:lineRule="auto"/>
        <w:rPr>
          <w:sz w:val="20"/>
          <w:szCs w:val="20"/>
          <w:color w:val="auto"/>
        </w:rPr>
      </w:pPr>
      <w:r>
        <w:rPr>
          <w:rFonts w:ascii="Arial" w:cs="Arial" w:eastAsia="Arial" w:hAnsi="Arial"/>
          <w:sz w:val="18"/>
          <w:szCs w:val="18"/>
          <w:color w:val="auto"/>
        </w:rPr>
        <w:t>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137" w:lineRule="exact"/>
        <w:rPr>
          <w:sz w:val="20"/>
          <w:szCs w:val="20"/>
          <w:color w:val="auto"/>
        </w:rPr>
      </w:pPr>
    </w:p>
    <w:p>
      <w:pPr>
        <w:ind w:left="520" w:right="80" w:firstLine="324"/>
        <w:spacing w:after="0" w:line="271" w:lineRule="auto"/>
        <w:rPr>
          <w:sz w:val="20"/>
          <w:szCs w:val="20"/>
          <w:color w:val="auto"/>
        </w:rPr>
      </w:pPr>
      <w:r>
        <w:rPr>
          <w:rFonts w:ascii="Arial" w:cs="Arial" w:eastAsia="Arial" w:hAnsi="Arial"/>
          <w:sz w:val="18"/>
          <w:szCs w:val="18"/>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left="520" w:right="840" w:firstLine="324"/>
        <w:spacing w:after="0" w:line="324" w:lineRule="auto"/>
        <w:rPr>
          <w:sz w:val="20"/>
          <w:szCs w:val="20"/>
          <w:color w:val="auto"/>
        </w:rPr>
      </w:pPr>
      <w:r>
        <w:rPr>
          <w:rFonts w:ascii="Arial" w:cs="Arial" w:eastAsia="Arial" w:hAnsi="Arial"/>
          <w:sz w:val="17"/>
          <w:szCs w:val="17"/>
          <w:color w:val="auto"/>
        </w:rPr>
        <w:t>Our business is subject to numerous risks and uncertainties, including those described in the section titled “Risk Factors” immediately following this prospectus summary. These risks include, but are not limited to, the following:</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Business and Strategic Risks</w:t>
      </w:r>
    </w:p>
    <w:p>
      <w:pPr>
        <w:spacing w:after="0" w:line="185" w:lineRule="exact"/>
        <w:rPr>
          <w:sz w:val="20"/>
          <w:szCs w:val="20"/>
          <w:color w:val="auto"/>
        </w:rPr>
      </w:pPr>
    </w:p>
    <w:p>
      <w:pPr>
        <w:ind w:left="1160" w:right="600" w:hanging="322"/>
        <w:spacing w:after="0" w:line="293" w:lineRule="auto"/>
        <w:tabs>
          <w:tab w:leader="none" w:pos="1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fail to retain or grow our customer base, number of payment corridors, or scope of send and receive countries, our business and operating results will be harmed.</w:t>
      </w:r>
    </w:p>
    <w:p>
      <w:pPr>
        <w:spacing w:after="0" w:line="115" w:lineRule="exact"/>
        <w:rPr>
          <w:rFonts w:ascii="Arial" w:cs="Arial" w:eastAsia="Arial" w:hAnsi="Arial"/>
          <w:sz w:val="18"/>
          <w:szCs w:val="18"/>
          <w:color w:val="auto"/>
        </w:rPr>
      </w:pPr>
    </w:p>
    <w:p>
      <w:pPr>
        <w:ind w:left="1160" w:right="220" w:hanging="322"/>
        <w:spacing w:after="0" w:line="293" w:lineRule="auto"/>
        <w:tabs>
          <w:tab w:leader="none" w:pos="1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partner with third parties to support fulfillment of our service, including risk management, payment processing, customer support, and disbursement, which exposes us to risks outside our direct control.</w:t>
      </w:r>
    </w:p>
    <w:p>
      <w:pPr>
        <w:spacing w:after="0" w:line="115" w:lineRule="exact"/>
        <w:rPr>
          <w:rFonts w:ascii="Arial" w:cs="Arial" w:eastAsia="Arial" w:hAnsi="Arial"/>
          <w:sz w:val="18"/>
          <w:szCs w:val="18"/>
          <w:color w:val="auto"/>
        </w:rPr>
      </w:pPr>
    </w:p>
    <w:p>
      <w:pPr>
        <w:jc w:val="both"/>
        <w:ind w:left="1160" w:right="560" w:hanging="322"/>
        <w:spacing w:after="0" w:line="359" w:lineRule="auto"/>
        <w:tabs>
          <w:tab w:leader="none" w:pos="1155"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70" w:lineRule="exact"/>
        <w:rPr>
          <w:rFonts w:ascii="Arial" w:cs="Arial" w:eastAsia="Arial" w:hAnsi="Arial"/>
          <w:sz w:val="16"/>
          <w:szCs w:val="16"/>
          <w:color w:val="auto"/>
        </w:rPr>
      </w:pPr>
    </w:p>
    <w:p>
      <w:pPr>
        <w:ind w:left="1160" w:right="60" w:hanging="322"/>
        <w:spacing w:after="0" w:line="324" w:lineRule="auto"/>
        <w:tabs>
          <w:tab w:leader="none" w:pos="115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93" w:lineRule="exact"/>
        <w:rPr>
          <w:rFonts w:ascii="Arial" w:cs="Arial" w:eastAsia="Arial" w:hAnsi="Arial"/>
          <w:sz w:val="17"/>
          <w:szCs w:val="17"/>
          <w:color w:val="auto"/>
        </w:rPr>
      </w:pPr>
    </w:p>
    <w:p>
      <w:pPr>
        <w:ind w:left="1160" w:right="140" w:hanging="322"/>
        <w:spacing w:after="0" w:line="293" w:lineRule="auto"/>
        <w:tabs>
          <w:tab w:leader="none" w:pos="1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to obtain or maintain necessary money transmission licenses across our global footprint could adversely affect our operations.</w:t>
      </w:r>
    </w:p>
    <w:p>
      <w:pPr>
        <w:spacing w:after="0" w:line="115" w:lineRule="exact"/>
        <w:rPr>
          <w:rFonts w:ascii="Arial" w:cs="Arial" w:eastAsia="Arial" w:hAnsi="Arial"/>
          <w:sz w:val="18"/>
          <w:szCs w:val="18"/>
          <w:color w:val="auto"/>
        </w:rPr>
      </w:pPr>
    </w:p>
    <w:p>
      <w:pPr>
        <w:jc w:val="both"/>
        <w:ind w:left="1160" w:hanging="322"/>
        <w:spacing w:after="0" w:line="279" w:lineRule="auto"/>
        <w:tabs>
          <w:tab w:leader="none" w:pos="1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128" w:lineRule="exact"/>
        <w:rPr>
          <w:rFonts w:ascii="Arial" w:cs="Arial" w:eastAsia="Arial" w:hAnsi="Arial"/>
          <w:sz w:val="18"/>
          <w:szCs w:val="18"/>
          <w:color w:val="auto"/>
        </w:rPr>
      </w:pPr>
    </w:p>
    <w:p>
      <w:pPr>
        <w:ind w:left="1160" w:right="300" w:hanging="322"/>
        <w:spacing w:after="0" w:line="324" w:lineRule="auto"/>
        <w:tabs>
          <w:tab w:leader="none" w:pos="1155"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93" w:lineRule="exact"/>
        <w:rPr>
          <w:rFonts w:ascii="Arial" w:cs="Arial" w:eastAsia="Arial" w:hAnsi="Arial"/>
          <w:sz w:val="17"/>
          <w:szCs w:val="17"/>
          <w:color w:val="auto"/>
        </w:rPr>
      </w:pPr>
    </w:p>
    <w:p>
      <w:pPr>
        <w:ind w:left="1160" w:right="60" w:hanging="322"/>
        <w:spacing w:after="0" w:line="279" w:lineRule="auto"/>
        <w:tabs>
          <w:tab w:leader="none" w:pos="1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ectPr>
          <w:pgSz w:w="11900" w:h="16838" w:orient="portrait"/>
          <w:cols w:equalWidth="0" w:num="1">
            <w:col w:w="10380"/>
          </w:cols>
          <w:pgMar w:left="480" w:top="20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380"/>
          </w:cols>
          <w:pgMar w:left="480" w:top="207" w:right="10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713105</wp:posOffset>
            </wp:positionV>
            <wp:extent cx="7136130" cy="7221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60" w:right="200" w:hanging="322"/>
        <w:spacing w:after="0" w:line="293" w:lineRule="auto"/>
        <w:tabs>
          <w:tab w:leader="none" w:pos="11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and there is no assurance that our business will become profitable or that, if we achieve profitability, we will be able to sustain it.</w:t>
      </w:r>
    </w:p>
    <w:p>
      <w:pPr>
        <w:spacing w:after="0" w:line="115" w:lineRule="exact"/>
        <w:rPr>
          <w:rFonts w:ascii="Arial" w:cs="Arial" w:eastAsia="Arial" w:hAnsi="Arial"/>
          <w:sz w:val="18"/>
          <w:szCs w:val="18"/>
          <w:color w:val="auto"/>
        </w:rPr>
      </w:pPr>
    </w:p>
    <w:p>
      <w:pPr>
        <w:ind w:left="1160" w:right="240" w:hanging="322"/>
        <w:spacing w:after="0" w:line="359" w:lineRule="auto"/>
        <w:tabs>
          <w:tab w:leader="none" w:pos="11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Intellectual Property, Technology, Privacy and Security Risks</w:t>
      </w:r>
    </w:p>
    <w:p>
      <w:pPr>
        <w:spacing w:after="0" w:line="185" w:lineRule="exact"/>
        <w:rPr>
          <w:sz w:val="20"/>
          <w:szCs w:val="20"/>
          <w:color w:val="auto"/>
        </w:rPr>
      </w:pPr>
    </w:p>
    <w:p>
      <w:pPr>
        <w:ind w:left="1160" w:hanging="32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Cyberattacks or data security breaches could result in serious harm to our business, reputation and financial condition.</w:t>
      </w:r>
    </w:p>
    <w:p>
      <w:pPr>
        <w:spacing w:after="0" w:line="196" w:lineRule="exact"/>
        <w:rPr>
          <w:rFonts w:ascii="Arial" w:cs="Arial" w:eastAsia="Arial" w:hAnsi="Arial"/>
          <w:sz w:val="17"/>
          <w:szCs w:val="17"/>
          <w:color w:val="auto"/>
        </w:rPr>
      </w:pPr>
    </w:p>
    <w:p>
      <w:pPr>
        <w:ind w:left="1160" w:right="320" w:hanging="322"/>
        <w:spacing w:after="0" w:line="303" w:lineRule="auto"/>
        <w:tabs>
          <w:tab w:leader="none" w:pos="11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privacy and cybersecurity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110" w:lineRule="exact"/>
        <w:rPr>
          <w:rFonts w:ascii="Arial" w:cs="Arial" w:eastAsia="Arial" w:hAnsi="Arial"/>
          <w:sz w:val="17"/>
          <w:szCs w:val="17"/>
          <w:color w:val="auto"/>
        </w:rPr>
      </w:pPr>
    </w:p>
    <w:p>
      <w:pPr>
        <w:ind w:left="1160" w:right="200" w:hanging="322"/>
        <w:spacing w:after="0" w:line="324" w:lineRule="auto"/>
        <w:tabs>
          <w:tab w:leader="none" w:pos="1155"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Legal and Compliance Risks</w:t>
      </w:r>
    </w:p>
    <w:p>
      <w:pPr>
        <w:spacing w:after="0" w:line="185" w:lineRule="exact"/>
        <w:rPr>
          <w:sz w:val="20"/>
          <w:szCs w:val="20"/>
          <w:color w:val="auto"/>
        </w:rPr>
      </w:pPr>
    </w:p>
    <w:p>
      <w:pPr>
        <w:ind w:left="1160" w:right="240" w:hanging="322"/>
        <w:spacing w:after="0" w:line="293" w:lineRule="auto"/>
        <w:tabs>
          <w:tab w:leader="none" w:pos="1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our platform for illegal or fraudulent activities could harm our business, reputation, financial condition, and operating results.</w:t>
      </w:r>
    </w:p>
    <w:p>
      <w:pPr>
        <w:spacing w:after="0" w:line="115" w:lineRule="exact"/>
        <w:rPr>
          <w:rFonts w:ascii="Arial" w:cs="Arial" w:eastAsia="Arial" w:hAnsi="Arial"/>
          <w:sz w:val="18"/>
          <w:szCs w:val="18"/>
          <w:color w:val="auto"/>
        </w:rPr>
      </w:pPr>
    </w:p>
    <w:p>
      <w:pPr>
        <w:ind w:left="1160" w:right="40" w:hanging="322"/>
        <w:spacing w:after="0" w:line="293" w:lineRule="auto"/>
        <w:tabs>
          <w:tab w:leader="none" w:pos="1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platform is susceptible to fraud and our business, reputation, financial condition and operating results could be harmed as a result.</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185" w:lineRule="exact"/>
        <w:rPr>
          <w:sz w:val="20"/>
          <w:szCs w:val="20"/>
          <w:color w:val="auto"/>
        </w:rPr>
      </w:pPr>
    </w:p>
    <w:p>
      <w:pPr>
        <w:ind w:left="1160" w:right="40" w:hanging="322"/>
        <w:spacing w:after="0" w:line="359" w:lineRule="auto"/>
        <w:tabs>
          <w:tab w:leader="none" w:pos="115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Financial Risks</w:t>
      </w:r>
    </w:p>
    <w:p>
      <w:pPr>
        <w:spacing w:after="0" w:line="185" w:lineRule="exact"/>
        <w:rPr>
          <w:sz w:val="20"/>
          <w:szCs w:val="20"/>
          <w:color w:val="auto"/>
        </w:rPr>
      </w:pPr>
    </w:p>
    <w:p>
      <w:pPr>
        <w:ind w:left="1160" w:hanging="322"/>
        <w:spacing w:after="0" w:line="272" w:lineRule="auto"/>
        <w:tabs>
          <w:tab w:leader="none" w:pos="11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136" w:lineRule="exact"/>
        <w:rPr>
          <w:rFonts w:ascii="Arial" w:cs="Arial" w:eastAsia="Arial" w:hAnsi="Arial"/>
          <w:sz w:val="18"/>
          <w:szCs w:val="18"/>
          <w:color w:val="auto"/>
        </w:rPr>
      </w:pPr>
    </w:p>
    <w:p>
      <w:pPr>
        <w:jc w:val="both"/>
        <w:ind w:left="1160" w:right="120" w:hanging="322"/>
        <w:spacing w:after="0" w:line="279" w:lineRule="auto"/>
        <w:tabs>
          <w:tab w:leader="none" w:pos="11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one or more of our counterparties, including financial institutions, aggregators, and local cash pick-up institutions where we have cash on deposit, our lenders and potential hedging counterparties, default on their financial or performance obligations to us or fail, we may incur significant losses.</w:t>
      </w:r>
    </w:p>
    <w:p>
      <w:pPr>
        <w:spacing w:after="0" w:line="128" w:lineRule="exact"/>
        <w:rPr>
          <w:rFonts w:ascii="Arial" w:cs="Arial" w:eastAsia="Arial" w:hAnsi="Arial"/>
          <w:sz w:val="18"/>
          <w:szCs w:val="18"/>
          <w:color w:val="auto"/>
        </w:rPr>
      </w:pPr>
    </w:p>
    <w:p>
      <w:pPr>
        <w:ind w:left="1160" w:hanging="32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could harm our operating results and financial condition.</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General Risks</w:t>
      </w:r>
    </w:p>
    <w:p>
      <w:pPr>
        <w:spacing w:after="0" w:line="185" w:lineRule="exact"/>
        <w:rPr>
          <w:sz w:val="20"/>
          <w:szCs w:val="20"/>
          <w:color w:val="auto"/>
        </w:rPr>
      </w:pPr>
    </w:p>
    <w:p>
      <w:pPr>
        <w:ind w:left="1160" w:right="60" w:hanging="322"/>
        <w:spacing w:after="0" w:line="324" w:lineRule="auto"/>
        <w:tabs>
          <w:tab w:leader="none" w:pos="115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customers and business operations are exposed to macroeconomic conditions and geopolitical forces in developing regions and regions that account for a significant amount of our send volume, which exposes us to risk of loss.</w:t>
      </w:r>
    </w:p>
    <w:p>
      <w:pPr>
        <w:sectPr>
          <w:pgSz w:w="11900" w:h="16838" w:orient="portrait"/>
          <w:cols w:equalWidth="0" w:num="1">
            <w:col w:w="10380"/>
          </w:cols>
          <w:pgMar w:left="480" w:top="20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380"/>
          </w:cols>
          <w:pgMar w:left="480" w:top="207" w:right="10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713105</wp:posOffset>
            </wp:positionV>
            <wp:extent cx="7136130" cy="3535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353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85" w:lineRule="exact"/>
        <w:rPr>
          <w:sz w:val="20"/>
          <w:szCs w:val="20"/>
          <w:color w:val="auto"/>
        </w:rPr>
      </w:pPr>
    </w:p>
    <w:p>
      <w:pPr>
        <w:ind w:left="1160" w:right="20" w:hanging="322"/>
        <w:spacing w:after="0" w:line="279" w:lineRule="auto"/>
        <w:tabs>
          <w:tab w:leader="none" w:pos="11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128" w:lineRule="exact"/>
        <w:rPr>
          <w:rFonts w:ascii="Arial" w:cs="Arial" w:eastAsia="Arial" w:hAnsi="Arial"/>
          <w:sz w:val="18"/>
          <w:szCs w:val="18"/>
          <w:color w:val="auto"/>
        </w:rPr>
      </w:pPr>
    </w:p>
    <w:p>
      <w:pPr>
        <w:ind w:left="1160" w:right="140" w:hanging="322"/>
        <w:spacing w:after="0" w:line="293" w:lineRule="auto"/>
        <w:tabs>
          <w:tab w:leader="none" w:pos="11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Concentration of ownership of our common stock among our existing executive officers, directors, and principal stockholders may prevent new investors from influencing significant corporate decisions.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left="520" w:firstLine="324"/>
        <w:spacing w:after="0" w:line="269" w:lineRule="auto"/>
        <w:rPr>
          <w:sz w:val="20"/>
          <w:szCs w:val="20"/>
          <w:color w:val="auto"/>
        </w:rPr>
      </w:pPr>
      <w:r>
        <w:rPr>
          <w:rFonts w:ascii="Arial" w:cs="Arial" w:eastAsia="Arial" w:hAnsi="Arial"/>
          <w:sz w:val="18"/>
          <w:szCs w:val="18"/>
          <w:color w:val="auto"/>
        </w:rPr>
        <w:t>Remitly Global, Inc., a Delaware corporation, was formed in October 2018. Remitly Global, Inc. is a holding company and holds all of the equity interests of Remitly, Inc. and our other operating subsidiaries. Beamit, Inc. was initially formed in May 2011 as an Idaho corporation, reincorporated in Delaware in October 2011 and subsequently changed its name to Remitly, Inc. in December 2012. In October 2018, we completed a corporate reorganization whereby Remitly, Inc. became a subsidiary of Remitly Global, Inc., which became effective January 1, 2019. Our principal executive offices are located at 1111 Third Avenue, Suite 2100, Seattle, WA 98101. Our telephone number is (888) 736-4859. Our website address is www.remitly.com. The information contained on, or that can be accessed through, our website is not a part of this prospectus. Investors should not rely on any such information in deciding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60"/>
          </w:cols>
          <w:pgMar w:left="480" w:top="207" w:right="1059" w:bottom="1440" w:gutter="0" w:footer="0" w:header="0"/>
        </w:sectPr>
      </w:pPr>
    </w:p>
    <w:bookmarkStart w:id="8" w:name="page9"/>
    <w:bookmarkEnd w:id="8"/>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ind w:right="140" w:firstLine="324"/>
        <w:spacing w:after="0" w:line="299" w:lineRule="auto"/>
        <w:rPr>
          <w:sz w:val="20"/>
          <w:szCs w:val="20"/>
          <w:color w:val="auto"/>
        </w:rPr>
      </w:pPr>
      <w:r>
        <w:rPr>
          <w:rFonts w:ascii="Arial" w:cs="Arial" w:eastAsia="Arial" w:hAnsi="Arial"/>
          <w:sz w:val="16"/>
          <w:szCs w:val="16"/>
          <w:color w:val="auto"/>
        </w:rPr>
        <w:t>An investment in shares of our common stock is highly speculative and involves a high degree of risk. We face a variety of risks that may affect our operations or financial results and many of those risks are driven by factors that we cannot control or predict. Before investing in our common stock, you should carefully consider the risks below and set forth under the caption “Risk Factors” in our Registration Statement on Form S-1, as amended (File No.</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333-259167), initially filed with the Securities and Exchange Commission on August 30, 2021, which are incorporated by reference herein, and subsequent reports filed with the SEC, together with the financial and other information contained or incorporated by reference in this prospectus. If any of these risks actually occurs, our business, prospects, financial condition and results of operations could be materially adversely affected. In that case, the trading price of our common stock would likely decline and you may lose all or a part of your investment. Only those investors who can bear the risk of loss of their entire investment should invest in our common stock. Additional risks and uncertainties not presently known to us or that we currently deem immaterial also may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07" w:right="379" w:bottom="1440" w:gutter="0" w:footer="0" w:header="0"/>
        </w:sectPr>
      </w:pPr>
    </w:p>
    <w:bookmarkStart w:id="9" w:name="page10"/>
    <w:bookmarkEnd w:id="9"/>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185" w:lineRule="exact"/>
        <w:rPr>
          <w:sz w:val="20"/>
          <w:szCs w:val="20"/>
          <w:color w:val="auto"/>
        </w:rPr>
      </w:pPr>
    </w:p>
    <w:p>
      <w:pPr>
        <w:ind w:left="980" w:right="80" w:hanging="324"/>
        <w:spacing w:after="0" w:line="279"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operating expenses, including changes in technology and development, sales and marketing, and general and administrative expenses (including any components of the foregoing) and our ability to achieve, and maintain, future profitability;</w:t>
      </w:r>
    </w:p>
    <w:p>
      <w:pPr>
        <w:spacing w:after="0" w:line="12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market opportunity, including our total addressable market;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grow and retain our customer base and share in existing corridors;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into new corridors;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into broader financial services;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bring them to market in a timely manner;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strategic, banking and disbursement partners;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maintain, protect, and enhance our intellectual property and other proprietary rights;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keep data and our infrastructure secure;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84" w:lineRule="exact"/>
        <w:rPr>
          <w:rFonts w:ascii="Arial" w:cs="Arial" w:eastAsia="Arial" w:hAnsi="Arial"/>
          <w:sz w:val="18"/>
          <w:szCs w:val="18"/>
          <w:color w:val="auto"/>
        </w:rPr>
      </w:pPr>
    </w:p>
    <w:p>
      <w:pPr>
        <w:ind w:left="980" w:right="80" w:hanging="324"/>
        <w:spacing w:after="0" w:line="29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15" w:lineRule="exact"/>
        <w:rPr>
          <w:rFonts w:ascii="Arial" w:cs="Arial" w:eastAsia="Arial" w:hAnsi="Arial"/>
          <w:sz w:val="18"/>
          <w:szCs w:val="18"/>
          <w:color w:val="auto"/>
        </w:rPr>
      </w:pPr>
    </w:p>
    <w:p>
      <w:pPr>
        <w:ind w:left="980" w:right="440" w:hanging="324"/>
        <w:spacing w:after="0" w:line="324"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stay in compliance with laws, policies and regulations that currently apply or become applicable to our business, including consumer protection laws and trade policies, as well as our ability to attract new customers under such compliance;</w:t>
      </w:r>
    </w:p>
    <w:p>
      <w:pPr>
        <w:spacing w:after="0" w:line="93"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buy foreign currency at generally advantageous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207" w:right="379" w:bottom="1440" w:gutter="0" w:footer="0" w:header="0"/>
        </w:sectPr>
      </w:pPr>
    </w:p>
    <w:bookmarkStart w:id="10" w:name="page11"/>
    <w:bookmarkEnd w:id="10"/>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and timing to remediate our material weaknesses in our internal control over financial reporting;</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adequate disclosure controls and internal control over financial reporting;</w:t>
      </w:r>
    </w:p>
    <w:p>
      <w:pPr>
        <w:spacing w:after="0" w:line="18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the effects of changes to immigration laws, macroeconomic conditions and geopolitical forces on our customers and business operations;</w:t>
      </w:r>
    </w:p>
    <w:p>
      <w:pPr>
        <w:spacing w:after="0" w:line="20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the ongoing COVID-19 pandemic in the countries in which we operate;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estimates and methodologies used in preparing our consolidated financial statements and determining stock option exercise prices;</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future market prices of our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37" w:lineRule="exact"/>
        <w:rPr>
          <w:sz w:val="20"/>
          <w:szCs w:val="20"/>
          <w:color w:val="auto"/>
        </w:rPr>
      </w:pPr>
    </w:p>
    <w:p>
      <w:pPr>
        <w:ind w:right="100" w:firstLine="324"/>
        <w:spacing w:after="0" w:line="319"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w:t>
      </w:r>
    </w:p>
    <w:p>
      <w:pPr>
        <w:spacing w:after="0" w:line="102" w:lineRule="exact"/>
        <w:rPr>
          <w:sz w:val="20"/>
          <w:szCs w:val="20"/>
          <w:color w:val="auto"/>
        </w:rPr>
      </w:pPr>
    </w:p>
    <w:p>
      <w:pPr>
        <w:ind w:right="40" w:firstLine="324"/>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7"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You should read this prospectus and the documents incorporated by reference in this prospectus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07" w:right="339" w:bottom="1440" w:gutter="0" w:footer="0" w:header="0"/>
        </w:sectPr>
      </w:pPr>
    </w:p>
    <w:bookmarkStart w:id="11" w:name="page12"/>
    <w:bookmarkEnd w:id="11"/>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firstLine="324"/>
        <w:spacing w:after="0" w:line="324" w:lineRule="auto"/>
        <w:rPr>
          <w:sz w:val="20"/>
          <w:szCs w:val="20"/>
          <w:color w:val="auto"/>
        </w:rPr>
      </w:pPr>
      <w:r>
        <w:rPr>
          <w:rFonts w:ascii="Arial" w:cs="Arial" w:eastAsia="Arial" w:hAnsi="Arial"/>
          <w:sz w:val="17"/>
          <w:szCs w:val="17"/>
          <w:color w:val="auto"/>
        </w:rPr>
        <w:t>We will not receive any of the proceeds from the sale of the Shares. All proceeds from the sale of the Shares will be for the account of the Selling Stockholders, as described below. See the sections titled “Selling Stockholders” and “Plan of Distribution”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320" w:top="207" w:right="779" w:bottom="1440" w:gutter="0" w:footer="0" w:header="0"/>
        </w:sectPr>
      </w:pPr>
    </w:p>
    <w:bookmarkStart w:id="12" w:name="page13"/>
    <w:bookmarkEnd w:id="12"/>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89" w:lineRule="exact"/>
        <w:rPr>
          <w:sz w:val="20"/>
          <w:szCs w:val="20"/>
          <w:color w:val="auto"/>
        </w:rPr>
      </w:pPr>
    </w:p>
    <w:p>
      <w:pPr>
        <w:jc w:val="both"/>
        <w:ind w:right="300" w:firstLine="324"/>
        <w:spacing w:after="0" w:line="279" w:lineRule="auto"/>
        <w:rPr>
          <w:sz w:val="20"/>
          <w:szCs w:val="20"/>
          <w:color w:val="auto"/>
        </w:rPr>
      </w:pPr>
      <w:r>
        <w:rPr>
          <w:rFonts w:ascii="Arial" w:cs="Arial" w:eastAsia="Arial" w:hAnsi="Arial"/>
          <w:sz w:val="18"/>
          <w:szCs w:val="18"/>
          <w:color w:val="auto"/>
        </w:rPr>
        <w:t>The following table sets forth information regarding beneficial ownership of our common stock as of September 14, 2021, as adjusted to reflect the Shares that may be sold from time to time pursuant to this prospectus, for all Selling Stockholders, consisting of the individuals shown as having shares listed in the column entitled “Shares Being Offered.”</w:t>
      </w:r>
    </w:p>
    <w:p>
      <w:pPr>
        <w:spacing w:after="0" w:line="129"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 Shares offered by the Selling Stockholders hereunder consist of an aggregate of 5,293,823 outstanding Shares acquired by certain of our current and former employees (including officers), consultants and advisors upon the exercise of stock options granted under the Plan. We have determined beneficial ownership in accordance with the rules of the SEC and the information is not necessarily indicative of beneficial ownership for any other purpose. Unless otherwise indicated below, to our knowledge, the persons named in the table have sole voting and sole investment power with respect to all shares that they beneficially own, subject to community property laws where applicable. In computing the number of shares of our common stock beneficially owned by a person and the percentage ownership of that person, we deemed outstanding shares of our common stock subject to options held by that person that are currently exercisable or exercisable within 60 days of September 14, 2021. We did not deem these shares outstanding, however, for the purpose of computing the percentage ownership of any other person.</w:t>
      </w:r>
    </w:p>
    <w:p>
      <w:pPr>
        <w:spacing w:after="0" w:line="128" w:lineRule="exact"/>
        <w:rPr>
          <w:sz w:val="20"/>
          <w:szCs w:val="20"/>
          <w:color w:val="auto"/>
        </w:rPr>
      </w:pPr>
    </w:p>
    <w:p>
      <w:pPr>
        <w:ind w:right="40" w:firstLine="324"/>
        <w:spacing w:after="0" w:line="288" w:lineRule="auto"/>
        <w:rPr>
          <w:sz w:val="20"/>
          <w:szCs w:val="20"/>
          <w:color w:val="auto"/>
        </w:rPr>
      </w:pPr>
      <w:r>
        <w:rPr>
          <w:rFonts w:ascii="Arial" w:cs="Arial" w:eastAsia="Arial" w:hAnsi="Arial"/>
          <w:sz w:val="17"/>
          <w:szCs w:val="17"/>
          <w:color w:val="auto"/>
        </w:rPr>
        <w:t>We have based percentage ownership of our common stock prior to this offering on 162,753,775 shares of our common stock outstanding as of September 14, 2021, which assumes (1) the conversion of all outstanding shares of convertible preferred stock into an aggregate of 127,410,631 shares of our common stock, (2) the issuance and sale of 7,000,000 shares of common stock in our initial public offering, (3) the sale of 5,162,777 shares of common stock by the selling stockholders in our initial public offering, (4) no exercise of the underwriters' option to purchase 1,269,627 shares from us and 554,790 shares from the selling stockholders in our initial public offering, (5) the sale and issuance of 581,395 shares in a private placement to be consummated after the closing of our initial public offering, and (6) the issuance of 181,961 shares of our common stock on the day after the closing of our initial public offering pursuant to the Pledge 1% campaign.</w:t>
      </w:r>
    </w:p>
    <w:p>
      <w:pPr>
        <w:spacing w:after="0" w:line="12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color w:val="auto"/>
        </w:rPr>
        <w:t>Unless otherwise indicated, the address of each beneficial owner listed below is c/o Remitly Global, Inc., 1111 Third Avenue, Suite 2100 Seattle, WA 98101.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Shares Beneficially Owned Prior to the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Shares Being Offered</w:t>
            </w:r>
          </w:p>
        </w:tc>
        <w:tc>
          <w:tcPr>
            <w:tcW w:w="2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Shares Beneficially Owned After the Offering</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left="1037"/>
              <w:spacing w:after="0"/>
              <w:rPr>
                <w:sz w:val="20"/>
                <w:szCs w:val="20"/>
                <w:color w:val="auto"/>
              </w:rPr>
            </w:pPr>
            <w:r>
              <w:rPr>
                <w:rFonts w:ascii="Arial" w:cs="Arial" w:eastAsia="Arial" w:hAnsi="Arial"/>
                <w:sz w:val="14"/>
                <w:szCs w:val="14"/>
                <w:b w:val="1"/>
                <w:bCs w:val="1"/>
                <w:color w:val="auto"/>
                <w:w w:val="99"/>
              </w:rPr>
              <w:t>Offering</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Selling Stockholder</w:t>
            </w:r>
          </w:p>
        </w:tc>
        <w:tc>
          <w:tcPr>
            <w:tcW w:w="18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00" w:type="dxa"/>
            <w:vAlign w:val="bottom"/>
            <w:gridSpan w:val="2"/>
            <w:vMerge w:val="continue"/>
          </w:tcPr>
          <w:p>
            <w:pPr>
              <w:spacing w:after="0"/>
              <w:rPr>
                <w:sz w:val="20"/>
                <w:szCs w:val="20"/>
                <w:color w:val="auto"/>
              </w:rPr>
            </w:pPr>
          </w:p>
        </w:tc>
        <w:tc>
          <w:tcPr>
            <w:tcW w:w="1820" w:type="dxa"/>
            <w:vAlign w:val="bottom"/>
            <w:gridSpan w:val="3"/>
          </w:tcPr>
          <w:p>
            <w:pPr>
              <w:ind w:left="50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Percentage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right"/>
              <w:ind w:right="29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5"/>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Oppenheimer</w:t>
            </w:r>
            <w:r>
              <w:rPr>
                <w:rFonts w:ascii="Arial" w:cs="Arial" w:eastAsia="Arial" w:hAnsi="Arial"/>
                <w:sz w:val="23"/>
                <w:szCs w:val="23"/>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7,841,474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800,767</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7,040,707</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4"/>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Joshua Hug</w:t>
            </w:r>
            <w:r>
              <w:rPr>
                <w:rFonts w:ascii="Arial" w:cs="Arial" w:eastAsia="Arial" w:hAnsi="Arial"/>
                <w:sz w:val="23"/>
                <w:szCs w:val="23"/>
                <w:color w:val="auto"/>
                <w:vertAlign w:val="superscript"/>
              </w:rPr>
              <w:t>(3)</w:t>
            </w:r>
          </w:p>
        </w:tc>
        <w:tc>
          <w:tcPr>
            <w:tcW w:w="1420" w:type="dxa"/>
            <w:vAlign w:val="bottom"/>
          </w:tcPr>
          <w:p>
            <w:pPr>
              <w:jc w:val="right"/>
              <w:spacing w:after="0"/>
              <w:rPr>
                <w:sz w:val="20"/>
                <w:szCs w:val="20"/>
                <w:color w:val="auto"/>
              </w:rPr>
            </w:pPr>
            <w:r>
              <w:rPr>
                <w:rFonts w:ascii="Arial" w:cs="Arial" w:eastAsia="Arial" w:hAnsi="Arial"/>
                <w:sz w:val="18"/>
                <w:szCs w:val="18"/>
                <w:color w:val="auto"/>
              </w:rPr>
              <w:t>4,992,410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669,391</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4,323,049</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Susanna Morgan</w:t>
            </w:r>
            <w:r>
              <w:rPr>
                <w:rFonts w:ascii="Arial" w:cs="Arial" w:eastAsia="Arial" w:hAnsi="Arial"/>
                <w:sz w:val="23"/>
                <w:szCs w:val="23"/>
                <w:color w:val="auto"/>
                <w:vertAlign w:val="superscript"/>
              </w:rPr>
              <w:t>(4)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1,236,167</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Named Selling Stockholders</w:t>
            </w:r>
            <w:r>
              <w:rPr>
                <w:rFonts w:ascii="Arial" w:cs="Arial" w:eastAsia="Arial" w:hAnsi="Arial"/>
                <w:sz w:val="23"/>
                <w:szCs w:val="23"/>
                <w:color w:val="auto"/>
                <w:vertAlign w:val="superscript"/>
              </w:rPr>
              <w:t>(5)</w:t>
            </w:r>
          </w:p>
        </w:tc>
        <w:tc>
          <w:tcPr>
            <w:tcW w:w="1420" w:type="dxa"/>
            <w:vAlign w:val="bottom"/>
          </w:tcPr>
          <w:p>
            <w:pPr>
              <w:jc w:val="right"/>
              <w:spacing w:after="0"/>
              <w:rPr>
                <w:sz w:val="20"/>
                <w:szCs w:val="20"/>
                <w:color w:val="auto"/>
              </w:rPr>
            </w:pPr>
            <w:r>
              <w:rPr>
                <w:rFonts w:ascii="Arial" w:cs="Arial" w:eastAsia="Arial" w:hAnsi="Arial"/>
                <w:sz w:val="18"/>
                <w:szCs w:val="18"/>
                <w:color w:val="auto"/>
              </w:rPr>
              <w:t>19,460,729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3,736,805</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15,723,924</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84"/>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Selling Stockholders</w:t>
            </w:r>
            <w:r>
              <w:rPr>
                <w:rFonts w:ascii="Arial" w:cs="Arial" w:eastAsia="Arial" w:hAnsi="Arial"/>
                <w:sz w:val="23"/>
                <w:szCs w:val="23"/>
                <w:color w:val="auto"/>
                <w:vertAlign w:val="superscript"/>
              </w:rPr>
              <w:t>(6)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65,026</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beneficial ownership of less than 1.0%.</w:t>
      </w:r>
    </w:p>
    <w:p>
      <w:pPr>
        <w:spacing w:after="0" w:line="15" w:lineRule="exact"/>
        <w:rPr>
          <w:sz w:val="20"/>
          <w:szCs w:val="20"/>
          <w:color w:val="auto"/>
        </w:rPr>
      </w:pPr>
    </w:p>
    <w:p>
      <w:pPr>
        <w:ind w:left="340" w:right="40" w:hanging="332"/>
        <w:spacing w:after="0" w:line="261"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Assumes that all of the Shares held by each Selling Stockholder and being offered under this prospectus are sold, and that no Selling Stockholder will acquire additional shares of common stock before the completion of this offering. Also assumes that there is no exercise of the underwriters' option to purchase additional shares in the Registrant's initial public offering pursuant to the registration statement on Form S-1 (No. 333-259167) from the selling stockholders identified in such registration statement, which include Matthew Oppenheimer, Joshua Hug and Susanna Morgan. If the option is exercised in full, Mr. Oppenheimer will sell 350,000 shares of common stock, Mr. Hug will sell 120,000 shares of common stock and Ms. Morgan will sell 84,790 shares of common stock to the underwriters.</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(a) 5,338,447 shares of common stock and (b) 2,503,027 shares underlying options to purchase common stock that are exercisable within 60 days of September 14, 2021.</w:t>
      </w:r>
    </w:p>
    <w:p>
      <w:pPr>
        <w:spacing w:after="0" w:line="26" w:lineRule="exact"/>
        <w:rPr>
          <w:rFonts w:ascii="Arial" w:cs="Arial" w:eastAsia="Arial" w:hAnsi="Arial"/>
          <w:sz w:val="13"/>
          <w:szCs w:val="13"/>
          <w:color w:val="auto"/>
        </w:rPr>
      </w:pPr>
    </w:p>
    <w:p>
      <w:pPr>
        <w:ind w:left="340" w:right="20" w:hanging="332"/>
        <w:spacing w:after="0" w:line="370" w:lineRule="auto"/>
        <w:tabs>
          <w:tab w:leader="none" w:pos="332"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(a) 4,162,410 shares of common stock, of which 316,667 shares are unvested and subject to repurchase by us as of September 14, 2021, (b) 300,000 shares of common stock held by a family trust, of which Mr. Hug’s spouse is the trustee, and (c) 530,000 shares underlying options to purchase common stock that are exercisable within 60 days of September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07" w:right="339" w:bottom="1440" w:gutter="0" w:footer="0" w:header="0"/>
        </w:sectPr>
      </w:pPr>
    </w:p>
    <w:bookmarkStart w:id="13" w:name="page14"/>
    <w:bookmarkEnd w:id="13"/>
    <w:p>
      <w:pPr>
        <w:ind w:left="152"/>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2" w:right="640" w:hanging="332"/>
        <w:spacing w:after="0" w:line="266" w:lineRule="auto"/>
        <w:tabs>
          <w:tab w:leader="none" w:pos="3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500,000 shares of common stock and (b) 70,000 shares of common stock held by a family trust, of which Ms. Morgan's spouse is the trustee and (c) 751,667 shares underlying options to purchase common stock that are exercisable within 60 days of September 14, 2021.</w:t>
      </w:r>
    </w:p>
    <w:p>
      <w:pPr>
        <w:ind w:left="332" w:hanging="332"/>
        <w:spacing w:after="0" w:line="283" w:lineRule="auto"/>
        <w:tabs>
          <w:tab w:leader="none" w:pos="324"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the following 226 named non-affiliate persons, each of whom holds at least 1,000 Shares: Sabah Haque, Gabriel Ibanez, Brandon Ross, Fujie Zong, Jonathan Burstein, Milkana Brace, Lesley May, Cat Ngo, Abigail Stewart, Nicoleta Brandolini, Ranica Jonson, Katina Papadakis, Alexander Noyes, Lelaina Vogel, Joseph Buck, Kara Meres, Jami Mooney, James Sullivan, Chirag Reddy, David Wall, Maria Kellberg, Frankie Westlind, Akshay Desai, Hanh Huynh, Gabriel Rojas-Westall, Leah Isquith-Dicker, Jakub Zimny, Teresa Perez, NyRee Ausler, Matthew Bolte, Rebecca Comegys, Mariana Beckett, Seth Nielsen, Eric Garasky, Grace Fox, Megan Shaw, Priyanka Mehta, Elise Adams, Max Wolfram, Malorie Kerouac, Bruna Mazzarella, Jake Weholt, Vincent Chan, Charles Maxwell Boyd, Kunal Grover, Clare Ouyang, Zhengqi Zeng, Michael Manser, Brooke Novak-Moorhead, Judy Hyatt, Mireya Smit, Gustaf Bellstam, Joseph Carl, Micaela Connors, Ishmeet Gupta, Patrick Steele, Ashley Thomas, Kyran Simpson, Ryan Riley, Sutheshini Yogalingam, Oliver Cassel, Emerson Powers, Michelle Huete-Sadaryzadeh, Maliheh Monshizadeh, Elizabeth Guy, Heidi Brown, Ankita Jain, William Parkinson, Daniel Johnston, John Kim, Diana Wolf, Amy Stevens, Matthew Drury, Samantha Fortuna, Arra Ardona, Sierra Michels-Slettvet, Mohammad Sial, Ryan Stanbery, Deexith Gowdanamane, Shane Watkins, Anna Boyd, Xiaoxi Guo, Arthur Khindria, Chung Park, Ruchika Kohli, Jade LaJambe, Brandon Helms, Kerry Kurian, Crystal Yan, Fangyan Chen, Jonah Kirangi, David Almeida, Benjamin Brooks, Rushabh Gandhi, Israel Geselowitz, Elena Novokreshchenova, Zachary Puckett, Vardhan Kapoor, Gabriela Galazka, Jeff Rinehart, Christopher Dostert, Shahar Ronen, Sarah Yohannes, Monali Agarwal, Jeffrey Dzado, Mindy Fineout, Ryan Grobler, Karissa Nanetta, Andrea Ommen, Noam Chitayat, Bryan Reeves, Thomas Stanton, Saurabh Pallav, Emily Noel, Robert Tam, Daniel Butts, Lisa Tran, Emily Hart, Robert Pagliarini, Alexander Korbonits, Lynn Rimbey, Kent Murra, Christian Castro Gonzalez, Gunnar Gissel, Lanze Aldrich Tan, Kendall Sadler, Zuwen Shi, Caroline Thompson, Amanda Shen, Andriy Bida, Trevor Allen, Omobayonle Olatunji, Nathan Wesling, John Hostek, Aidan Cheng, Alexander Borromeo, Ishan Bhadkamkar, Michelle Steffin, James Caviness, Matthew Sokolowsky, Shruti Rai, Chelsey Blindu, Daniel Escher, Stefanie Kamps, Elsa Hammons Watland, Jonah Glover, Lazaro Carrion Estrada, Sudhir Kaul, Maaian Sujatovich Wilkis, Kara Sims, Johanna S. Olson, Mariana Paonessa, Allison Hanegan, Dylan Morris, Adarsha Mohapatra, Woo Jung, Leandra Jones, Heather Rogers, Carson Gulledge, Pankaj Sharma, Kellen Ball, Yuhang An, Samuel Rosenthal, Jennifer Dewey, John Zavaglia, Emilia Perez-Orselli, Matthew Taller, Jonathan Ng, Marvin Cheng, Jeffrey Casserd, Sharon Lee Williams, Alexander Maestretti, Jennifer Swalin, Peter Freese, Bob Aman, Mark Doggett, Abhishek Saini, Jago McKenzie, Martin del Rosario, David White, Stephen Kang, Andrew Schwarz, Hazim Macky, Kevin Hanaford, Mark Shesser, Dmitry Denisenkov, Jan Zila, Ayesha Pacholke, Danielle Hill, Jordan Heeger, Justin Abel, Leslie Ditsworth, Leelynne Faris, Spencer Kadas, Jack Bryan, Robin McFee, Anthony Olsen, Manjae Park, Stefan Paolo Suarez, Elaine Lauderdale, Piragash Velummylum, Hilton Hewitt, Tim Wilder, Justin Yan, Suraj Vaghani, Vamsi Narla, Joshua Maslin, Anay Shah, Daniel Webber, John Scrofano, Ryan Steingard, Stephen Mull, Nicholas Moiseff, Krishnan Srinivasan, Jordan Timmermann, James Philip, Michael Luoma, Kevin Beukelman, Galex Yen, Nate Spanier, Aaron Gregory, Jason Hills, Ashish Agarwal, Andrew Larson, Karim Meghji, and Shivaas Gulati. Each of these persons beneficially owns less than 1.0% of our common stock.</w:t>
      </w:r>
    </w:p>
    <w:p>
      <w:pPr>
        <w:spacing w:after="0" w:line="159" w:lineRule="exact"/>
        <w:rPr>
          <w:rFonts w:ascii="Arial" w:cs="Arial" w:eastAsia="Arial" w:hAnsi="Arial"/>
          <w:sz w:val="13"/>
          <w:szCs w:val="13"/>
          <w:color w:val="auto"/>
        </w:rPr>
      </w:pPr>
    </w:p>
    <w:p>
      <w:pPr>
        <w:ind w:left="332" w:right="720" w:hanging="332"/>
        <w:spacing w:after="0" w:line="283" w:lineRule="auto"/>
        <w:tabs>
          <w:tab w:leader="none" w:pos="3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8 unnamed non-affiliate persons, each of whom holds less than 1,000 Shares and each of whom may sell up to such amount using this prospectus. Each of these persons beneficially owns less than 1%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207" w:right="339" w:bottom="1440" w:gutter="0" w:footer="0" w:header="0"/>
        </w:sectPr>
      </w:pPr>
    </w:p>
    <w:bookmarkStart w:id="14" w:name="page15"/>
    <w:bookmarkEnd w:id="14"/>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89"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We are registering the Shares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Stockholders reserve the right to accept and, together with their respective agents, to reject, any proposed purchases of Shares to be made directly or through agents.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Shares offered by this prospectus may be sold from time to time to purchasers:</w:t>
      </w:r>
    </w:p>
    <w:p>
      <w:pPr>
        <w:spacing w:after="0" w:line="185" w:lineRule="exact"/>
        <w:rPr>
          <w:sz w:val="20"/>
          <w:szCs w:val="20"/>
          <w:color w:val="auto"/>
        </w:rPr>
      </w:pPr>
    </w:p>
    <w:p>
      <w:pPr>
        <w:ind w:left="1020" w:hanging="37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by the Selling Stockholders, or</w:t>
      </w:r>
    </w:p>
    <w:p>
      <w:pPr>
        <w:spacing w:after="0" w:line="184" w:lineRule="exact"/>
        <w:rPr>
          <w:rFonts w:ascii="Arial" w:cs="Arial" w:eastAsia="Arial" w:hAnsi="Arial"/>
          <w:sz w:val="18"/>
          <w:szCs w:val="18"/>
          <w:color w:val="auto"/>
        </w:rPr>
      </w:pPr>
    </w:p>
    <w:p>
      <w:pPr>
        <w:ind w:left="1040" w:right="960" w:hanging="398"/>
        <w:spacing w:after="0" w:line="293" w:lineRule="auto"/>
        <w:tabs>
          <w:tab w:leader="none" w:pos="10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Stockholders or the purchasers of the Shares.</w:t>
      </w:r>
    </w:p>
    <w:p>
      <w:pPr>
        <w:spacing w:after="0" w:line="116" w:lineRule="exact"/>
        <w:rPr>
          <w:sz w:val="20"/>
          <w:szCs w:val="20"/>
          <w:color w:val="auto"/>
        </w:rPr>
      </w:pPr>
    </w:p>
    <w:p>
      <w:pPr>
        <w:ind w:right="140" w:firstLine="324"/>
        <w:spacing w:after="0" w:line="309" w:lineRule="auto"/>
        <w:rPr>
          <w:sz w:val="20"/>
          <w:szCs w:val="20"/>
          <w:color w:val="auto"/>
        </w:rPr>
      </w:pPr>
      <w:r>
        <w:rPr>
          <w:rFonts w:ascii="Arial" w:cs="Arial" w:eastAsia="Arial" w:hAnsi="Arial"/>
          <w:sz w:val="16"/>
          <w:szCs w:val="16"/>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Securities Exchange Act of 1934, as amended (the “Exchange Act”). We will make copies of this prospectus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Shares by the Selling Stockholders.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Shares may be sold in one or more transactions at:</w:t>
      </w:r>
    </w:p>
    <w:p>
      <w:pPr>
        <w:spacing w:after="0" w:line="185" w:lineRule="exact"/>
        <w:rPr>
          <w:sz w:val="20"/>
          <w:szCs w:val="20"/>
          <w:color w:val="auto"/>
        </w:rPr>
      </w:pPr>
    </w:p>
    <w:p>
      <w:pPr>
        <w:ind w:left="1020" w:hanging="37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84" w:lineRule="exact"/>
        <w:rPr>
          <w:rFonts w:ascii="Arial" w:cs="Arial" w:eastAsia="Arial" w:hAnsi="Arial"/>
          <w:sz w:val="18"/>
          <w:szCs w:val="18"/>
          <w:color w:val="auto"/>
        </w:rPr>
      </w:pPr>
    </w:p>
    <w:p>
      <w:pPr>
        <w:ind w:left="1020" w:hanging="37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84" w:lineRule="exact"/>
        <w:rPr>
          <w:rFonts w:ascii="Arial" w:cs="Arial" w:eastAsia="Arial" w:hAnsi="Arial"/>
          <w:sz w:val="18"/>
          <w:szCs w:val="18"/>
          <w:color w:val="auto"/>
        </w:rPr>
      </w:pPr>
    </w:p>
    <w:p>
      <w:pPr>
        <w:ind w:left="1020" w:hanging="37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84" w:lineRule="exact"/>
        <w:rPr>
          <w:rFonts w:ascii="Arial" w:cs="Arial" w:eastAsia="Arial" w:hAnsi="Arial"/>
          <w:sz w:val="18"/>
          <w:szCs w:val="18"/>
          <w:color w:val="auto"/>
        </w:rPr>
      </w:pPr>
    </w:p>
    <w:p>
      <w:pPr>
        <w:ind w:left="1020" w:hanging="37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84" w:lineRule="exact"/>
        <w:rPr>
          <w:rFonts w:ascii="Arial" w:cs="Arial" w:eastAsia="Arial" w:hAnsi="Arial"/>
          <w:sz w:val="18"/>
          <w:szCs w:val="18"/>
          <w:color w:val="auto"/>
        </w:rPr>
      </w:pPr>
    </w:p>
    <w:p>
      <w:pPr>
        <w:ind w:left="1020" w:hanging="37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sales may be effected in one or more transactions:</w:t>
      </w:r>
    </w:p>
    <w:p>
      <w:pPr>
        <w:spacing w:after="0" w:line="185" w:lineRule="exact"/>
        <w:rPr>
          <w:sz w:val="20"/>
          <w:szCs w:val="20"/>
          <w:color w:val="auto"/>
        </w:rPr>
      </w:pPr>
    </w:p>
    <w:p>
      <w:pPr>
        <w:ind w:left="1040" w:right="580" w:hanging="398"/>
        <w:spacing w:after="0" w:line="293" w:lineRule="auto"/>
        <w:tabs>
          <w:tab w:leader="none" w:pos="10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Shares may be listed or quoted at the time of sale, including the Nasdaq;</w:t>
      </w:r>
    </w:p>
    <w:p>
      <w:pPr>
        <w:spacing w:after="0" w:line="115" w:lineRule="exact"/>
        <w:rPr>
          <w:rFonts w:ascii="Arial" w:cs="Arial" w:eastAsia="Arial" w:hAnsi="Arial"/>
          <w:sz w:val="18"/>
          <w:szCs w:val="18"/>
          <w:color w:val="auto"/>
        </w:rPr>
      </w:pPr>
    </w:p>
    <w:p>
      <w:pPr>
        <w:ind w:left="1020" w:hanging="37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84" w:lineRule="exact"/>
        <w:rPr>
          <w:rFonts w:ascii="Arial" w:cs="Arial" w:eastAsia="Arial" w:hAnsi="Arial"/>
          <w:sz w:val="18"/>
          <w:szCs w:val="18"/>
          <w:color w:val="auto"/>
        </w:rPr>
      </w:pPr>
    </w:p>
    <w:p>
      <w:pPr>
        <w:ind w:left="1020" w:hanging="37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84" w:lineRule="exact"/>
        <w:rPr>
          <w:rFonts w:ascii="Arial" w:cs="Arial" w:eastAsia="Arial" w:hAnsi="Arial"/>
          <w:sz w:val="18"/>
          <w:szCs w:val="18"/>
          <w:color w:val="auto"/>
        </w:rPr>
      </w:pPr>
    </w:p>
    <w:p>
      <w:pPr>
        <w:ind w:left="1020" w:hanging="37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84" w:lineRule="exact"/>
        <w:rPr>
          <w:rFonts w:ascii="Arial" w:cs="Arial" w:eastAsia="Arial" w:hAnsi="Arial"/>
          <w:sz w:val="18"/>
          <w:szCs w:val="18"/>
          <w:color w:val="auto"/>
        </w:rPr>
      </w:pPr>
    </w:p>
    <w:p>
      <w:pPr>
        <w:ind w:left="1020" w:hanging="37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07" w:right="339" w:bottom="1440" w:gutter="0" w:footer="0" w:header="0"/>
        </w:sectPr>
      </w:pPr>
    </w:p>
    <w:bookmarkStart w:id="15" w:name="page16"/>
    <w:bookmarkEnd w:id="15"/>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trade.</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7"/>
          <w:szCs w:val="17"/>
          <w:color w:val="auto"/>
        </w:rPr>
        <w:t>At the time a particular offering of the Shares is made, a prospectus supplement, if required, will be distributed, which will set forth the name of the Selling Stockholders, the aggregate amount of Shares being offered and the 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11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Selling Stockholders will act independently of us in making decisions with respect to the timing, manner, and size of each resale or other transfer. There can be no assurance that the Selling Stockholders will sell any or all of the Shares under this prospectus. Further, we cannot assure you that the Selling Stockholders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09" w:lineRule="exact"/>
        <w:rPr>
          <w:sz w:val="20"/>
          <w:szCs w:val="20"/>
          <w:color w:val="auto"/>
        </w:rPr>
      </w:pPr>
    </w:p>
    <w:p>
      <w:pPr>
        <w:ind w:right="260" w:firstLine="324"/>
        <w:spacing w:after="0" w:line="272" w:lineRule="auto"/>
        <w:rPr>
          <w:sz w:val="20"/>
          <w:szCs w:val="20"/>
          <w:color w:val="auto"/>
        </w:rPr>
      </w:pPr>
      <w:r>
        <w:rPr>
          <w:rFonts w:ascii="Arial" w:cs="Arial" w:eastAsia="Arial" w:hAnsi="Arial"/>
          <w:sz w:val="18"/>
          <w:szCs w:val="18"/>
          <w:color w:val="auto"/>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spacing w:after="0" w:line="137" w:lineRule="exact"/>
        <w:rPr>
          <w:sz w:val="20"/>
          <w:szCs w:val="20"/>
          <w:color w:val="auto"/>
        </w:rPr>
      </w:pPr>
    </w:p>
    <w:p>
      <w:pPr>
        <w:ind w:right="340" w:firstLine="324"/>
        <w:spacing w:after="0" w:line="293" w:lineRule="auto"/>
        <w:rPr>
          <w:sz w:val="20"/>
          <w:szCs w:val="20"/>
          <w:color w:val="auto"/>
        </w:rPr>
      </w:pPr>
      <w:r>
        <w:rPr>
          <w:rFonts w:ascii="Arial" w:cs="Arial" w:eastAsia="Arial" w:hAnsi="Arial"/>
          <w:sz w:val="18"/>
          <w:szCs w:val="18"/>
          <w:color w:val="auto"/>
        </w:rPr>
        <w:t>The Selling Stockholders may indemnify any broker or underwriter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207" w:right="379" w:bottom="1440" w:gutter="0" w:footer="0" w:header="0"/>
        </w:sectPr>
      </w:pPr>
    </w:p>
    <w:bookmarkStart w:id="16" w:name="page17"/>
    <w:bookmarkEnd w:id="16"/>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validity of the Shares offered hereby has been passed upon by Fenwick &amp; West LLP, Seattle, Washington.</w:t>
      </w:r>
    </w:p>
    <w:p>
      <w:pPr>
        <w:spacing w:after="0" w:line="16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right="140" w:firstLine="324"/>
        <w:spacing w:after="0" w:line="329" w:lineRule="auto"/>
        <w:rPr>
          <w:sz w:val="20"/>
          <w:szCs w:val="20"/>
          <w:color w:val="auto"/>
        </w:rPr>
      </w:pPr>
      <w:r>
        <w:rPr>
          <w:rFonts w:ascii="Arial" w:cs="Arial" w:eastAsia="Arial" w:hAnsi="Arial"/>
          <w:sz w:val="16"/>
          <w:szCs w:val="16"/>
          <w:color w:val="auto"/>
        </w:rPr>
        <w:t>The consolidated financial statements as of December 31, 2019 and 2020 and for the years then ended incorporated in this Prospectus by reference to Amendment No. 2 to the Registration Statement on Form S-1 have been so incorporated in reliance on the report of PricewaterhouseCoopers LLP, an independent registered public accounting firm, given on the authority of said firm as experts in auditing and accounting.</w:t>
      </w:r>
    </w:p>
    <w:p>
      <w:pPr>
        <w:spacing w:after="0" w:line="76" w:lineRule="exact"/>
        <w:rPr>
          <w:sz w:val="20"/>
          <w:szCs w:val="20"/>
          <w:color w:val="auto"/>
        </w:rPr>
      </w:pPr>
    </w:p>
    <w:p>
      <w:pPr>
        <w:ind w:left="340" w:right="3460" w:firstLine="3149"/>
        <w:spacing w:after="0" w:line="513" w:lineRule="auto"/>
        <w:rPr>
          <w:sz w:val="20"/>
          <w:szCs w:val="20"/>
          <w:color w:val="auto"/>
        </w:rPr>
      </w:pPr>
      <w:r>
        <w:rPr>
          <w:rFonts w:ascii="Arial" w:cs="Arial" w:eastAsia="Arial" w:hAnsi="Arial"/>
          <w:sz w:val="16"/>
          <w:szCs w:val="16"/>
          <w:b w:val="1"/>
          <w:bCs w:val="1"/>
          <w:color w:val="auto"/>
        </w:rPr>
        <w:t xml:space="preserve">INFORMATION INCORPORATED BY REFERENCE </w:t>
      </w:r>
      <w:r>
        <w:rPr>
          <w:rFonts w:ascii="Arial" w:cs="Arial" w:eastAsia="Arial" w:hAnsi="Arial"/>
          <w:sz w:val="16"/>
          <w:szCs w:val="16"/>
          <w:color w:val="auto"/>
        </w:rPr>
        <w:t>The following documents filed with the SEC are hereby incorporated by reference in this prospectus:</w:t>
      </w:r>
    </w:p>
    <w:p>
      <w:pPr>
        <w:ind w:left="1040" w:right="40" w:hanging="494"/>
        <w:spacing w:after="0" w:line="279" w:lineRule="auto"/>
        <w:tabs>
          <w:tab w:leader="none" w:pos="10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Amendment No. 2 to the Registrant’s Registration Statement on </w:t>
      </w:r>
      <w:hyperlink r:id="rId23">
        <w:r>
          <w:rPr>
            <w:rFonts w:ascii="Arial" w:cs="Arial" w:eastAsia="Arial" w:hAnsi="Arial"/>
            <w:sz w:val="18"/>
            <w:szCs w:val="18"/>
            <w:u w:val="single" w:color="auto"/>
            <w:color w:val="0000FF"/>
          </w:rPr>
          <w:t>Form S-1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Securities and Exchange Commission on September 22, 2021 (File No. 333-259167), which contains the Registrant’s audited financial statements for the latest fiscal year for which such statements have been filed.</w:t>
      </w:r>
    </w:p>
    <w:p>
      <w:pPr>
        <w:spacing w:after="0" w:line="128" w:lineRule="exact"/>
        <w:rPr>
          <w:rFonts w:ascii="Arial" w:cs="Arial" w:eastAsia="Arial" w:hAnsi="Arial"/>
          <w:sz w:val="18"/>
          <w:szCs w:val="18"/>
          <w:color w:val="auto"/>
        </w:rPr>
      </w:pPr>
    </w:p>
    <w:p>
      <w:pPr>
        <w:ind w:left="1040" w:right="420" w:hanging="494"/>
        <w:spacing w:after="0" w:line="293" w:lineRule="auto"/>
        <w:tabs>
          <w:tab w:leader="none" w:pos="10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Prospectus to be filed on or about September 23, 2021 pursuant to Rule 424(b) under the Securities Act, relating to the Registration Statement on Form S-1, as amended (File No. 333-259167).</w:t>
      </w:r>
    </w:p>
    <w:p>
      <w:pPr>
        <w:spacing w:after="0" w:line="115" w:lineRule="exact"/>
        <w:rPr>
          <w:rFonts w:ascii="Arial" w:cs="Arial" w:eastAsia="Arial" w:hAnsi="Arial"/>
          <w:sz w:val="18"/>
          <w:szCs w:val="18"/>
          <w:color w:val="auto"/>
        </w:rPr>
      </w:pPr>
    </w:p>
    <w:p>
      <w:pPr>
        <w:ind w:left="1040" w:right="220" w:hanging="494"/>
        <w:spacing w:after="0" w:line="359" w:lineRule="auto"/>
        <w:tabs>
          <w:tab w:leader="none" w:pos="10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which is contained in a registration statement on </w:t>
      </w:r>
      <w:hyperlink r:id="rId24">
        <w:r>
          <w:rPr>
            <w:rFonts w:ascii="Arial" w:cs="Arial" w:eastAsia="Arial" w:hAnsi="Arial"/>
            <w:sz w:val="16"/>
            <w:szCs w:val="16"/>
            <w:u w:val="single" w:color="auto"/>
            <w:color w:val="0000FF"/>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September 20, 2021 (File No. 001-40822) under the Exchange Act, including any amendment or report filed for the purpose of updating such description.</w:t>
      </w:r>
    </w:p>
    <w:p>
      <w:pPr>
        <w:spacing w:after="0" w:line="71" w:lineRule="exact"/>
        <w:rPr>
          <w:rFonts w:ascii="Arial" w:cs="Arial" w:eastAsia="Arial" w:hAnsi="Arial"/>
          <w:sz w:val="18"/>
          <w:szCs w:val="18"/>
          <w:color w:val="auto"/>
        </w:rPr>
      </w:pPr>
    </w:p>
    <w:p>
      <w:pPr>
        <w:ind w:firstLine="324"/>
        <w:spacing w:after="0" w:line="292" w:lineRule="auto"/>
        <w:rPr>
          <w:sz w:val="20"/>
          <w:szCs w:val="20"/>
          <w:color w:val="auto"/>
        </w:rPr>
      </w:pPr>
      <w:r>
        <w:rPr>
          <w:rFonts w:ascii="Arial" w:cs="Arial" w:eastAsia="Arial" w:hAnsi="Arial"/>
          <w:sz w:val="17"/>
          <w:szCs w:val="17"/>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w:t>
      </w:r>
    </w:p>
    <w:p>
      <w:pPr>
        <w:spacing w:after="0" w:line="120" w:lineRule="exact"/>
        <w:rPr>
          <w:rFonts w:ascii="Arial" w:cs="Arial" w:eastAsia="Arial" w:hAnsi="Arial"/>
          <w:sz w:val="18"/>
          <w:szCs w:val="18"/>
          <w:color w:val="auto"/>
        </w:rPr>
      </w:pPr>
    </w:p>
    <w:p>
      <w:pPr>
        <w:ind w:firstLine="324"/>
        <w:spacing w:after="0" w:line="275"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9" w:lineRule="exact"/>
        <w:rPr>
          <w:rFonts w:ascii="Arial" w:cs="Arial" w:eastAsia="Arial" w:hAnsi="Arial"/>
          <w:sz w:val="18"/>
          <w:szCs w:val="18"/>
          <w:color w:val="auto"/>
        </w:rPr>
      </w:pPr>
    </w:p>
    <w:p>
      <w:pPr>
        <w:ind w:right="100" w:firstLine="324"/>
        <w:spacing w:after="0" w:line="271"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https://www.remitly.com/. These filings will be available as soon as reasonably practicable after we electronically file such material with, or furnish it to, the SEC. Information contained on our website is not part of this prospectus.</w:t>
      </w:r>
    </w:p>
    <w:p>
      <w:pPr>
        <w:spacing w:after="0" w:line="137" w:lineRule="exact"/>
        <w:rPr>
          <w:rFonts w:ascii="Arial" w:cs="Arial" w:eastAsia="Arial" w:hAnsi="Arial"/>
          <w:sz w:val="18"/>
          <w:szCs w:val="18"/>
          <w:color w:val="auto"/>
        </w:rPr>
      </w:pPr>
    </w:p>
    <w:p>
      <w:pPr>
        <w:ind w:right="440" w:firstLine="324"/>
        <w:spacing w:after="0" w:line="293" w:lineRule="auto"/>
        <w:rPr>
          <w:sz w:val="20"/>
          <w:szCs w:val="20"/>
          <w:color w:val="auto"/>
        </w:rPr>
      </w:pPr>
      <w:r>
        <w:rPr>
          <w:rFonts w:ascii="Arial" w:cs="Arial" w:eastAsia="Arial" w:hAnsi="Arial"/>
          <w:sz w:val="18"/>
          <w:szCs w:val="18"/>
          <w:color w:val="auto"/>
        </w:rPr>
        <w:t>The Registrant hereby undertakes to provide without charge to each person, including any beneficial owner, to whom a copy of this prospectus is delivered, upon written or oral request of any such person, a copy of any and all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07" w:right="359" w:bottom="1440" w:gutter="0" w:footer="0" w:header="0"/>
        </w:sectPr>
      </w:pPr>
    </w:p>
    <w:bookmarkStart w:id="17" w:name="page18"/>
    <w:bookmarkEnd w:id="17"/>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Remitly Global, Inc., Attention: General Counsel, 1111 Third Avenue, Suite 2100, Seattle, WA 98101, (888) 736-4859.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207" w:right="659" w:bottom="1440" w:gutter="0" w:footer="0" w:header="0"/>
        </w:sectPr>
      </w:pPr>
    </w:p>
    <w:bookmarkStart w:id="18" w:name="page19"/>
    <w:bookmarkEnd w:id="18"/>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Registration Information and Employee Plan Annual Information.*</w:t>
      </w:r>
    </w:p>
    <w:p>
      <w:pPr>
        <w:spacing w:after="0" w:line="184" w:lineRule="exact"/>
        <w:rPr>
          <w:sz w:val="20"/>
          <w:szCs w:val="20"/>
          <w:color w:val="auto"/>
        </w:rPr>
      </w:pPr>
    </w:p>
    <w:p>
      <w:pPr>
        <w:ind w:left="340" w:hanging="332"/>
        <w:spacing w:after="0" w:line="293" w:lineRule="auto"/>
        <w:tabs>
          <w:tab w:leader="none" w:pos="1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Information required by Part I to be contained in the Section 10(a) prospectus is omitted from this Registration Statement in accordance with Rule 428 under the Securities Act and the “Note” to Part I of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100"/>
          </w:cols>
          <w:pgMar w:left="320" w:top="207" w:right="479" w:bottom="1440" w:gutter="0" w:footer="0" w:header="0"/>
        </w:sectPr>
      </w:pPr>
    </w:p>
    <w:bookmarkStart w:id="19" w:name="page20"/>
    <w:bookmarkEnd w:id="19"/>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filed with the SEC are hereby incorporated by reference in this prospectus:</w:t>
      </w:r>
    </w:p>
    <w:p>
      <w:pPr>
        <w:spacing w:after="0" w:line="185" w:lineRule="exact"/>
        <w:rPr>
          <w:sz w:val="20"/>
          <w:szCs w:val="20"/>
          <w:color w:val="auto"/>
        </w:rPr>
      </w:pPr>
    </w:p>
    <w:p>
      <w:pPr>
        <w:ind w:left="1040" w:right="40" w:hanging="494"/>
        <w:spacing w:after="0" w:line="279" w:lineRule="auto"/>
        <w:tabs>
          <w:tab w:leader="none" w:pos="1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Amendment No. 2 to the Registrant’s Registration Statement on </w:t>
      </w:r>
      <w:hyperlink r:id="rId23">
        <w:r>
          <w:rPr>
            <w:rFonts w:ascii="Arial" w:cs="Arial" w:eastAsia="Arial" w:hAnsi="Arial"/>
            <w:sz w:val="18"/>
            <w:szCs w:val="18"/>
            <w:u w:val="single" w:color="auto"/>
            <w:color w:val="0000FF"/>
          </w:rPr>
          <w:t>Form S-1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Securities and Exchange Commission on September 22, 2021 (File No. 333-259167), which contains the Registrant’s audited financial statements for the latest fiscal year for which such statements have been filed.</w:t>
      </w:r>
    </w:p>
    <w:p>
      <w:pPr>
        <w:spacing w:after="0" w:line="128" w:lineRule="exact"/>
        <w:rPr>
          <w:rFonts w:ascii="Arial" w:cs="Arial" w:eastAsia="Arial" w:hAnsi="Arial"/>
          <w:sz w:val="18"/>
          <w:szCs w:val="18"/>
          <w:color w:val="auto"/>
        </w:rPr>
      </w:pPr>
    </w:p>
    <w:p>
      <w:pPr>
        <w:ind w:left="1040" w:right="420" w:hanging="494"/>
        <w:spacing w:after="0" w:line="293" w:lineRule="auto"/>
        <w:tabs>
          <w:tab w:leader="none" w:pos="10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Prospectus to be filed on or about September 23, 2021 pursuant to Rule 424(b) under the Securities Act, relating to the Registration Statement on Form S-1, as amended (File No. 333-259167).</w:t>
      </w:r>
    </w:p>
    <w:p>
      <w:pPr>
        <w:spacing w:after="0" w:line="115" w:lineRule="exact"/>
        <w:rPr>
          <w:rFonts w:ascii="Arial" w:cs="Arial" w:eastAsia="Arial" w:hAnsi="Arial"/>
          <w:sz w:val="18"/>
          <w:szCs w:val="18"/>
          <w:color w:val="auto"/>
        </w:rPr>
      </w:pPr>
    </w:p>
    <w:p>
      <w:pPr>
        <w:ind w:left="1040" w:right="220" w:hanging="494"/>
        <w:spacing w:after="0" w:line="359" w:lineRule="auto"/>
        <w:tabs>
          <w:tab w:leader="none" w:pos="10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which is contained in a registration statement on </w:t>
      </w:r>
      <w:hyperlink r:id="rId24">
        <w:r>
          <w:rPr>
            <w:rFonts w:ascii="Arial" w:cs="Arial" w:eastAsia="Arial" w:hAnsi="Arial"/>
            <w:sz w:val="16"/>
            <w:szCs w:val="16"/>
            <w:u w:val="single" w:color="auto"/>
            <w:color w:val="0000FF"/>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September 20, 2021 (File No. 001-40822) under the Exchange Act, including any amendment or report filed for the purpose of updating such description.</w:t>
      </w:r>
    </w:p>
    <w:p>
      <w:pPr>
        <w:spacing w:after="0" w:line="71" w:lineRule="exact"/>
        <w:rPr>
          <w:rFonts w:ascii="Arial" w:cs="Arial" w:eastAsia="Arial" w:hAnsi="Arial"/>
          <w:sz w:val="18"/>
          <w:szCs w:val="18"/>
          <w:color w:val="auto"/>
        </w:rPr>
      </w:pPr>
    </w:p>
    <w:p>
      <w:pPr>
        <w:ind w:firstLine="324"/>
        <w:spacing w:after="0" w:line="287" w:lineRule="auto"/>
        <w:rPr>
          <w:sz w:val="20"/>
          <w:szCs w:val="20"/>
          <w:color w:val="auto"/>
        </w:rPr>
      </w:pPr>
      <w:r>
        <w:rPr>
          <w:rFonts w:ascii="Arial" w:cs="Arial" w:eastAsia="Arial" w:hAnsi="Arial"/>
          <w:sz w:val="17"/>
          <w:szCs w:val="17"/>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0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89"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89"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89" w:lineRule="exact"/>
        <w:rPr>
          <w:rFonts w:ascii="Arial" w:cs="Arial" w:eastAsia="Arial" w:hAnsi="Arial"/>
          <w:sz w:val="18"/>
          <w:szCs w:val="18"/>
          <w:color w:val="auto"/>
        </w:rPr>
      </w:pPr>
    </w:p>
    <w:p>
      <w:pPr>
        <w:ind w:right="540" w:firstLine="324"/>
        <w:spacing w:after="0" w:line="275" w:lineRule="auto"/>
        <w:rPr>
          <w:sz w:val="20"/>
          <w:szCs w:val="20"/>
          <w:color w:val="auto"/>
        </w:rPr>
      </w:pPr>
      <w:r>
        <w:rPr>
          <w:rFonts w:ascii="Arial" w:cs="Arial" w:eastAsia="Arial" w:hAnsi="Arial"/>
          <w:sz w:val="18"/>
          <w:szCs w:val="18"/>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131" w:lineRule="exact"/>
        <w:rPr>
          <w:rFonts w:ascii="Arial" w:cs="Arial" w:eastAsia="Arial" w:hAnsi="Arial"/>
          <w:sz w:val="18"/>
          <w:szCs w:val="18"/>
          <w:color w:val="auto"/>
        </w:rPr>
      </w:pPr>
    </w:p>
    <w:p>
      <w:pPr>
        <w:ind w:right="220" w:firstLine="324"/>
        <w:spacing w:after="0" w:line="279" w:lineRule="auto"/>
        <w:rPr>
          <w:sz w:val="20"/>
          <w:szCs w:val="20"/>
          <w:color w:val="auto"/>
        </w:rPr>
      </w:pPr>
      <w:r>
        <w:rPr>
          <w:rFonts w:ascii="Arial" w:cs="Arial" w:eastAsia="Arial" w:hAnsi="Arial"/>
          <w:sz w:val="18"/>
          <w:szCs w:val="18"/>
          <w:color w:val="auto"/>
        </w:rPr>
        <w:t>As permitted by the DGCL, the Registrant’s amended and restated certificate of incorporation that will be in effect immediately prior to the consummation of the Registrant’s initial public offering contains provisions that eliminate the personal liability of its directors for monetary damages for any breach of fiduciary duties as a director to the fullest extent permitted by law.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320" w:top="207" w:right="359" w:bottom="1440" w:gutter="0" w:footer="0" w:header="0"/>
        </w:sectPr>
      </w:pPr>
    </w:p>
    <w:bookmarkStart w:id="20" w:name="page21"/>
    <w:bookmarkEnd w:id="20"/>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60" w:firstLine="324"/>
        <w:spacing w:after="0" w:line="293" w:lineRule="auto"/>
        <w:rPr>
          <w:sz w:val="20"/>
          <w:szCs w:val="20"/>
          <w:color w:val="auto"/>
        </w:rPr>
      </w:pPr>
      <w:r>
        <w:rPr>
          <w:rFonts w:ascii="Arial" w:cs="Arial" w:eastAsia="Arial" w:hAnsi="Arial"/>
          <w:sz w:val="18"/>
          <w:szCs w:val="18"/>
          <w:color w:val="auto"/>
        </w:rPr>
        <w:t>As permitted by the DGCL, the Registrant’s restated bylaws that will be in effect immediately prior to the consummation of the Registrant’s initial public offering provide that:</w:t>
      </w:r>
    </w:p>
    <w:p>
      <w:pPr>
        <w:spacing w:after="0" w:line="116" w:lineRule="exact"/>
        <w:rPr>
          <w:sz w:val="20"/>
          <w:szCs w:val="20"/>
          <w:color w:val="auto"/>
        </w:rPr>
      </w:pPr>
    </w:p>
    <w:p>
      <w:pPr>
        <w:ind w:left="660" w:right="340" w:hanging="328"/>
        <w:spacing w:after="0" w:line="29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84" w:lineRule="exact"/>
        <w:rPr>
          <w:rFonts w:ascii="Arial" w:cs="Arial" w:eastAsia="Arial" w:hAnsi="Arial"/>
          <w:sz w:val="18"/>
          <w:szCs w:val="18"/>
          <w:color w:val="auto"/>
        </w:rPr>
      </w:pPr>
    </w:p>
    <w:p>
      <w:pPr>
        <w:ind w:left="660" w:right="360" w:hanging="328"/>
        <w:spacing w:after="0" w:line="29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85"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restated bylaws and to provide additional procedural protections. At present, there is no pending litigation or proceeding involving a director, executive officer, or employee of the Registrant regarding which indemnification is sought. The indemnification provisions in the Registrant’s amended and restated certificate of incorporation and restated bylaws and the indemnification agreements entered into may be sufficiently broad to permit indemnification of the Registrant’s directors and executive officers for liabilities arising under the Securities Act.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 has directors’ and officers’ liability insurance for its directors and officers.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of the Registrant’s directors are also indemnified by their employers with regard to their service on the Registrant’s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320" w:top="207" w:right="399" w:bottom="1440" w:gutter="0" w:footer="0" w:header="0"/>
        </w:sectPr>
      </w:pPr>
    </w:p>
    <w:bookmarkStart w:id="21" w:name="page22"/>
    <w:bookmarkEnd w:id="21"/>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issuance of the Shares being offered by the Form S-3 resale prospectus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5"/>
          </w:tcPr>
          <w:p>
            <w:pPr>
              <w:ind w:left="840"/>
              <w:spacing w:after="0"/>
              <w:rPr>
                <w:sz w:val="20"/>
                <w:szCs w:val="20"/>
                <w:color w:val="auto"/>
              </w:rPr>
            </w:pPr>
            <w:r>
              <w:rPr>
                <w:rFonts w:ascii="Arial" w:cs="Arial" w:eastAsia="Arial" w:hAnsi="Arial"/>
                <w:sz w:val="13"/>
                <w:szCs w:val="13"/>
                <w:b w:val="1"/>
                <w:bCs w:val="1"/>
                <w:color w:val="auto"/>
              </w:rPr>
              <w:t>Incorporated by Reference</w:t>
            </w:r>
          </w:p>
        </w:tc>
      </w:tr>
      <w:tr>
        <w:trPr>
          <w:trHeight w:val="57"/>
        </w:trPr>
        <w:tc>
          <w:tcPr>
            <w:tcW w:w="11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97"/>
        </w:trPr>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0" w:type="dxa"/>
            <w:vAlign w:val="bottom"/>
            <w:gridSpan w:val="14"/>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Form</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File No.</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1820" w:type="dxa"/>
            <w:vAlign w:val="bottom"/>
          </w:tcPr>
          <w:p>
            <w:pPr>
              <w:ind w:left="560"/>
              <w:spacing w:after="0"/>
              <w:rPr>
                <w:sz w:val="20"/>
                <w:szCs w:val="20"/>
                <w:color w:val="auto"/>
              </w:rPr>
            </w:pPr>
            <w:r>
              <w:rPr>
                <w:rFonts w:ascii="Arial" w:cs="Arial" w:eastAsia="Arial" w:hAnsi="Arial"/>
                <w:sz w:val="14"/>
                <w:szCs w:val="14"/>
                <w:b w:val="1"/>
                <w:bCs w:val="1"/>
                <w:color w:val="auto"/>
              </w:rPr>
              <w:t>Filing Date</w:t>
            </w:r>
          </w:p>
        </w:tc>
      </w:tr>
      <w:tr>
        <w:trPr>
          <w:trHeight w:val="26"/>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9"/>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Borders>
              <w:bottom w:val="single" w:sz="8" w:color="0000FF"/>
            </w:tcBorders>
            <w:gridSpan w:val="8"/>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Amended and Restated Certificate of Incorporation of the</w:t>
              </w:r>
            </w:hyperlink>
          </w:p>
        </w:tc>
        <w:tc>
          <w:tcPr>
            <w:tcW w:w="900" w:type="dxa"/>
            <w:vAlign w:val="bottom"/>
            <w:gridSpan w:val="8"/>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Borders>
              <w:bottom w:val="single" w:sz="8" w:color="0000FF"/>
            </w:tcBorders>
            <w:gridSpan w:val="3"/>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Registrant, as currently in effect.</w:t>
              </w:r>
            </w:hyperlink>
          </w:p>
        </w:tc>
        <w:tc>
          <w:tcPr>
            <w:tcW w:w="2700" w:type="dxa"/>
            <w:vAlign w:val="bottom"/>
            <w:gridSpan w:val="13"/>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1280" w:type="dxa"/>
            <w:vAlign w:val="bottom"/>
          </w:tcPr>
          <w:p>
            <w:pPr>
              <w:jc w:val="right"/>
              <w:ind w:right="296"/>
              <w:spacing w:after="0"/>
              <w:rPr>
                <w:sz w:val="20"/>
                <w:szCs w:val="20"/>
                <w:color w:val="auto"/>
              </w:rPr>
            </w:pPr>
            <w:r>
              <w:rPr>
                <w:rFonts w:ascii="Arial" w:cs="Arial" w:eastAsia="Arial" w:hAnsi="Arial"/>
                <w:sz w:val="18"/>
                <w:szCs w:val="18"/>
                <w:color w:val="auto"/>
                <w:w w:val="91"/>
              </w:rPr>
              <w:t>333-259167</w:t>
            </w: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August 30, 2021</w:t>
            </w:r>
          </w:p>
        </w:tc>
      </w:tr>
      <w:tr>
        <w:trPr>
          <w:trHeight w:val="264"/>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0" w:type="dxa"/>
            <w:vAlign w:val="bottom"/>
            <w:tcBorders>
              <w:bottom w:val="single" w:sz="8" w:color="0000FF"/>
            </w:tcBorders>
            <w:gridSpan w:val="6"/>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Bylaws of the Registrant, as currently in effect.</w:t>
              </w:r>
            </w:hyperlink>
          </w:p>
        </w:tc>
        <w:tc>
          <w:tcPr>
            <w:tcW w:w="1660" w:type="dxa"/>
            <w:vAlign w:val="bottom"/>
            <w:gridSpan w:val="10"/>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1280" w:type="dxa"/>
            <w:vAlign w:val="bottom"/>
          </w:tcPr>
          <w:p>
            <w:pPr>
              <w:jc w:val="right"/>
              <w:ind w:right="296"/>
              <w:spacing w:after="0"/>
              <w:rPr>
                <w:sz w:val="20"/>
                <w:szCs w:val="20"/>
                <w:color w:val="auto"/>
              </w:rPr>
            </w:pPr>
            <w:r>
              <w:rPr>
                <w:rFonts w:ascii="Arial" w:cs="Arial" w:eastAsia="Arial" w:hAnsi="Arial"/>
                <w:sz w:val="18"/>
                <w:szCs w:val="18"/>
                <w:color w:val="auto"/>
                <w:w w:val="91"/>
              </w:rPr>
              <w:t>333-259167</w:t>
            </w:r>
          </w:p>
        </w:tc>
        <w:tc>
          <w:tcPr>
            <w:tcW w:w="1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August 30, 2021</w:t>
            </w:r>
          </w:p>
        </w:tc>
      </w:tr>
      <w:tr>
        <w:trPr>
          <w:trHeight w:val="263"/>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16"/>
          </w:tcPr>
          <w:p>
            <w:pPr>
              <w:spacing w:after="0"/>
              <w:rPr>
                <w:rFonts w:ascii="Arial" w:cs="Arial" w:eastAsia="Arial" w:hAnsi="Arial"/>
                <w:sz w:val="18"/>
                <w:szCs w:val="18"/>
                <w:color w:val="0000FF"/>
                <w:w w:val="96"/>
              </w:rPr>
            </w:pPr>
            <w:hyperlink r:id="rId27">
              <w:r>
                <w:rPr>
                  <w:rFonts w:ascii="Arial" w:cs="Arial" w:eastAsia="Arial" w:hAnsi="Arial"/>
                  <w:sz w:val="18"/>
                  <w:szCs w:val="18"/>
                  <w:color w:val="0000FF"/>
                  <w:w w:val="96"/>
                </w:rPr>
                <w:t>Form of Amended and Restated Certificate of Incorporation of the</w:t>
              </w:r>
            </w:hyperlink>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gridSpan w:val="16"/>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Registrant, to be effective immediately prior to the consummation of</w:t>
              </w:r>
            </w:hyperlink>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the Registrant’s initial public offering.</w:t>
              </w:r>
            </w:hyperlink>
          </w:p>
        </w:tc>
        <w:tc>
          <w:tcPr>
            <w:tcW w:w="2180" w:type="dxa"/>
            <w:vAlign w:val="bottom"/>
            <w:tcBorders>
              <w:top w:val="single" w:sz="8" w:color="0000FF"/>
            </w:tcBorders>
            <w:gridSpan w:val="9"/>
          </w:tcPr>
          <w:p>
            <w:pPr>
              <w:spacing w:after="0"/>
              <w:rPr>
                <w:sz w:val="18"/>
                <w:szCs w:val="18"/>
                <w:color w:val="auto"/>
              </w:rPr>
            </w:pPr>
          </w:p>
        </w:tc>
        <w:tc>
          <w:tcPr>
            <w:tcW w:w="120" w:type="dxa"/>
            <w:vAlign w:val="bottom"/>
            <w:gridSpan w:val="2"/>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jc w:val="right"/>
              <w:ind w:right="296"/>
              <w:spacing w:after="0"/>
              <w:rPr>
                <w:sz w:val="20"/>
                <w:szCs w:val="20"/>
                <w:color w:val="auto"/>
              </w:rPr>
            </w:pPr>
            <w:r>
              <w:rPr>
                <w:rFonts w:ascii="Arial" w:cs="Arial" w:eastAsia="Arial" w:hAnsi="Arial"/>
                <w:sz w:val="18"/>
                <w:szCs w:val="18"/>
                <w:color w:val="auto"/>
                <w:w w:val="91"/>
              </w:rPr>
              <w:t>333-259167</w:t>
            </w: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September 14, 2021</w:t>
            </w:r>
          </w:p>
        </w:tc>
      </w:tr>
      <w:tr>
        <w:trPr>
          <w:trHeight w:val="263"/>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tcBorders>
              <w:bottom w:val="single" w:sz="8" w:color="0000FF"/>
            </w:tcBorders>
            <w:gridSpan w:val="9"/>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Form of Restated Bylaws of the Registrant, to be effective</w:t>
              </w:r>
            </w:hyperlink>
          </w:p>
        </w:tc>
        <w:tc>
          <w:tcPr>
            <w:tcW w:w="860" w:type="dxa"/>
            <w:vAlign w:val="bottom"/>
            <w:gridSpan w:val="7"/>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0"/>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bottom w:val="single" w:sz="8" w:color="0000FF"/>
            </w:tcBorders>
            <w:gridSpan w:val="12"/>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immediately prior to the consummation of the Registrant’s initial</w:t>
              </w:r>
            </w:hyperlink>
          </w:p>
        </w:tc>
        <w:tc>
          <w:tcPr>
            <w:tcW w:w="38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0000FF"/>
            </w:tcBorders>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public offering.</w:t>
              </w:r>
            </w:hyperlink>
          </w:p>
        </w:tc>
        <w:tc>
          <w:tcPr>
            <w:tcW w:w="3940" w:type="dxa"/>
            <w:vAlign w:val="bottom"/>
            <w:gridSpan w:val="15"/>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jc w:val="right"/>
              <w:ind w:right="296"/>
              <w:spacing w:after="0"/>
              <w:rPr>
                <w:sz w:val="20"/>
                <w:szCs w:val="20"/>
                <w:color w:val="auto"/>
              </w:rPr>
            </w:pPr>
            <w:r>
              <w:rPr>
                <w:rFonts w:ascii="Arial" w:cs="Arial" w:eastAsia="Arial" w:hAnsi="Arial"/>
                <w:sz w:val="18"/>
                <w:szCs w:val="18"/>
                <w:color w:val="auto"/>
                <w:w w:val="91"/>
              </w:rPr>
              <w:t>333-259167</w:t>
            </w: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September 14, 2021</w:t>
            </w:r>
          </w:p>
        </w:tc>
      </w:tr>
      <w:tr>
        <w:trPr>
          <w:trHeight w:val="263"/>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tcBorders>
              <w:bottom w:val="single" w:sz="8" w:color="0000FF"/>
            </w:tcBorders>
            <w:gridSpan w:val="7"/>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Form of common stock certificate of the Registrant.</w:t>
              </w:r>
            </w:hyperlink>
          </w:p>
        </w:tc>
        <w:tc>
          <w:tcPr>
            <w:tcW w:w="1320" w:type="dxa"/>
            <w:vAlign w:val="bottom"/>
            <w:gridSpan w:val="9"/>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S-1/A</w:t>
            </w:r>
          </w:p>
        </w:tc>
        <w:tc>
          <w:tcPr>
            <w:tcW w:w="1280" w:type="dxa"/>
            <w:vAlign w:val="bottom"/>
          </w:tcPr>
          <w:p>
            <w:pPr>
              <w:jc w:val="right"/>
              <w:ind w:right="296"/>
              <w:spacing w:after="0"/>
              <w:rPr>
                <w:sz w:val="20"/>
                <w:szCs w:val="20"/>
                <w:color w:val="auto"/>
              </w:rPr>
            </w:pPr>
            <w:r>
              <w:rPr>
                <w:rFonts w:ascii="Arial" w:cs="Arial" w:eastAsia="Arial" w:hAnsi="Arial"/>
                <w:sz w:val="18"/>
                <w:szCs w:val="18"/>
                <w:color w:val="auto"/>
                <w:w w:val="91"/>
              </w:rPr>
              <w:t>333-259167</w:t>
            </w:r>
          </w:p>
        </w:tc>
        <w:tc>
          <w:tcPr>
            <w:tcW w:w="1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September 14, 2021</w:t>
            </w:r>
          </w:p>
        </w:tc>
      </w:tr>
      <w:tr>
        <w:trPr>
          <w:trHeight w:val="263"/>
        </w:trPr>
        <w:tc>
          <w:tcPr>
            <w:tcW w:w="108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1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Opinion of Fenwick &amp; West LLP.</w:t>
              </w:r>
            </w:hyperlink>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16"/>
          </w:tcPr>
          <w:p>
            <w:pPr>
              <w:spacing w:after="0"/>
              <w:rPr>
                <w:rFonts w:ascii="Arial" w:cs="Arial" w:eastAsia="Arial" w:hAnsi="Arial"/>
                <w:sz w:val="18"/>
                <w:szCs w:val="18"/>
                <w:color w:val="0000FF"/>
                <w:w w:val="95"/>
              </w:rPr>
            </w:pPr>
            <w:hyperlink w:anchor="page28">
              <w:r>
                <w:rPr>
                  <w:rFonts w:ascii="Arial" w:cs="Arial" w:eastAsia="Arial" w:hAnsi="Arial"/>
                  <w:sz w:val="18"/>
                  <w:szCs w:val="18"/>
                  <w:color w:val="0000FF"/>
                  <w:w w:val="95"/>
                </w:rPr>
                <w:t>Consent of PricewaterhouseCoopers LLP, independent registered</w:t>
              </w:r>
            </w:hyperlink>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0"/>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top w:val="single" w:sz="8" w:color="0000FF"/>
            </w:tcBorders>
            <w:gridSpan w:val="1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public accounting firm.</w:t>
              </w:r>
            </w:hyperlink>
          </w:p>
        </w:tc>
        <w:tc>
          <w:tcPr>
            <w:tcW w:w="38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580" w:type="dxa"/>
            <w:vAlign w:val="bottom"/>
            <w:tcBorders>
              <w:left w:val="single" w:sz="8" w:color="0000FF"/>
            </w:tcBorders>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3"/>
        </w:trPr>
        <w:tc>
          <w:tcPr>
            <w:tcW w:w="108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Consent of Fenwick &amp; West LLP (included in Exhibit 5.1 hereto).</w:t>
              </w:r>
            </w:hyperlink>
          </w:p>
        </w:tc>
        <w:tc>
          <w:tcPr>
            <w:tcW w:w="280" w:type="dxa"/>
            <w:vAlign w:val="bottom"/>
            <w:gridSpan w:val="3"/>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63"/>
        </w:trPr>
        <w:tc>
          <w:tcPr>
            <w:tcW w:w="108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Power of Attorney (included on the signature page hereto).</w:t>
              </w:r>
            </w:hyperlink>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580" w:type="dxa"/>
            <w:vAlign w:val="bottom"/>
            <w:tcBorders>
              <w:left w:val="single" w:sz="8" w:color="0000FF"/>
            </w:tcBorders>
            <w:gridSpan w:val="8"/>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4"/>
        </w:trPr>
        <w:tc>
          <w:tcPr>
            <w:tcW w:w="10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0" w:type="dxa"/>
            <w:vAlign w:val="bottom"/>
            <w:tcBorders>
              <w:bottom w:val="single" w:sz="8" w:color="0000FF"/>
            </w:tcBorders>
            <w:gridSpan w:val="11"/>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2011 Equity Incentive Plan, as amended, and forms of equity</w:t>
              </w:r>
            </w:hyperlink>
          </w:p>
        </w:tc>
        <w:tc>
          <w:tcPr>
            <w:tcW w:w="660" w:type="dxa"/>
            <w:vAlign w:val="bottom"/>
            <w:gridSpan w:val="5"/>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9"/>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gridSpan w:val="16"/>
          </w:tcPr>
          <w:p>
            <w:pPr>
              <w:spacing w:after="0"/>
              <w:rPr>
                <w:rFonts w:ascii="Arial" w:cs="Arial" w:eastAsia="Arial" w:hAnsi="Arial"/>
                <w:sz w:val="18"/>
                <w:szCs w:val="18"/>
                <w:color w:val="0000FF"/>
              </w:rPr>
            </w:pPr>
            <w:hyperlink r:id="rId30">
              <w:r>
                <w:rPr>
                  <w:rFonts w:ascii="Arial" w:cs="Arial" w:eastAsia="Arial" w:hAnsi="Arial"/>
                  <w:sz w:val="18"/>
                  <w:szCs w:val="18"/>
                  <w:color w:val="0000FF"/>
                </w:rPr>
                <w:t>agreements thereunder.</w:t>
              </w:r>
            </w:hyperlink>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1280" w:type="dxa"/>
            <w:vAlign w:val="bottom"/>
          </w:tcPr>
          <w:p>
            <w:pPr>
              <w:jc w:val="right"/>
              <w:ind w:right="296"/>
              <w:spacing w:after="0"/>
              <w:rPr>
                <w:sz w:val="20"/>
                <w:szCs w:val="20"/>
                <w:color w:val="auto"/>
              </w:rPr>
            </w:pPr>
            <w:r>
              <w:rPr>
                <w:rFonts w:ascii="Arial" w:cs="Arial" w:eastAsia="Arial" w:hAnsi="Arial"/>
                <w:sz w:val="18"/>
                <w:szCs w:val="18"/>
                <w:color w:val="auto"/>
                <w:w w:val="91"/>
              </w:rPr>
              <w:t>333-259167</w:t>
            </w: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August 30, 2021</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8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84" w:lineRule="exact"/>
        <w:rPr>
          <w:rFonts w:ascii="Arial" w:cs="Arial" w:eastAsia="Arial" w:hAnsi="Arial"/>
          <w:sz w:val="18"/>
          <w:szCs w:val="18"/>
          <w:color w:val="auto"/>
        </w:rPr>
      </w:pPr>
    </w:p>
    <w:p>
      <w:pPr>
        <w:ind w:left="340" w:right="460" w:firstLine="316"/>
        <w:spacing w:after="0" w:line="293" w:lineRule="auto"/>
        <w:tabs>
          <w:tab w:leader="none" w:pos="1302"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207" w:right="339" w:bottom="1440" w:gutter="0" w:footer="0" w:header="0"/>
        </w:sectPr>
      </w:pPr>
    </w:p>
    <w:bookmarkStart w:id="22" w:name="page23"/>
    <w:bookmarkEnd w:id="22"/>
    <w:p>
      <w:pPr>
        <w:ind w:left="152"/>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2" w:right="100"/>
        <w:spacing w:after="0" w:line="292" w:lineRule="auto"/>
        <w:rPr>
          <w:sz w:val="20"/>
          <w:szCs w:val="20"/>
          <w:color w:val="auto"/>
        </w:rPr>
      </w:pPr>
      <w:r>
        <w:rPr>
          <w:rFonts w:ascii="Arial" w:cs="Arial" w:eastAsia="Arial" w:hAnsi="Arial"/>
          <w:sz w:val="17"/>
          <w:szCs w:val="17"/>
          <w:color w:val="auto"/>
        </w:rPr>
        <w:t>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0" w:lineRule="exact"/>
        <w:rPr>
          <w:sz w:val="20"/>
          <w:szCs w:val="20"/>
          <w:color w:val="auto"/>
        </w:rPr>
      </w:pPr>
    </w:p>
    <w:p>
      <w:pPr>
        <w:ind w:left="332" w:right="100" w:firstLine="316"/>
        <w:spacing w:after="0" w:line="293"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jc w:val="both"/>
        <w:ind w:left="332" w:right="80" w:firstLine="324"/>
        <w:spacing w:after="0" w:line="27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periodic reports filed with or furnished to the SEC by the Registrant pursuant to Section 13 or Section 15(d) of the Exchange Act that are incorporated by reference in this Registration Statement.</w:t>
      </w:r>
    </w:p>
    <w:p>
      <w:pPr>
        <w:spacing w:after="0" w:line="129" w:lineRule="exact"/>
        <w:rPr>
          <w:sz w:val="20"/>
          <w:szCs w:val="20"/>
          <w:color w:val="auto"/>
        </w:rPr>
      </w:pPr>
    </w:p>
    <w:p>
      <w:pPr>
        <w:ind w:left="-8" w:right="340" w:firstLine="332"/>
        <w:spacing w:after="0" w:line="279" w:lineRule="auto"/>
        <w:tabs>
          <w:tab w:leader="none" w:pos="6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8" w:lineRule="exact"/>
        <w:rPr>
          <w:rFonts w:ascii="Arial" w:cs="Arial" w:eastAsia="Arial" w:hAnsi="Arial"/>
          <w:sz w:val="18"/>
          <w:szCs w:val="18"/>
          <w:color w:val="auto"/>
        </w:rPr>
      </w:pPr>
    </w:p>
    <w:p>
      <w:pPr>
        <w:ind w:left="-8" w:right="20" w:firstLine="332"/>
        <w:spacing w:after="0" w:line="293" w:lineRule="auto"/>
        <w:tabs>
          <w:tab w:leader="none" w:pos="6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5" w:lineRule="exact"/>
        <w:rPr>
          <w:rFonts w:ascii="Arial" w:cs="Arial" w:eastAsia="Arial" w:hAnsi="Arial"/>
          <w:sz w:val="18"/>
          <w:szCs w:val="18"/>
          <w:color w:val="auto"/>
        </w:rPr>
      </w:pPr>
    </w:p>
    <w:p>
      <w:pPr>
        <w:ind w:left="-8" w:right="60" w:firstLine="8"/>
        <w:spacing w:after="0" w:line="272" w:lineRule="auto"/>
        <w:tabs>
          <w:tab w:leader="none" w:pos="6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Arial" w:cs="Arial" w:eastAsia="Arial" w:hAnsi="Arial"/>
          <w:sz w:val="18"/>
          <w:szCs w:val="18"/>
          <w:color w:val="auto"/>
        </w:rPr>
      </w:pPr>
    </w:p>
    <w:p>
      <w:pPr>
        <w:ind w:left="-8" w:firstLine="8"/>
        <w:spacing w:after="0" w:line="309" w:lineRule="auto"/>
        <w:tabs>
          <w:tab w:leader="none" w:pos="6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12"/>
          </w:cols>
          <w:pgMar w:left="328" w:top="207" w:right="359" w:bottom="1440" w:gutter="0" w:footer="0" w:header="0"/>
        </w:sectPr>
      </w:pPr>
    </w:p>
    <w:bookmarkStart w:id="23" w:name="page24"/>
    <w:bookmarkEnd w:id="23"/>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80" w:firstLine="324"/>
        <w:spacing w:after="0" w:line="27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September 23, 2021.</w:t>
      </w:r>
    </w:p>
    <w:p>
      <w:pPr>
        <w:spacing w:after="0" w:line="165"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REMITLY GLOBAL, INC.</w:t>
      </w:r>
    </w:p>
    <w:p>
      <w:pPr>
        <w:spacing w:after="0" w:line="324" w:lineRule="exact"/>
        <w:rPr>
          <w:sz w:val="20"/>
          <w:szCs w:val="20"/>
          <w:color w:val="auto"/>
        </w:rPr>
      </w:pPr>
    </w:p>
    <w:p>
      <w:pPr>
        <w:ind w:left="7180"/>
        <w:spacing w:after="0"/>
        <w:tabs>
          <w:tab w:leader="none" w:pos="7640" w:val="left"/>
        </w:tabs>
        <w:rPr>
          <w:sz w:val="20"/>
          <w:szCs w:val="20"/>
          <w:color w:val="auto"/>
        </w:rPr>
      </w:pPr>
      <w:r>
        <w:rPr>
          <w:rFonts w:ascii="Arial" w:cs="Arial" w:eastAsia="Arial" w:hAnsi="Arial"/>
          <w:sz w:val="18"/>
          <w:szCs w:val="18"/>
          <w:color w:val="auto"/>
        </w:rPr>
        <w:t>By:</w:t>
        <w:tab/>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31750</wp:posOffset>
            </wp:positionV>
            <wp:extent cx="22802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Matthew Oppenheimer</w:t>
      </w:r>
    </w:p>
    <w:p>
      <w:pPr>
        <w:spacing w:after="0" w:line="63"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Chief Executive Officer</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Matthew Oppenheimer and Susanna Morgan, as his or her true and lawful attorneys-in-fact, proxies, and agents, each with full power of substitution, for him or her in any and all capacities, to sign any and all amendments to this registration statement (including post-effective amendments), and to file the same, with all exhibits thereto and other documents in connection therewith, with the SEC,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60"/>
          </w:cols>
          <w:pgMar w:left="320" w:top="207" w:right="419" w:bottom="1440" w:gutter="0" w:footer="0" w:header="0"/>
        </w:sectPr>
      </w:pPr>
    </w:p>
    <w:bookmarkStart w:id="24" w:name="page25"/>
    <w:bookmarkEnd w:id="24"/>
    <w:p>
      <w:pPr>
        <w:ind w:left="160"/>
        <w:spacing w:after="0"/>
        <w:rPr>
          <w:rFonts w:ascii="Arial" w:cs="Arial" w:eastAsia="Arial" w:hAnsi="Arial"/>
          <w:sz w:val="16"/>
          <w:szCs w:val="16"/>
          <w:b w:val="1"/>
          <w:bCs w:val="1"/>
          <w:u w:val="single" w:color="auto"/>
          <w:color w:val="0000FF"/>
        </w:rPr>
      </w:pPr>
      <w:hyperlink w:anchor="page4">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93"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0960"/>
          </w:cols>
          <w:pgMar w:left="320" w:top="207" w:right="619" w:bottom="1440" w:gutter="0" w:footer="0" w:header="0"/>
        </w:sectPr>
      </w:pPr>
    </w:p>
    <w:p>
      <w:pPr>
        <w:spacing w:after="0" w:line="161"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271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11"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271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9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Matthew Oppenheimer</w:t>
      </w:r>
    </w:p>
    <w:p>
      <w:pPr>
        <w:spacing w:after="0" w:line="10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Susanna Morgan</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William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71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William Bryant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Bora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71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Bora Chung</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Joshua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71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Joshua Hug</w:t>
      </w:r>
    </w:p>
    <w:p>
      <w:pPr>
        <w:spacing w:after="0" w:line="13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Laurent Le Moal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71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Laurent Le Moal</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Nigel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71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Nigel Morris</w:t>
      </w:r>
    </w:p>
    <w:p>
      <w:pPr>
        <w:spacing w:after="0" w:line="13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713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Phillip Riese</w:t>
      </w:r>
    </w:p>
    <w:p>
      <w:pPr>
        <w:spacing w:after="0" w:line="1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Ron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71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Ron Shah</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2713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Margaret M. Smyth</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 Charles Stonecipher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2713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8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Charles Stonecipher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32385</wp:posOffset>
            </wp:positionV>
            <wp:extent cx="2400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8"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Chief Executive Officer, and Director (</w:t>
      </w:r>
      <w:r>
        <w:rPr>
          <w:rFonts w:ascii="Arial" w:cs="Arial" w:eastAsia="Arial" w:hAnsi="Arial"/>
          <w:sz w:val="16"/>
          <w:szCs w:val="16"/>
          <w:i w:val="1"/>
          <w:iCs w:val="1"/>
          <w:color w:val="auto"/>
        </w:rPr>
        <w:t>Principal</w:t>
      </w:r>
    </w:p>
    <w:p>
      <w:pPr>
        <w:spacing w:after="0" w:line="46"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Chief Financial Officer (</w:t>
      </w:r>
      <w:r>
        <w:rPr>
          <w:rFonts w:ascii="Arial" w:cs="Arial" w:eastAsia="Arial" w:hAnsi="Arial"/>
          <w:sz w:val="17"/>
          <w:szCs w:val="17"/>
          <w:i w:val="1"/>
          <w:iCs w:val="1"/>
          <w:color w:val="auto"/>
        </w:rPr>
        <w:t>Principal Financial and</w:t>
      </w:r>
    </w:p>
    <w:p>
      <w:pPr>
        <w:spacing w:after="0" w:line="3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p>
      <w:pPr>
        <w:spacing w:after="0" w:line="29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32385</wp:posOffset>
            </wp:positionV>
            <wp:extent cx="23399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September 23, 2021</w:t>
      </w:r>
    </w:p>
    <w:p>
      <w:pPr>
        <w:spacing w:after="0" w:line="383" w:lineRule="exact"/>
        <w:rPr>
          <w:sz w:val="20"/>
          <w:szCs w:val="20"/>
          <w:color w:val="auto"/>
        </w:rPr>
      </w:pPr>
    </w:p>
    <w:p>
      <w:pPr>
        <w:sectPr>
          <w:pgSz w:w="11900" w:h="16838" w:orient="portrait"/>
          <w:cols w:equalWidth="0" w:num="3">
            <w:col w:w="3100" w:space="720"/>
            <w:col w:w="4140" w:space="720"/>
            <w:col w:w="2280"/>
          </w:cols>
          <w:pgMar w:left="320" w:top="207"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60"/>
          </w:cols>
          <w:pgMar w:left="320" w:top="207" w:right="61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291465</wp:posOffset>
            </wp:positionV>
            <wp:extent cx="557212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557212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September 23,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Remitly Global,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1111 Third Avenue, Suite 2100</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Seattle</w:t>
      </w:r>
      <w:r>
        <w:rPr>
          <w:rFonts w:ascii="Arial" w:cs="Arial" w:eastAsia="Arial" w:hAnsi="Arial"/>
          <w:sz w:val="21"/>
          <w:szCs w:val="21"/>
          <w:color w:val="auto"/>
        </w:rPr>
        <w:t>, WA 98101</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At your request, we have examined the Registration Statement on Form S-8 (the “Registration Statement”) to be filed by Remitly Global, Inc., a Delaware corporation (the “Company”), with the Securities and Exchange Commission (the “Commission”) on or about September 23, 2021 in connection with the registration under the Securities Act of 1933, as amended (“Securities Act”), of resale of up to 5,293,823 shares (the “Shares”) of Common Stock, $0.0001 par value per share, of the Company (“Common Stock”) by the selling stockholders (the “Selling Stockholders”) described in the prospectus included in the Registration Statement (the “Prospectus”).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In connection with our opinion expressed below, we have examined originals or copies of the Registration Statement, the Prospectus, the Company’s certificate of incorporation, as amended, and the Company’s bylaws, the forms of the Company’s Amended and Restated Certificate of Incorporation and Restated Bylaws, each of which is to be in effect immediately prior to the closing of the Company’s initial public offering, in the forms filed as Exhibits 3.3 and 3.4, respectively, to the Company’s registration statement on Form S-1 (No. 333-259167), and such other agreements, documents, certificates and statements as we have deemed advisable, and have examined such questions of law as we have considered necessary. In giving our opinion, we have also relied upon a management certificate addressed to us and dated of even date herewith executed by the Company containing certain factual representations by the Company.</w:t>
      </w:r>
    </w:p>
    <w:p>
      <w:pPr>
        <w:spacing w:after="0" w:line="18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In our examination of documents for purposes of this opinion, we have assumed, and express no opinion as to, the genuineness of all signatures on original documents, the authenticity and completeness of all documents submitted to us as originals, the conformity to originals and completeness of all documents submitted to us as copies, the legal capacity of all persons or entities executing the same (other than the Company), the lack of any undisclosed termination, modification, waiver or amendment to any document reviewed by us.</w:t>
      </w:r>
    </w:p>
    <w:p>
      <w:pPr>
        <w:spacing w:after="0" w:line="17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We render this opinion only with respect to, and express no opinion herein concerning the application or effect of the laws of any jurisdiction other than, the existing Delaware General Corporation Law.</w:t>
      </w:r>
    </w:p>
    <w:p>
      <w:pPr>
        <w:spacing w:after="0" w:line="20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Based upon the foregoing, we are of the opinion that the Shares to be sold by the Selling Stockholders pursuant to the Registration Statement and the Prospectus are validly issued, fully paid and non-assessable.</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t>Remitly Global, Inc.</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We consent to the use of this opinion as an exhibit to the Registration Statement and further consent to all references to us, if any, in the Registration Statement, the Prospectus constituting a part thereof and any amendments thereto.</w:t>
      </w:r>
    </w:p>
    <w:p>
      <w:pPr>
        <w:spacing w:after="0" w:line="17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This opinion is intended solely for use in connection with and the sale of Shares by the Selling Stockholders subject to the Registration Statement and is not to be relied upon for any other purpose. This opinion is rendered as of the date first written above and is based solely on our understanding of facts in existence as of such date after the aforementioned examination. In rendering the opinions above, we are opining only as to the specific legal issues expressly set forth therein, and no opinion shall be inferred as to any other matter or matters.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3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Very truly yours,</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1905</wp:posOffset>
            </wp:positionV>
            <wp:extent cx="38233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FENWICK &amp; WEST LLP</w:t>
      </w:r>
    </w:p>
    <w:p>
      <w:pPr>
        <w:sectPr>
          <w:pgSz w:w="11900" w:h="16838" w:orient="portrait"/>
          <w:cols w:equalWidth="0" w:num="1">
            <w:col w:w="11240"/>
          </w:cols>
          <w:pgMar w:left="320" w:top="13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hereby consent to the incorporation by reference in this Registration Statement on Form S-8 of Remitly Global, Inc. of our report dated April 1, 2021 relating to the financial statements and financial statement schedule, which appears in Remitly Global, Inc.’s Amendment No. 2 to the Registration Statement on Form S-1 (No. 333-259167). We also consent to the reference to us under the heading “Experts” in such Registration Statement.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Seattle, Washington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23,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4"/>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3">
    <w:nsid w:val="79838CB2"/>
    <w:multiLevelType w:val="hybridMultilevel"/>
    <w:lvl w:ilvl="0">
      <w:lvlJc w:val="left"/>
      <w:lvlText w:val="(%1)"/>
      <w:numFmt w:val="lowerRoman"/>
      <w:start w:val="3"/>
    </w:lvl>
  </w:abstractNum>
  <w:abstractNum w:abstractNumId="24">
    <w:nsid w:val="4353D0CD"/>
    <w:multiLevelType w:val="hybridMultilevel"/>
    <w:lvl w:ilvl="0">
      <w:lvlJc w:val="left"/>
      <w:lvlText w:val="%1"/>
      <w:numFmt w:val="upperLetter"/>
      <w:start w:val="1"/>
    </w:lvl>
    <w:lvl w:ilvl="1">
      <w:lvlJc w:val="left"/>
      <w:lvlText w:val="(%2)"/>
      <w:numFmt w:val="decimal"/>
      <w:start w:val="2"/>
    </w:lvl>
  </w:abstractNum>
  <w:abstractNum w:abstractNumId="25">
    <w:nsid w:val="B03E0C6"/>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jpeg"/><Relationship Id="rId47" Type="http://schemas.openxmlformats.org/officeDocument/2006/relationships/image" Target="media/image32.png"/><Relationship Id="rId23" Type="http://schemas.openxmlformats.org/officeDocument/2006/relationships/hyperlink" Target="https://www.sec.gov/Archives/edgar/data/1782170/000162828021019014/remitlyglobalinc-sx1a2.htm" TargetMode="External"/><Relationship Id="rId24" Type="http://schemas.openxmlformats.org/officeDocument/2006/relationships/hyperlink" Target="https://www.sec.gov/Archives/edgar/data/1782170/000162828021018887/remitlyglobalinc-form8xa.htm" TargetMode="External"/><Relationship Id="rId25" Type="http://schemas.openxmlformats.org/officeDocument/2006/relationships/hyperlink" Target="https://www.sec.gov/Archives/edgar/data/1782170/000162828021017788/exhibit31-sx1.htm" TargetMode="External"/><Relationship Id="rId26" Type="http://schemas.openxmlformats.org/officeDocument/2006/relationships/hyperlink" Target="https://www.sec.gov/Archives/edgar/data/1782170/000162828021017788/exhibit32-sx1.htm" TargetMode="External"/><Relationship Id="rId27" Type="http://schemas.openxmlformats.org/officeDocument/2006/relationships/hyperlink" Target="https://www.sec.gov/Archives/edgar/data/1782170/000162828021018524/exhibit33-sx1a1.htm" TargetMode="External"/><Relationship Id="rId28" Type="http://schemas.openxmlformats.org/officeDocument/2006/relationships/hyperlink" Target="https://www.sec.gov/Archives/edgar/data/1782170/000162828021018524/exhibit34-sx1a1.htm" TargetMode="External"/><Relationship Id="rId29" Type="http://schemas.openxmlformats.org/officeDocument/2006/relationships/hyperlink" Target="https://www.sec.gov/Archives/edgar/data/1782170/000162828021018524/exhibit41-sx1a1.htm" TargetMode="External"/><Relationship Id="rId30" Type="http://schemas.openxmlformats.org/officeDocument/2006/relationships/hyperlink" Target="https://www.sec.gov/Archives/edgar/data/1782170/000162828021017788/exhibit103-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2021-09-23T06:38:14Z</dcterms:created>
  <dcterms:modified xsi:type="dcterms:W3CDTF">2021-09-23T06:38:14Z</dcterms:modified>
</cp:coreProperties>
</file>