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rPr>
        <w:t xml:space="preserve">As filed with the Securities and Exchange Commission on February </w:t>
      </w:r>
      <w:r>
        <w:rPr>
          <w:rFonts w:ascii="Times New Roman;serif" w:hAnsi="Times New Roman;serif"/>
          <w:b/>
          <w:color w:val="000000"/>
          <w:sz w:val="20"/>
          <w:shd w:fill="FFFFFF" w:val="clear"/>
        </w:rPr>
        <w:t>18</w:t>
      </w:r>
      <w:r>
        <w:rPr>
          <w:rFonts w:ascii="Times New Roman;serif" w:hAnsi="Times New Roman;serif"/>
          <w:b/>
          <w:color w:val="000000"/>
          <w:sz w:val="20"/>
        </w:rPr>
        <w:t>, 2026</w: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 xml:space="preserve">REGISTRATION STATEMENT UNDER THE SECURITIES ACT OF 1933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48"/>
        </w:rPr>
      </w:pPr>
      <w:r>
        <w:rPr>
          <w:rFonts w:ascii="Times New Roman;serif" w:hAnsi="Times New Roman;serif"/>
          <w:b/>
          <w:color w:val="000000"/>
          <w:sz w:val="48"/>
        </w:rPr>
        <w:t xml:space="preserve">REMITLY GLOBAL, INC.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4375" w:type="dxa"/>
        <w:jc w:val="center"/>
        <w:tblInd w:w="0" w:type="dxa"/>
        <w:tblLayout w:type="fixed"/>
        <w:tblCellMar>
          <w:top w:w="28" w:type="dxa"/>
          <w:left w:w="28" w:type="dxa"/>
          <w:bottom w:w="28" w:type="dxa"/>
          <w:right w:w="28" w:type="dxa"/>
        </w:tblCellMar>
      </w:tblPr>
      <w:tblGrid>
        <w:gridCol w:w="927"/>
        <w:gridCol w:w="813"/>
        <w:gridCol w:w="824"/>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3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color w:val="000000"/>
                <w:sz w:val="20"/>
              </w:rPr>
            </w:pPr>
            <w:r>
              <w:rPr>
                <w:rFonts w:ascii="Times New Roman;serif" w:hAnsi="Times New Roman;serif"/>
                <w:b/>
                <w:color w:val="000000"/>
                <w:sz w:val="20"/>
              </w:rPr>
              <w:t>83-2301143</w:t>
            </w:r>
          </w:p>
        </w:tc>
      </w:tr>
      <w:tr>
        <w:trPr/>
        <w:tc>
          <w:tcPr>
            <w:tcW w:w="25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401 Union Street, Suite 1000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Seattle, WA 98101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Remitly Global, Inc. 2021 Equity Incentive Plan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Remitly Global, Inc. 2021 Employee Stock Purchase Plan </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(Full titles of the plans)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Matthew Oppenheimer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Remitly Global,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401 Union Street, Suite 1000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Seattle, WA 98101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(888) 736-4859</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including zip code, and telephone number, including area code, of agent for service)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Saema Somalya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Chief Legal and Corporate Affairs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Remitly Global,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401 Union Street, Suite 1000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Seattle, WA 98101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(888) 736-4859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9"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REGISTRATION OF ADDITIONAL SHARES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GENERAL INSTRUCTION 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Pursuant to General Instruction E of Form S-8, Remitly Global, Inc. (the “</w:t>
      </w:r>
      <w:r>
        <w:rPr>
          <w:rFonts w:ascii="Times New Roman;serif" w:hAnsi="Times New Roman;serif"/>
          <w:b/>
          <w:i/>
          <w:color w:val="000000"/>
          <w:sz w:val="20"/>
        </w:rPr>
        <w:t>Registrant</w:t>
      </w:r>
      <w:r>
        <w:rPr>
          <w:color w:val="000000"/>
        </w:rPr>
        <w:t>”</w:t>
      </w:r>
      <w:r>
        <w:rPr>
          <w:rFonts w:ascii="Times New Roman;serif" w:hAnsi="Times New Roman;serif"/>
          <w:b w:val="false"/>
          <w:color w:val="000000"/>
          <w:sz w:val="20"/>
        </w:rPr>
        <w:t>) is filing this Registration Statement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xml:space="preserve">) to register </w:t>
      </w:r>
      <w:r>
        <w:rPr>
          <w:rFonts w:ascii="Times New Roman;serif" w:hAnsi="Times New Roman;serif"/>
          <w:b w:val="false"/>
          <w:color w:val="000000"/>
          <w:sz w:val="20"/>
          <w:shd w:fill="FFFFFF" w:val="clear"/>
        </w:rPr>
        <w:t>10,531,275</w:t>
      </w:r>
      <w:r>
        <w:rPr>
          <w:color w:val="000000"/>
        </w:rPr>
        <w:t xml:space="preserve"> </w:t>
      </w:r>
      <w:r>
        <w:rPr>
          <w:rFonts w:ascii="Times New Roman;serif" w:hAnsi="Times New Roman;serif"/>
          <w:b w:val="false"/>
          <w:color w:val="000000"/>
          <w:sz w:val="20"/>
        </w:rPr>
        <w:t>additional shares of common stock under the Registrant’s 2021 Equity Incentive Plan and</w:t>
      </w:r>
      <w:r>
        <w:rPr>
          <w:color w:val="000000"/>
          <w:shd w:fill="FFFFFF" w:val="clear"/>
        </w:rPr>
        <w:t xml:space="preserve"> </w:t>
      </w:r>
      <w:r>
        <w:rPr>
          <w:rFonts w:ascii="Times New Roman;serif" w:hAnsi="Times New Roman;serif"/>
          <w:b w:val="false"/>
          <w:color w:val="000000"/>
          <w:sz w:val="20"/>
          <w:shd w:fill="FFFFFF" w:val="clear"/>
        </w:rPr>
        <w:t>2,106,255</w:t>
      </w:r>
      <w:r>
        <w:rPr>
          <w:color w:val="000000"/>
        </w:rPr>
        <w:t xml:space="preserve"> </w:t>
      </w:r>
      <w:r>
        <w:rPr>
          <w:rFonts w:ascii="Times New Roman;serif" w:hAnsi="Times New Roman;serif"/>
          <w:b w:val="false"/>
          <w:color w:val="000000"/>
          <w:sz w:val="20"/>
        </w:rPr>
        <w:t xml:space="preserve">additional shares of common stock under the Registrant’s 2021 Employee Stock Purchase Plan pursuant to the provisions of those plans providing for an automatic annual increase in the number of shares reserved for issuance under such plans. In accordance with the instructional note of Part I of Form S-8 as promulgated by the Commission, the information specified by Part I of Form S-8 has been omitted from this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Item 3. </w:t>
      </w:r>
      <w:r>
        <w:rPr>
          <w:rFonts w:ascii="Times New Roman;serif" w:hAnsi="Times New Roman;serif"/>
          <w:b/>
          <w:color w:val="000000"/>
          <w:sz w:val="20"/>
          <w:u w:val="single"/>
        </w:rPr>
        <w:t>Incorporation of Documents by Reference</w:t>
      </w:r>
      <w:r>
        <w:rPr>
          <w:rFonts w:ascii="Times New Roman;serif" w:hAnsi="Times New Roman;serif"/>
          <w:b/>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following documents filed by the Registrant with the Commission pursuant to the Securities Act of 1933, as amended, and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are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 xml:space="preserve">a.the Registrant’s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(the “</w:t>
      </w:r>
      <w:r>
        <w:rPr>
          <w:rFonts w:ascii="Times New Roman;serif" w:hAnsi="Times New Roman;serif"/>
          <w:b/>
          <w:i/>
          <w:color w:val="000000"/>
          <w:sz w:val="20"/>
        </w:rPr>
        <w:t>Annual Report</w:t>
      </w:r>
      <w:r>
        <w:rPr>
          <w:color w:val="000000"/>
        </w:rPr>
        <w:t>”</w:t>
      </w:r>
      <w:r>
        <w:rPr>
          <w:rFonts w:ascii="Times New Roman;serif" w:hAnsi="Times New Roman;serif"/>
          <w:b w:val="false"/>
          <w:color w:val="000000"/>
          <w:sz w:val="20"/>
        </w:rPr>
        <w:t xml:space="preserve">), filed with the Commission on February </w:t>
      </w:r>
      <w:r>
        <w:rPr>
          <w:rFonts w:ascii="Times New Roman;serif" w:hAnsi="Times New Roman;serif"/>
          <w:b w:val="false"/>
          <w:color w:val="000000"/>
          <w:sz w:val="20"/>
          <w:shd w:fill="FFFFFF" w:val="clear"/>
        </w:rPr>
        <w:t>18</w:t>
      </w:r>
      <w:r>
        <w:rPr>
          <w:rFonts w:ascii="Times New Roman;serif" w:hAnsi="Times New Roman;serif"/>
          <w:b w:val="false"/>
          <w:color w:val="000000"/>
          <w:sz w:val="20"/>
        </w:rPr>
        <w:t>, 2026;</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b.all other reports filed pursuant to Section 13(a) or 15(d) of the Exchange Act since the end of the fiscal year covered by the Registrant’s Annual Report referred to in (a) above; and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 xml:space="preserve">c.the description of the Registrant’s common stock contained in the Registration Statement on </w:t>
      </w:r>
      <w:hyperlink r:id="rId3">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xml:space="preserve">, filed on September 20, 2021, under the Exchange Act, including any amendments or reports filed for the purpose of updating such description, including </w:t>
      </w:r>
      <w:hyperlink r:id="rId4">
        <w:r>
          <w:rPr>
            <w:rStyle w:val="InternetLink"/>
          </w:rPr>
          <w:t>Exhibit 4.</w:t>
        </w:r>
      </w:hyperlink>
      <w:hyperlink r:id="rId5">
        <w:r>
          <w:rPr>
            <w:rStyle w:val="InternetLink"/>
          </w:rPr>
          <w:t>2</w:t>
        </w:r>
      </w:hyperlink>
      <w:r>
        <w:rPr>
          <w:color w:val="000000"/>
        </w:rPr>
        <w:t xml:space="preserve"> </w:t>
      </w:r>
      <w:r>
        <w:rPr>
          <w:rFonts w:ascii="Times New Roman;serif" w:hAnsi="Times New Roman;serif"/>
          <w:b w:val="false"/>
          <w:color w:val="000000"/>
          <w:sz w:val="20"/>
        </w:rPr>
        <w:t>of the Annual Report.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This Registration Statement hereby incorporates by reference the contents of the Registrant’s previous registration statements on Form S-8 filed with the Commission on September 23, 2021 (</w:t>
      </w:r>
      <w:hyperlink r:id="rId6">
        <w:r>
          <w:rPr>
            <w:rStyle w:val="InternetLink"/>
            <w:rFonts w:ascii="Times New Roman;serif" w:hAnsi="Times New Roman;serif"/>
            <w:b w:val="false"/>
            <w:color w:val="0000FF"/>
            <w:sz w:val="20"/>
            <w:u w:val="single"/>
          </w:rPr>
          <w:t>Registration No. 333-259737</w:t>
        </w:r>
      </w:hyperlink>
      <w:r>
        <w:rPr>
          <w:rFonts w:ascii="Times New Roman;serif" w:hAnsi="Times New Roman;serif"/>
          <w:b w:val="false"/>
          <w:color w:val="000000"/>
          <w:sz w:val="20"/>
        </w:rPr>
        <w:t>), March 29, 2022 (</w:t>
      </w:r>
      <w:hyperlink r:id="rId7">
        <w:r>
          <w:rPr>
            <w:rStyle w:val="InternetLink"/>
            <w:rFonts w:ascii="Times New Roman;serif" w:hAnsi="Times New Roman;serif"/>
            <w:b w:val="false"/>
            <w:color w:val="0000FF"/>
            <w:sz w:val="20"/>
            <w:u w:val="single"/>
          </w:rPr>
          <w:t>Registration No. 333-263958</w:t>
        </w:r>
      </w:hyperlink>
      <w:r>
        <w:rPr>
          <w:rFonts w:ascii="Times New Roman;serif" w:hAnsi="Times New Roman;serif"/>
          <w:b w:val="false"/>
          <w:color w:val="000000"/>
          <w:sz w:val="20"/>
        </w:rPr>
        <w:t>), February 28, 2023 (</w:t>
      </w:r>
      <w:hyperlink r:id="rId8">
        <w:r>
          <w:rPr>
            <w:rStyle w:val="InternetLink"/>
            <w:rFonts w:ascii="Times New Roman;serif" w:hAnsi="Times New Roman;serif"/>
            <w:b w:val="false"/>
            <w:color w:val="0000FF"/>
            <w:sz w:val="20"/>
            <w:u w:val="single"/>
          </w:rPr>
          <w:t>Registration No. 333-270112</w:t>
        </w:r>
      </w:hyperlink>
      <w:r>
        <w:rPr>
          <w:rFonts w:ascii="Times New Roman;serif" w:hAnsi="Times New Roman;serif"/>
          <w:b w:val="false"/>
          <w:color w:val="000000"/>
          <w:sz w:val="20"/>
        </w:rPr>
        <w:t>), February 23, 2024 (</w:t>
      </w:r>
      <w:hyperlink r:id="rId9">
        <w:r>
          <w:rPr>
            <w:rStyle w:val="InternetLink"/>
            <w:rFonts w:ascii="Times New Roman;serif" w:hAnsi="Times New Roman;serif"/>
            <w:b w:val="false"/>
            <w:color w:val="0000FF"/>
            <w:sz w:val="20"/>
            <w:u w:val="single"/>
          </w:rPr>
          <w:t>Registration No. 333-277337</w:t>
        </w:r>
      </w:hyperlink>
      <w:r>
        <w:rPr>
          <w:rFonts w:ascii="Times New Roman;serif" w:hAnsi="Times New Roman;serif"/>
          <w:b w:val="false"/>
          <w:color w:val="000000"/>
          <w:sz w:val="20"/>
        </w:rPr>
        <w:t>), and February 19, 2025 (</w:t>
      </w:r>
      <w:hyperlink r:id="rId10">
        <w:r>
          <w:rPr>
            <w:rStyle w:val="InternetLink"/>
          </w:rPr>
          <w:t>Registration No. 333</w:t>
        </w:r>
      </w:hyperlink>
      <w:hyperlink r:id="rId11">
        <w:r>
          <w:rPr>
            <w:rStyle w:val="InternetLink"/>
          </w:rPr>
          <w:t>-</w:t>
        </w:r>
      </w:hyperlink>
      <w:hyperlink r:id="rId12">
        <w:r>
          <w:rPr>
            <w:rStyle w:val="InternetLink"/>
          </w:rPr>
          <w:t>285056</w:t>
        </w:r>
      </w:hyperlink>
      <w:r>
        <w:rPr>
          <w:rFonts w:ascii="Times New Roman;serif" w:hAnsi="Times New Roman;serif"/>
          <w:b w:val="false"/>
          <w:color w:val="000000"/>
          <w:sz w:val="20"/>
        </w:rPr>
        <w:t>) to the extent not superseded hereby.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Item 8. </w:t>
      </w:r>
      <w:r>
        <w:rPr>
          <w:rFonts w:ascii="Times New Roman;serif" w:hAnsi="Times New Roman;serif"/>
          <w:b/>
          <w:color w:val="000000"/>
          <w:sz w:val="20"/>
          <w:u w:val="single"/>
        </w:rPr>
        <w:t>Exhibits</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herewith or incorporated by reference:</w:t>
      </w:r>
    </w:p>
    <w:tbl>
      <w:tblPr>
        <w:tblW w:w="10205" w:type="dxa"/>
        <w:jc w:val="left"/>
        <w:tblInd w:w="0" w:type="dxa"/>
        <w:tblLayout w:type="fixed"/>
        <w:tblCellMar>
          <w:top w:w="28" w:type="dxa"/>
          <w:left w:w="28" w:type="dxa"/>
          <w:bottom w:w="28" w:type="dxa"/>
          <w:right w:w="28" w:type="dxa"/>
        </w:tblCellMar>
      </w:tblPr>
      <w:tblGrid>
        <w:gridCol w:w="302"/>
        <w:gridCol w:w="266"/>
        <w:gridCol w:w="267"/>
        <w:gridCol w:w="109"/>
        <w:gridCol w:w="109"/>
        <w:gridCol w:w="109"/>
        <w:gridCol w:w="1655"/>
        <w:gridCol w:w="900"/>
        <w:gridCol w:w="903"/>
        <w:gridCol w:w="109"/>
        <w:gridCol w:w="109"/>
        <w:gridCol w:w="109"/>
        <w:gridCol w:w="195"/>
        <w:gridCol w:w="195"/>
        <w:gridCol w:w="196"/>
        <w:gridCol w:w="109"/>
        <w:gridCol w:w="109"/>
        <w:gridCol w:w="109"/>
        <w:gridCol w:w="343"/>
        <w:gridCol w:w="285"/>
        <w:gridCol w:w="204"/>
        <w:gridCol w:w="109"/>
        <w:gridCol w:w="109"/>
        <w:gridCol w:w="109"/>
        <w:gridCol w:w="245"/>
        <w:gridCol w:w="245"/>
        <w:gridCol w:w="246"/>
        <w:gridCol w:w="109"/>
        <w:gridCol w:w="109"/>
        <w:gridCol w:w="109"/>
        <w:gridCol w:w="242"/>
        <w:gridCol w:w="242"/>
        <w:gridCol w:w="243"/>
        <w:gridCol w:w="109"/>
        <w:gridCol w:w="109"/>
        <w:gridCol w:w="109"/>
        <w:gridCol w:w="308"/>
        <w:gridCol w:w="308"/>
        <w:gridCol w:w="453"/>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21"/>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20"/>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001-40822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11/12/2021</w:t>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FF"/>
                  <w:sz w:val="20"/>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001-40822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03/20/2024</w:t>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20"/>
                </w:rPr>
                <w:t>Form of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333-259167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9/14/2021</w:t>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51-remitlyxformsx8opinio.htm">
              <w:r>
                <w:rPr>
                  <w:rStyle w:val="InternetLink"/>
                  <w:rFonts w:ascii="Times New Roman;serif" w:hAnsi="Times New Roman;serif"/>
                  <w:b w:val="false"/>
                  <w:color w:val="000080"/>
                  <w:sz w:val="20"/>
                </w:rPr>
                <w:t xml:space="preserve">Opinion of </w:t>
              </w:r>
            </w:hyperlink>
            <w:hyperlink w:anchor="ex51-remitlyxformsx8opinio.htm">
              <w:r>
                <w:rPr>
                  <w:rStyle w:val="InternetLink"/>
                  <w:rFonts w:ascii="Times New Roman;serif" w:hAnsi="Times New Roman;serif"/>
                  <w:b w:val="false"/>
                  <w:color w:val="000080"/>
                  <w:sz w:val="20"/>
                </w:rPr>
                <w:t xml:space="preserve">Perkins Coie </w:t>
              </w:r>
            </w:hyperlink>
            <w:hyperlink w:anchor="ex51-remitlyxformsx8opinio.htm">
              <w:r>
                <w:rPr>
                  <w:rStyle w:val="InternetLink"/>
                  <w:rFonts w:ascii="Times New Roman;serif" w:hAnsi="Times New Roman;serif"/>
                  <w:b w:val="false"/>
                  <w:color w:val="000080"/>
                  <w:sz w:val="20"/>
                </w:rPr>
                <w:t>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231-fy25sx8consentxdraft.htm">
              <w:r>
                <w:rPr>
                  <w:rStyle w:val="InternetLink"/>
                  <w:rFonts w:ascii="Times New Roman;serif" w:hAnsi="Times New Roman;serif"/>
                  <w:b w:val="false"/>
                  <w:color w:val="0000FF"/>
                  <w:sz w:val="20"/>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51-remitlyxformsx8opinio.htm">
              <w:r>
                <w:rPr>
                  <w:rStyle w:val="InternetLink"/>
                  <w:rFonts w:ascii="Times New Roman;serif" w:hAnsi="Times New Roman;serif"/>
                  <w:b w:val="false"/>
                  <w:color w:val="000080"/>
                  <w:sz w:val="20"/>
                </w:rPr>
                <w:t xml:space="preserve">Consent of </w:t>
              </w:r>
            </w:hyperlink>
            <w:hyperlink w:anchor="ex51-remitlyxformsx8opinio.htm">
              <w:r>
                <w:rPr>
                  <w:rStyle w:val="InternetLink"/>
                  <w:rFonts w:ascii="Times New Roman;serif" w:hAnsi="Times New Roman;serif"/>
                  <w:b w:val="false"/>
                  <w:color w:val="000080"/>
                  <w:sz w:val="20"/>
                </w:rPr>
                <w:t xml:space="preserve">Perkins Coie </w:t>
              </w:r>
            </w:hyperlink>
            <w:hyperlink w:anchor="ex51-remitlyxformsx8opinio.htm">
              <w:r>
                <w:rPr>
                  <w:rStyle w:val="InternetLink"/>
                  <w:rFonts w:ascii="Times New Roman;serif" w:hAnsi="Times New Roman;serif"/>
                  <w:b w:val="false"/>
                  <w:color w:val="000080"/>
                  <w:sz w:val="20"/>
                </w:rPr>
                <w:t>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90ff82e93df402996891bab3f2c7b3d_1289">
              <w:r>
                <w:rPr>
                  <w:rStyle w:val="InternetLink"/>
                  <w:rFonts w:ascii="Times New Roman;serif" w:hAnsi="Times New Roman;serif"/>
                  <w:b w:val="false"/>
                  <w:color w:val="0000FF"/>
                  <w:sz w:val="20"/>
                </w:rPr>
                <w:t>Power of Attorney (included on the signature page of this Registration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FF"/>
                  <w:sz w:val="20"/>
                </w:rPr>
                <w:t>2021 Equity Incentive Plan, as amended,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20"/>
              </w:rPr>
            </w:pPr>
            <w:r>
              <w:rPr>
                <w:rFonts w:ascii="Times New Roman;serif" w:hAnsi="Times New Roman;serif"/>
                <w:b w:val="false"/>
                <w:color w:val="000000"/>
                <w:sz w:val="20"/>
              </w:rPr>
              <w:t>001-40822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02/19/2025</w:t>
            </w:r>
          </w:p>
        </w:tc>
        <w:tc>
          <w:tcPr>
            <w:tcW w:w="1069"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erif" w:hAnsi="Times New Roman;serif"/>
                  <w:b w:val="false"/>
                  <w:color w:val="0000FF"/>
                  <w:sz w:val="20"/>
                </w:rPr>
                <w:t>2021 Employee Stock Purchase Plan, as amended, and form of subscription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20"/>
              </w:rPr>
            </w:pPr>
            <w:r>
              <w:rPr>
                <w:rFonts w:ascii="Times New Roman;serif" w:hAnsi="Times New Roman;serif"/>
                <w:b w:val="false"/>
                <w:color w:val="000000"/>
                <w:sz w:val="20"/>
              </w:rPr>
              <w:t>001-40822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07/31/2024</w:t>
            </w:r>
          </w:p>
        </w:tc>
        <w:tc>
          <w:tcPr>
            <w:tcW w:w="1069"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35"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FF"/>
                  <w:sz w:val="20"/>
                </w:rPr>
                <w:t>Filing Fee Table</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w:t>
      </w:r>
      <w:r>
        <w:rPr>
          <w:rFonts w:ascii="Times New Roman;serif" w:hAnsi="Times New Roman;serif"/>
          <w:b w:val="false"/>
          <w:color w:val="000000"/>
          <w:sz w:val="20"/>
          <w:shd w:fill="FFFFFF" w:val="clear"/>
        </w:rPr>
        <w:t>18th</w:t>
      </w:r>
      <w:r>
        <w:rPr>
          <w:color w:val="000000"/>
        </w:rPr>
        <w:t xml:space="preserve"> </w:t>
      </w:r>
      <w:r>
        <w:rPr>
          <w:rFonts w:ascii="Times New Roman;serif" w:hAnsi="Times New Roman;serif"/>
          <w:b w:val="false"/>
          <w:color w:val="000000"/>
          <w:sz w:val="20"/>
        </w:rPr>
        <w:t>day of February,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31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REMITLY GLOBAL,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Oppenheimer</w:t>
              <w:br/>
              <w:t>Chief Executive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bookmarkStart w:id="0" w:name="ic90ff82e93df402996891bab3f2c7b3d_1289"/>
      <w:bookmarkEnd w:id="0"/>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each person whose signature appears below hereby constitutes and appoints Matthew Oppenheimer, Vikas Mehta, and Luke Tavis, and each of them, as his or her true and lawful attorney-in-fact and agent with the full power of substitution, for him or her in any and all capacities, to sign any and all amendments to this Registration Statement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substitutes, may lawfully do or cause to be done by virtue hereof.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on behalf of the Registrant in the capacities and on the dates indicated. </w:t>
      </w:r>
    </w:p>
    <w:p>
      <w:pPr>
        <w:pStyle w:val="TextBody"/>
        <w:bidi w:val="0"/>
        <w:spacing w:before="0" w:after="0"/>
        <w:jc w:val="left"/>
        <w:rPr/>
      </w:pPr>
      <w:r>
        <w:rPr/>
      </w:r>
    </w:p>
    <w:tbl>
      <w:tblPr>
        <w:tblW w:w="8501" w:type="dxa"/>
        <w:jc w:val="left"/>
        <w:tblInd w:w="0" w:type="dxa"/>
        <w:tblLayout w:type="fixed"/>
        <w:tblCellMar>
          <w:top w:w="28" w:type="dxa"/>
          <w:left w:w="28" w:type="dxa"/>
          <w:bottom w:w="28" w:type="dxa"/>
          <w:right w:w="28" w:type="dxa"/>
        </w:tblCellMar>
      </w:tblPr>
      <w:tblGrid>
        <w:gridCol w:w="1824"/>
        <w:gridCol w:w="1603"/>
        <w:gridCol w:w="1612"/>
        <w:gridCol w:w="109"/>
        <w:gridCol w:w="109"/>
        <w:gridCol w:w="109"/>
        <w:gridCol w:w="918"/>
        <w:gridCol w:w="918"/>
        <w:gridCol w:w="1299"/>
      </w:tblGrid>
      <w:tr>
        <w:trPr/>
        <w:tc>
          <w:tcPr>
            <w:tcW w:w="182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Matthew Oppenheimer,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Vikas Mehta, Chief Financial Officer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Luke Tavis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Ryno Blignaut</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Luke Tavis,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Ryno Blignaut, Director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Phyllis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Bora Chung</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Phyllis Campbell,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Bora Chung, Director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Joshua Hug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Laurent Le Moal</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Joshua Hug,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Laurent Le Moal, Director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Nigel Morris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Phillip Riese</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Nigel Morris,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Phillip Riese, Director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Margaret M. Smyth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Margaret M. Smyth,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1" w:name="exfilingfees.htm"/>
      <w:bookmarkStart w:id="2" w:name="ksexfilingfees"/>
      <w:bookmarkStart w:id="3" w:name="exfilingfees.htm"/>
      <w:bookmarkStart w:id="4" w:name="ksexfilingfees"/>
      <w:bookmarkEnd w:id="3"/>
      <w:bookmarkEnd w:id="4"/>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Remitly Global,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6"/>
        <w:gridCol w:w="1283"/>
        <w:gridCol w:w="1193"/>
        <w:gridCol w:w="1182"/>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6" w:type="dxa"/>
            <w:tcBorders/>
            <w:shd w:fill="E7E7E2" w:val="clear"/>
            <w:vAlign w:val="center"/>
          </w:tcPr>
          <w:p>
            <w:pPr>
              <w:pStyle w:val="TableContents"/>
              <w:bidi w:val="0"/>
              <w:spacing w:before="0" w:after="283"/>
              <w:jc w:val="left"/>
              <w:rPr/>
            </w:pPr>
            <w:r>
              <w:rPr/>
              <w:t xml:space="preserve">Common Stock, $0.0001 par value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10,531,275 </w:t>
            </w:r>
          </w:p>
        </w:tc>
        <w:tc>
          <w:tcPr>
            <w:tcW w:w="1182" w:type="dxa"/>
            <w:tcBorders/>
            <w:shd w:fill="E7E7E2" w:val="clear"/>
            <w:vAlign w:val="center"/>
          </w:tcPr>
          <w:p>
            <w:pPr>
              <w:pStyle w:val="TableContents"/>
              <w:bidi w:val="0"/>
              <w:spacing w:before="0" w:after="283"/>
              <w:jc w:val="right"/>
              <w:rPr/>
            </w:pPr>
            <w:r>
              <w:rPr/>
              <w:t xml:space="preserve">$ 13.73 </w:t>
            </w:r>
          </w:p>
        </w:tc>
        <w:tc>
          <w:tcPr>
            <w:tcW w:w="1801" w:type="dxa"/>
            <w:tcBorders/>
            <w:shd w:fill="E7E7E2" w:val="clear"/>
            <w:vAlign w:val="center"/>
          </w:tcPr>
          <w:p>
            <w:pPr>
              <w:pStyle w:val="TableContents"/>
              <w:bidi w:val="0"/>
              <w:spacing w:before="0" w:after="283"/>
              <w:jc w:val="right"/>
              <w:rPr/>
            </w:pPr>
            <w:r>
              <w:rPr/>
              <w:t xml:space="preserve">$ 144,594,405.75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$ 19,968.49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0" w:type="dxa"/>
            <w:tcBorders/>
            <w:shd w:fill="E7E7E2" w:val="clear"/>
            <w:vAlign w:val="center"/>
          </w:tcPr>
          <w:p>
            <w:pPr>
              <w:pStyle w:val="TableContents"/>
              <w:bidi w:val="0"/>
              <w:spacing w:before="0" w:after="283"/>
              <w:jc w:val="left"/>
              <w:rPr/>
            </w:pPr>
            <w:r>
              <w:rPr/>
              <w:t xml:space="preserve">Equity </w:t>
            </w:r>
          </w:p>
        </w:tc>
        <w:tc>
          <w:tcPr>
            <w:tcW w:w="1016" w:type="dxa"/>
            <w:tcBorders/>
            <w:shd w:fill="E7E7E2" w:val="clear"/>
            <w:vAlign w:val="center"/>
          </w:tcPr>
          <w:p>
            <w:pPr>
              <w:pStyle w:val="TableContents"/>
              <w:bidi w:val="0"/>
              <w:spacing w:before="0" w:after="283"/>
              <w:jc w:val="left"/>
              <w:rPr/>
            </w:pPr>
            <w:r>
              <w:rPr/>
              <w:t xml:space="preserve">Common Stock, $0.0001 par value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2,106,255 </w:t>
            </w:r>
          </w:p>
        </w:tc>
        <w:tc>
          <w:tcPr>
            <w:tcW w:w="1182" w:type="dxa"/>
            <w:tcBorders/>
            <w:shd w:fill="E7E7E2" w:val="clear"/>
            <w:vAlign w:val="center"/>
          </w:tcPr>
          <w:p>
            <w:pPr>
              <w:pStyle w:val="TableContents"/>
              <w:bidi w:val="0"/>
              <w:spacing w:before="0" w:after="283"/>
              <w:jc w:val="right"/>
              <w:rPr/>
            </w:pPr>
            <w:r>
              <w:rPr/>
              <w:t xml:space="preserve">$ 11.68 </w:t>
            </w:r>
          </w:p>
        </w:tc>
        <w:tc>
          <w:tcPr>
            <w:tcW w:w="1801" w:type="dxa"/>
            <w:tcBorders/>
            <w:shd w:fill="E7E7E2" w:val="clear"/>
            <w:vAlign w:val="center"/>
          </w:tcPr>
          <w:p>
            <w:pPr>
              <w:pStyle w:val="TableContents"/>
              <w:bidi w:val="0"/>
              <w:spacing w:before="0" w:after="283"/>
              <w:jc w:val="right"/>
              <w:rPr/>
            </w:pPr>
            <w:r>
              <w:rPr/>
              <w:t xml:space="preserve">$ 24,601,058.40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$ 3,397.41 </w:t>
            </w:r>
          </w:p>
        </w:tc>
      </w:tr>
      <w:tr>
        <w:trPr/>
        <w:tc>
          <w:tcPr>
            <w:tcW w:w="4683" w:type="dxa"/>
            <w:gridSpan w:val="5"/>
            <w:tcBorders/>
            <w:vAlign w:val="center"/>
          </w:tcPr>
          <w:p>
            <w:pPr>
              <w:pStyle w:val="TableContents"/>
              <w:bidi w:val="0"/>
              <w:spacing w:before="0" w:after="0"/>
              <w:ind w:left="0" w:right="0" w:hanging="0"/>
              <w:jc w:val="right"/>
              <w:rPr/>
            </w:pPr>
            <w:r>
              <w:rPr/>
              <w:t>Total Offering Amounts:</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5" w:name="MaxAggtOfferingPrice"/>
            <w:bookmarkEnd w:id="5"/>
            <w:r>
              <w:rPr/>
              <w:t xml:space="preserve">$ 169,195,464.15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 w:name="TotalFeeAmt"/>
            <w:bookmarkEnd w:id="6"/>
            <w:r>
              <w:rPr/>
              <w:t xml:space="preserve">$ 23,365.90 </w:t>
            </w:r>
          </w:p>
        </w:tc>
      </w:tr>
      <w:tr>
        <w:trPr/>
        <w:tc>
          <w:tcPr>
            <w:tcW w:w="4683" w:type="dxa"/>
            <w:gridSpan w:val="5"/>
            <w:tcBorders/>
            <w:vAlign w:val="center"/>
          </w:tcPr>
          <w:p>
            <w:pPr>
              <w:pStyle w:val="TableContents"/>
              <w:bidi w:val="0"/>
              <w:spacing w:before="0" w:after="0"/>
              <w:ind w:left="0" w:right="0" w:hanging="0"/>
              <w:jc w:val="right"/>
              <w:rPr/>
            </w:pPr>
            <w:r>
              <w:rPr/>
              <w:t xml:space="preserve">Total Fee Offsets: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7" w:name="TotalOffsetAmt"/>
            <w:bookmarkEnd w:id="7"/>
            <w:r>
              <w:rPr/>
              <w:t xml:space="preserve">$ 0.00 </w:t>
            </w:r>
          </w:p>
        </w:tc>
      </w:tr>
      <w:tr>
        <w:trPr/>
        <w:tc>
          <w:tcPr>
            <w:tcW w:w="4683" w:type="dxa"/>
            <w:gridSpan w:val="5"/>
            <w:tcBorders/>
            <w:vAlign w:val="center"/>
          </w:tcPr>
          <w:p>
            <w:pPr>
              <w:pStyle w:val="TableContents"/>
              <w:bidi w:val="0"/>
              <w:spacing w:before="0" w:after="0"/>
              <w:ind w:left="0" w:right="0" w:hanging="0"/>
              <w:jc w:val="right"/>
              <w:rPr/>
            </w:pPr>
            <w:r>
              <w:rPr/>
              <w:t xml:space="preserve">Net Fee Due: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8" w:name="NetFeeAmt"/>
            <w:bookmarkEnd w:id="8"/>
            <w:r>
              <w:rPr/>
              <w:t xml:space="preserve">$ 23,365.90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(a) Pursuant to Rule 416(a) under the Securities Act of 1933, as amended (the "Securities Act"), this Registration Statement shall also cover any additional shares of common stock of Remitly Global, Inc. (the "Registrant")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common stock. (b) The Amount Registered represents 10,531,275 additional shares of the Registrant's common stock reserved for issuance under the 2021 Equity Incentive Plan ("2021 Plan") resulting from the automatic annual increase in the number of authorized shares reserved and available for issuance under the 2021 Plan. (c) The Proposed Maximum Offering Price Per Unit is estimated pursuant to Rules 457(c) and (h) of the Securities Act, solely for the purpose of calculating the registration fee for the additional shares to be reserved under the 2021 Plan, on the basis of the average of the high and low prices of the Registrant's common stock as reported on the Nasdaq Global Select Market ("Nasdaq") on February 10, 2026, which date is within five business days prior to filing this Registration Statement. (d) The Amount of Registration Fee is rounded to the nearest cent. (e) The Registrant does not have any fee offsets.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(2) (a) Pursuant to Rule 416(a) under the Securities Act, this Registration Statement shall also cover any additional shares of common stock of the Registrant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common stock. (b) The Amount Registered represents 2,106,255 additional shares of the Registrant's common stock reserved for issuance under the 2021 Employee Stock Purchase Plan ("Purchase Plan") resulting from the automatic annual increase in the number of authorized shares reserved and available for issuance under the Purchase Plan. (c) The Proposed Maximum Offering Price Per Unit is estimated pursuant to Rules 457(c) and (h) of the Securities Act, solely for the purpose of calculating the registration fee for the additional shares to be reserved under the Purchase Plan, on the basis of the average of the high and low prices of the Registrant's common stock as reported on Nasdaq on February 10, 2026, which date is within five business days prior to filing this Registration Statement. Under the Purchase Plan, the purchase price of a share of common stock is equal to 85% of the fair market value of the Registrant's common stock on the offering date or the purchase date, whichever is less. (d) The Amount of Registration Fee is rounded to the nearest cent. (e) The Registrant does not have any fee offsets.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before="0" w:after="0"/>
        <w:jc w:val="left"/>
        <w:rPr/>
      </w:pPr>
      <w:r>
        <w:rPr/>
        <w:drawing>
          <wp:inline distT="0" distB="0" distL="0" distR="0">
            <wp:extent cx="942975" cy="4191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8"/>
                    <a:stretch>
                      <a:fillRect/>
                    </a:stretch>
                  </pic:blipFill>
                  <pic:spPr bwMode="auto">
                    <a:xfrm>
                      <a:off x="0" y="0"/>
                      <a:ext cx="942975" cy="419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18,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Remitly Global,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401 Union Street, Suite 1000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Seattle, Washington 98101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 Registration Statement on Form S-8 of Shares of Common Stock, $0.0001 par value per share, of Remitly Global,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acted as counsel to Remitly Global, Inc. (the “Company”) in connection with the preparation of a Registration Statement on Form S-8 (the “Registration Statement”) under the Securities Act of 1933, as amended (the “Act”), which the Company is filing with the Securities and Exchange Commission (the “Commission”) with respect to the registration of an aggregate of 12,637,530 shares of Common Stock, $0.0001 par value per share, of the Company (the “Common Stock”), of which (i) 10,531,275 shares of Common Stock may be issued under the Remitly Global, Inc. 2021 Equity Incentive Plan, as amended and restated to date (the “2021 Plan”), and (ii) 2,106,255 Shares may be issued under the Remitly Global, Inc. 2021 Employee Stock Purchase Plan, as amended and restated to date (the “2021 ESPP” and together with the 2021 Plan, the “Plans” and such shares collectively under the Plans, the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examined the Registration Statement and such documents and records of the Company as we have deemed necessary for the purposes of this opinion. In giving this opinion, we are assuming the authenticity of all instruments presented to us as originals, the conformity with originals of all instruments presented to us as copies and the genuineness of all signatures.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and subject to the foregoing, we are of the opinion that any original issuance Shares that may be issued pursuant to each applicable Plan, upon the registration by its registrar of such Shares and the issuance thereof by the Company in accordance with the terms of the applicable Plan, and the receipt of consideration therefor in accordance with the terms of such Plan, will be validly issued, fully paid and nonassessable.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as an exhibit to the Registration Statement. In giving such consent, we do not admit that we are in the category of persons whose consent is required under Section 7 of the Act or the rules and regulations of the Commission thereunder.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Very truly yours,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Perkins Coie LLP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480" w:after="480"/>
        <w:jc w:val="center"/>
        <w:rPr>
          <w:rFonts w:ascii="Georgia;serif" w:hAnsi="Georgia;serif"/>
          <w:b/>
          <w:color w:val="000000"/>
          <w:sz w:val="20"/>
          <w:u w:val="single"/>
        </w:rPr>
      </w:pPr>
      <w:r>
        <w:rPr>
          <w:rFonts w:ascii="Georgia;serif" w:hAnsi="Georgia;serif"/>
          <w:b/>
          <w:color w:val="000000"/>
          <w:sz w:val="20"/>
          <w:u w:val="single"/>
        </w:rPr>
        <w:t>CONSENT OF INDEPENDENT REGISTERED PUBLIC ACCOUNTING FIRM</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 xml:space="preserve">We hereby consent to the incorporation by reference in this Registration Statement on Form  S-8 of Remitly Global, Inc. of our report dated February 18, 2026 relating to the financial statements and the effectiveness of internal control over financial reporting, which appears in Remitly Global, Inc.'s Annual Report on Form 10-K for the year ended December 31, 2025. </w:t>
      </w:r>
    </w:p>
    <w:p>
      <w:pPr>
        <w:pStyle w:val="TextBody"/>
        <w:bidi w:val="0"/>
        <w:spacing w:before="240" w:after="120"/>
        <w:jc w:val="left"/>
        <w:rPr/>
      </w:pPr>
      <w:r>
        <w:rPr/>
      </w:r>
    </w:p>
    <w:p>
      <w:pPr>
        <w:pStyle w:val="TextBody"/>
        <w:bidi w:val="0"/>
        <w:spacing w:lineRule="auto" w:line="288" w:before="240" w:after="120"/>
        <w:jc w:val="left"/>
        <w:rPr>
          <w:rFonts w:ascii="Times New Roman;serif" w:hAnsi="Times New Roman;serif"/>
          <w:b w:val="false"/>
          <w:color w:val="000000"/>
          <w:sz w:val="22"/>
        </w:rPr>
      </w:pPr>
      <w:r>
        <w:rPr>
          <w:rFonts w:ascii="Times New Roman;serif" w:hAnsi="Times New Roman;serif"/>
          <w:b w:val="false"/>
          <w:color w:val="000000"/>
          <w:sz w:val="22"/>
        </w:rPr>
        <w:t>/s/ PricewaterhouseCoopers LLP</w:t>
      </w:r>
    </w:p>
    <w:p>
      <w:pPr>
        <w:pStyle w:val="TextBody"/>
        <w:bidi w:val="0"/>
        <w:spacing w:lineRule="auto" w:line="288" w:before="240" w:after="120"/>
        <w:jc w:val="left"/>
        <w:rPr>
          <w:rFonts w:ascii="Georgia;serif" w:hAnsi="Georgia;serif"/>
          <w:b w:val="false"/>
          <w:color w:val="000000"/>
          <w:sz w:val="20"/>
        </w:rPr>
      </w:pPr>
      <w:r>
        <w:rPr>
          <w:rFonts w:ascii="Georgia;serif" w:hAnsi="Georgia;serif"/>
          <w:b w:val="false"/>
          <w:color w:val="000000"/>
          <w:sz w:val="20"/>
        </w:rPr>
        <w:t>Seattle, Washington</w:t>
        <w:br/>
        <w:t>February 18, 2026</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3240"/>
                <wp:effectExtent l="0" t="0" r="0" b="0"/>
                <wp:wrapNone/>
                <wp:docPr id="8" name="Frame7"/>
                <a:graphic xmlns:a="http://schemas.openxmlformats.org/drawingml/2006/main">
                  <a:graphicData uri="http://schemas.microsoft.com/office/word/2010/wordprocessingShape">
                    <wps:wsp>
                      <wps:cNvSpPr txBox="1"/>
                      <wps:spPr>
                        <a:xfrm>
                          <a:off x="0" y="0"/>
                          <a:ext cx="6480175" cy="523240"/>
                        </a:xfrm>
                        <a:prstGeom prst="rect"/>
                        <a:solidFill>
                          <a:srgbClr val="FFFFFF"/>
                        </a:solidFill>
                      </wps:spPr>
                      <wps:txb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2170/000162828026009038/rely-20251231.htm" TargetMode="External"/><Relationship Id="rId3" Type="http://schemas.openxmlformats.org/officeDocument/2006/relationships/hyperlink" Target="https://www.sec.gov/Archives/edgar/data/1782170/000162828021018887/remitlyglobalinc-form8xa.htm" TargetMode="External"/><Relationship Id="rId4" Type="http://schemas.openxmlformats.org/officeDocument/2006/relationships/hyperlink" Target="https://www.sec.gov/Archives/edgar/data/1782170/000178217025000018/exhibit43-relydescriptiono.htm" TargetMode="External"/><Relationship Id="rId5" Type="http://schemas.openxmlformats.org/officeDocument/2006/relationships/hyperlink" Target="https://www.sec.gov/Archives/edgar/data/1782170/000178217025000018/exhibit43-relydescriptiono.htm" TargetMode="External"/><Relationship Id="rId6" Type="http://schemas.openxmlformats.org/officeDocument/2006/relationships/hyperlink" Target="https://www.sec.gov/Archives/edgar/data/1782170/000162828021019085/forms-8eipandespp.htm" TargetMode="External"/><Relationship Id="rId7" Type="http://schemas.openxmlformats.org/officeDocument/2006/relationships/hyperlink" Target="https://www.sec.gov/Archives/edgar/data/1782170/000178217022000050/forms-8x3292022.htm" TargetMode="External"/><Relationship Id="rId8" Type="http://schemas.openxmlformats.org/officeDocument/2006/relationships/hyperlink" Target="https://www.sec.gov/Archives/edgar/data/1782170/000178217023000012/forms-8x2282023.htm" TargetMode="External"/><Relationship Id="rId9" Type="http://schemas.openxmlformats.org/officeDocument/2006/relationships/hyperlink" Target="https://www.sec.gov/Archives/edgar/data/1782170/000178217024000039/forms-8x2232024.htm" TargetMode="External"/><Relationship Id="rId10" Type="http://schemas.openxmlformats.org/officeDocument/2006/relationships/hyperlink" Target="https://www.sec.gov/Archives/edgar/data/1782170/000095010325002169/dp225022_s8.htm" TargetMode="External"/><Relationship Id="rId11" Type="http://schemas.openxmlformats.org/officeDocument/2006/relationships/hyperlink" Target="https://www.sec.gov/Archives/edgar/data/1782170/000095010325002169/dp225022_s8.htm" TargetMode="External"/><Relationship Id="rId12" Type="http://schemas.openxmlformats.org/officeDocument/2006/relationships/hyperlink" Target="https://www.sec.gov/Archives/edgar/data/1782170/000095010325002169/dp225022_s8.htm" TargetMode="External"/><Relationship Id="rId13" Type="http://schemas.openxmlformats.org/officeDocument/2006/relationships/hyperlink" Target="https://www.sec.gov/Archives/edgar/data/0001782170/000178217021000011/exhibit33-remitlyglobalxpu.htm" TargetMode="External"/><Relationship Id="rId14" Type="http://schemas.openxmlformats.org/officeDocument/2006/relationships/hyperlink" Target="https://www.sec.gov/Archives/edgar/data/1782170/000178217024000074/ex31-restatedbylaws.htm" TargetMode="External"/><Relationship Id="rId15" Type="http://schemas.openxmlformats.org/officeDocument/2006/relationships/hyperlink" Target="https://www.sec.gov/Archives/edgar/data/1782170/000162828021018524/exhibit41-sx1a1.htm" TargetMode="External"/><Relationship Id="rId16" Type="http://schemas.openxmlformats.org/officeDocument/2006/relationships/hyperlink" Target="https://www.sec.gov/Archives/edgar/data/1782170/000178217025000018/exhibit103-2021equityincen.htm" TargetMode="External"/><Relationship Id="rId17" Type="http://schemas.openxmlformats.org/officeDocument/2006/relationships/hyperlink" Target="https://www.sec.gov/Archives/edgar/data/0001782170/000178217024000187/exhibit101-remitlyx2021emp.htm" TargetMode="External"/><Relationship Id="rId18" Type="http://schemas.openxmlformats.org/officeDocument/2006/relationships/image" Target="media/image1.pn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2464</Words>
  <Characters>13322</Characters>
  <CharactersWithSpaces>15639</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