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Remitly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BAILLIE GIFFORD &amp; CO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4,843,198.00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8,467,902.00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8,467,902.00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Remitly Global,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REMITLY GLOBAL, INC., REMITLY GLOBAL, INC., SEATTLE, WASHINGTON, 98101.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Baillie Gifford &amp; Co</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 Haymarket Square Edinburgh EH3 8RY UK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Scotland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0"/>
              <w:jc w:val="left"/>
              <w:rPr/>
            </w:pPr>
            <w:r>
              <w:rPr/>
              <w:t>Investment Adviser</w:t>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8,467,902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4,843,198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8,467,902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10.</w:t>
            </w:r>
          </w:p>
        </w:tc>
        <w:tc>
          <w:tcPr>
            <w:tcW w:w="9039" w:type="dxa"/>
            <w:tcBorders/>
            <w:vAlign w:val="center"/>
          </w:tcPr>
          <w:p>
            <w:pPr>
              <w:pStyle w:val="TableContents"/>
              <w:bidi w:val="0"/>
              <w:spacing w:before="0" w:after="283"/>
              <w:jc w:val="left"/>
              <w:rPr/>
            </w:pPr>
            <w:r>
              <w:rPr/>
              <w:t>Certifications: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BAILLIE GIFFORD &amp; CO</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Grant Meikle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Regulatory Reporting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790</Words>
  <Characters>4104</Characters>
  <CharactersWithSpaces>4889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