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167005</wp:posOffset>
            </wp:positionV>
            <wp:extent cx="142303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199390</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5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20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24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March 5, 2025</w:t>
      </w:r>
    </w:p>
    <w:p>
      <w:pPr>
        <w:spacing w:after="0" w:line="19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REMITLY GLOBAL, INC.</w:t>
      </w:r>
    </w:p>
    <w:p>
      <w:pPr>
        <w:spacing w:after="0" w:line="5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ectPr>
          <w:pgSz w:w="11900" w:h="16838" w:orient="portrait"/>
          <w:cols w:equalWidth="0" w:num="1">
            <w:col w:w="11240"/>
          </w:cols>
          <w:pgMar w:left="320" w:top="700" w:right="339" w:bottom="1440" w:gutter="0" w:footer="0" w:header="0"/>
        </w:sectPr>
      </w:pPr>
    </w:p>
    <w:p>
      <w:pPr>
        <w:spacing w:after="0" w:line="228" w:lineRule="exact"/>
        <w:rPr>
          <w:sz w:val="24"/>
          <w:szCs w:val="24"/>
          <w:color w:val="auto"/>
        </w:rPr>
      </w:pPr>
    </w:p>
    <w:p>
      <w:pPr>
        <w:ind w:left="1500"/>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08" w:lineRule="exact"/>
        <w:rPr>
          <w:sz w:val="24"/>
          <w:szCs w:val="24"/>
          <w:color w:val="auto"/>
        </w:rPr>
      </w:pPr>
    </w:p>
    <w:p>
      <w:pPr>
        <w:jc w:val="center"/>
        <w:ind w:right="2220"/>
        <w:spacing w:after="0"/>
        <w:rPr>
          <w:sz w:val="20"/>
          <w:szCs w:val="20"/>
          <w:color w:val="auto"/>
        </w:rPr>
      </w:pPr>
      <w:r>
        <w:rPr>
          <w:rFonts w:ascii="Times New Roman" w:cs="Times New Roman" w:eastAsia="Times New Roman" w:hAnsi="Times New Roman"/>
          <w:sz w:val="17"/>
          <w:szCs w:val="17"/>
          <w:b w:val="1"/>
          <w:bCs w:val="1"/>
          <w:color w:val="auto"/>
        </w:rPr>
        <w:t>001-40822</w:t>
      </w:r>
    </w:p>
    <w:p>
      <w:pPr>
        <w:spacing w:after="0" w:line="20" w:lineRule="exact"/>
        <w:rPr>
          <w:sz w:val="24"/>
          <w:szCs w:val="24"/>
          <w:color w:val="auto"/>
        </w:rPr>
      </w:pPr>
      <w:r>
        <w:rPr>
          <w:sz w:val="24"/>
          <w:szCs w:val="24"/>
          <w:color w:val="auto"/>
        </w:rPr>
        <w:br w:type="column"/>
      </w:r>
    </w:p>
    <w:p>
      <w:pPr>
        <w:spacing w:after="0" w:line="208"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83-2301143</w:t>
      </w:r>
    </w:p>
    <w:p>
      <w:pPr>
        <w:spacing w:after="0" w:line="75" w:lineRule="exact"/>
        <w:rPr>
          <w:sz w:val="24"/>
          <w:szCs w:val="24"/>
          <w:color w:val="auto"/>
        </w:rPr>
      </w:pPr>
    </w:p>
    <w:p>
      <w:pPr>
        <w:sectPr>
          <w:pgSz w:w="11900" w:h="16838" w:orient="portrait"/>
          <w:cols w:equalWidth="0" w:num="3">
            <w:col w:w="4520" w:space="720"/>
            <w:col w:w="3000" w:space="720"/>
            <w:col w:w="2280"/>
          </w:cols>
          <w:pgMar w:left="320" w:top="700" w:right="339" w:bottom="1440" w:gutter="0" w:footer="0" w:header="0"/>
          <w:type w:val="continuous"/>
        </w:sectPr>
      </w:pPr>
    </w:p>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(State or Other Jurisdiction</w:t>
      </w:r>
    </w:p>
    <w:p>
      <w:pPr>
        <w:spacing w:after="0" w:line="31" w:lineRule="exact"/>
        <w:rPr>
          <w:sz w:val="24"/>
          <w:szCs w:val="24"/>
          <w:color w:val="auto"/>
        </w:rPr>
      </w:pPr>
    </w:p>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8"/>
          <w:szCs w:val="18"/>
          <w:b w:val="1"/>
          <w:bCs w:val="1"/>
          <w:color w:val="auto"/>
        </w:rPr>
        <w:t>(Commission File Number)</w:t>
      </w:r>
    </w:p>
    <w:p>
      <w:pPr>
        <w:spacing w:after="0" w:line="20" w:lineRule="exact"/>
        <w:rPr>
          <w:sz w:val="24"/>
          <w:szCs w:val="24"/>
          <w:color w:val="auto"/>
        </w:rPr>
      </w:pPr>
      <w:r>
        <w:rPr>
          <w:sz w:val="24"/>
          <w:szCs w:val="24"/>
          <w:color w:val="auto"/>
        </w:rPr>
        <w:br w:type="column"/>
      </w:r>
    </w:p>
    <w:p>
      <w:pPr>
        <w:jc w:val="center"/>
        <w:ind w:right="1140"/>
        <w:spacing w:after="0"/>
        <w:rPr>
          <w:sz w:val="20"/>
          <w:szCs w:val="20"/>
          <w:color w:val="auto"/>
        </w:rPr>
      </w:pPr>
      <w:r>
        <w:rPr>
          <w:rFonts w:ascii="Times New Roman" w:cs="Times New Roman" w:eastAsia="Times New Roman" w:hAnsi="Times New Roman"/>
          <w:sz w:val="18"/>
          <w:szCs w:val="18"/>
          <w:b w:val="1"/>
          <w:bCs w:val="1"/>
          <w:color w:val="auto"/>
        </w:rPr>
        <w:t>(IRS Employer</w:t>
      </w:r>
    </w:p>
    <w:p>
      <w:pPr>
        <w:spacing w:after="0" w:line="31"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18"/>
          <w:szCs w:val="18"/>
          <w:b w:val="1"/>
          <w:bCs w:val="1"/>
          <w:color w:val="auto"/>
        </w:rPr>
        <w:t>Identification No.)</w:t>
      </w:r>
    </w:p>
    <w:p>
      <w:pPr>
        <w:spacing w:after="0" w:line="200" w:lineRule="exact"/>
        <w:rPr>
          <w:sz w:val="24"/>
          <w:szCs w:val="24"/>
          <w:color w:val="auto"/>
        </w:rPr>
      </w:pPr>
    </w:p>
    <w:p>
      <w:pPr>
        <w:sectPr>
          <w:pgSz w:w="11900" w:h="16838" w:orient="portrait"/>
          <w:cols w:equalWidth="0" w:num="3">
            <w:col w:w="3860" w:space="720"/>
            <w:col w:w="3380" w:space="720"/>
            <w:col w:w="2560"/>
          </w:cols>
          <w:pgMar w:left="320" w:top="700" w:right="339" w:bottom="1440" w:gutter="0" w:footer="0" w:header="0"/>
          <w:type w:val="continuous"/>
        </w:sectPr>
      </w:pPr>
    </w:p>
    <w:p>
      <w:pPr>
        <w:spacing w:after="0" w:line="3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1111 Third Avenue, Suite 2100</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Seattle, WA 98101</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(Address of Principal Executive Offices and Zip Code)</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(888) 736-4859</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(Registrant’s Telephone Number, Including Area Code)</w:t>
      </w:r>
    </w:p>
    <w:p>
      <w:pPr>
        <w:sectPr>
          <w:pgSz w:w="11900" w:h="16838" w:orient="portrait"/>
          <w:cols w:equalWidth="0" w:num="1">
            <w:col w:w="11240"/>
          </w:cols>
          <w:pgMar w:left="320" w:top="700" w:right="339" w:bottom="1440" w:gutter="0" w:footer="0" w:header="0"/>
          <w:type w:val="continuous"/>
        </w:sectPr>
      </w:pPr>
    </w:p>
    <w:p>
      <w:pPr>
        <w:spacing w:after="0" w:line="21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(Former Name or Former Address, if Changed Since Last Report)</w:t>
      </w:r>
    </w:p>
    <w:p>
      <w:pPr>
        <w:spacing w:after="0" w:line="200" w:lineRule="exact"/>
        <w:rPr>
          <w:sz w:val="24"/>
          <w:szCs w:val="24"/>
          <w:color w:val="auto"/>
        </w:rPr>
      </w:pPr>
    </w:p>
    <w:p>
      <w:pPr>
        <w:spacing w:after="0" w:line="223"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Instructions A.2. below):</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1" w:lineRule="exact"/>
        <w:rPr>
          <w:rFonts w:ascii="MS PGothic" w:cs="MS PGothic" w:eastAsia="MS PGothic" w:hAnsi="MS PGothic"/>
          <w:sz w:val="18"/>
          <w:szCs w:val="18"/>
          <w:color w:val="auto"/>
        </w:rPr>
      </w:pPr>
    </w:p>
    <w:p>
      <w:pPr>
        <w:ind w:left="3420"/>
        <w:spacing w:after="0"/>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252"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45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21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Trading Symbol(s):</w:t>
            </w:r>
          </w:p>
        </w:tc>
        <w:tc>
          <w:tcPr>
            <w:tcW w:w="4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7"/>
        </w:trPr>
        <w:tc>
          <w:tcPr>
            <w:tcW w:w="44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600" w:type="dxa"/>
            <w:vAlign w:val="bottom"/>
            <w:tcBorders>
              <w:bottom w:val="single" w:sz="8" w:color="auto"/>
            </w:tcBorders>
          </w:tcPr>
          <w:p>
            <w:pPr>
              <w:spacing w:after="0"/>
              <w:rPr>
                <w:sz w:val="2"/>
                <w:szCs w:val="2"/>
                <w:color w:val="auto"/>
              </w:rPr>
            </w:pPr>
          </w:p>
        </w:tc>
      </w:tr>
      <w:tr>
        <w:trPr>
          <w:trHeight w:val="236"/>
        </w:trPr>
        <w:tc>
          <w:tcPr>
            <w:tcW w:w="45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Common Stock, par value $0.0001 per share</w:t>
            </w:r>
          </w:p>
        </w:tc>
        <w:tc>
          <w:tcPr>
            <w:tcW w:w="21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3"/>
              </w:rPr>
              <w:t>RELY</w:t>
            </w:r>
          </w:p>
        </w:tc>
        <w:tc>
          <w:tcPr>
            <w:tcW w:w="46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NASDAQ</w:t>
            </w:r>
          </w:p>
        </w:tc>
      </w:tr>
    </w:tbl>
    <w:p>
      <w:pPr>
        <w:spacing w:after="0" w:line="225"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428625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00" w:right="339" w:bottom="1440" w:gutter="0" w:footer="0" w:header="0"/>
          <w:type w:val="continuous"/>
        </w:sectPr>
      </w:pPr>
    </w:p>
    <w:bookmarkStart w:id="1" w:name="page2"/>
    <w:bookmarkEnd w:id="1"/>
    <w:p>
      <w:pPr>
        <w:ind w:right="300"/>
        <w:spacing w:after="0" w:line="286" w:lineRule="auto"/>
        <w:rPr>
          <w:sz w:val="20"/>
          <w:szCs w:val="20"/>
          <w:color w:val="auto"/>
        </w:rPr>
      </w:pPr>
      <w:r>
        <w:rPr>
          <w:rFonts w:ascii="Times New Roman" w:cs="Times New Roman" w:eastAsia="Times New Roman" w:hAnsi="Times New Roman"/>
          <w:sz w:val="18"/>
          <w:szCs w:val="18"/>
          <w:b w:val="1"/>
          <w:bCs w:val="1"/>
          <w:color w:val="auto"/>
        </w:rPr>
        <w:t>Item 5.02 Departure of Directors or Certain Officers; Election of Directors; Appointment of Certain Officers; Compensatory Arrangements of Certain Officers.</w:t>
      </w:r>
    </w:p>
    <w:p>
      <w:pPr>
        <w:spacing w:after="0" w:line="159" w:lineRule="exact"/>
        <w:rPr>
          <w:sz w:val="20"/>
          <w:szCs w:val="20"/>
          <w:color w:val="auto"/>
        </w:rPr>
      </w:pPr>
    </w:p>
    <w:p>
      <w:pPr>
        <w:ind w:right="60" w:firstLine="389"/>
        <w:spacing w:after="0" w:line="261" w:lineRule="auto"/>
        <w:rPr>
          <w:sz w:val="20"/>
          <w:szCs w:val="20"/>
          <w:color w:val="auto"/>
        </w:rPr>
      </w:pPr>
      <w:r>
        <w:rPr>
          <w:rFonts w:ascii="Times New Roman" w:cs="Times New Roman" w:eastAsia="Times New Roman" w:hAnsi="Times New Roman"/>
          <w:sz w:val="18"/>
          <w:szCs w:val="18"/>
          <w:color w:val="auto"/>
        </w:rPr>
        <w:t>On March 5, 2025, the Company entered into a transition agreement (the “Transition Agreement”) with Joshua Hug, the Vice Chair of Remitly Global, Inc. (the “Company”), pursuant to which Mr. Hug will transition from his position as Vice Chair of the Company into a non-employee director role effective May 15, 2025. Mr. Hug’s transition did not result from any disagreement regarding the Company’s financial reporting or accounting policies, procedures, estimates, or judgments.</w:t>
      </w:r>
    </w:p>
    <w:p>
      <w:pPr>
        <w:spacing w:after="0" w:line="180" w:lineRule="exact"/>
        <w:rPr>
          <w:sz w:val="20"/>
          <w:szCs w:val="20"/>
          <w:color w:val="auto"/>
        </w:rPr>
      </w:pPr>
    </w:p>
    <w:p>
      <w:pPr>
        <w:ind w:right="260" w:firstLine="389"/>
        <w:spacing w:after="0" w:line="266" w:lineRule="auto"/>
        <w:rPr>
          <w:sz w:val="20"/>
          <w:szCs w:val="20"/>
          <w:color w:val="auto"/>
        </w:rPr>
      </w:pPr>
      <w:r>
        <w:rPr>
          <w:rFonts w:ascii="Times New Roman" w:cs="Times New Roman" w:eastAsia="Times New Roman" w:hAnsi="Times New Roman"/>
          <w:sz w:val="18"/>
          <w:szCs w:val="18"/>
          <w:color w:val="auto"/>
        </w:rPr>
        <w:t>The Transition Agreement provides that the Company will pay for Mr. Hug’s monthly healthcare coverage under COBRA for 18 months. The Transition Agreement also contains a release of claims by Mr. Hug against the Company. Mr. Hug remains subject to ongoing covenants relating to non-solicitation, non-competition, mutual non-disparagement, and confidentiality.</w:t>
      </w:r>
    </w:p>
    <w:p>
      <w:pPr>
        <w:spacing w:after="0" w:line="176" w:lineRule="exact"/>
        <w:rPr>
          <w:sz w:val="20"/>
          <w:szCs w:val="20"/>
          <w:color w:val="auto"/>
        </w:rPr>
      </w:pPr>
    </w:p>
    <w:p>
      <w:pPr>
        <w:ind w:firstLine="389"/>
        <w:spacing w:after="0" w:line="282" w:lineRule="auto"/>
        <w:rPr>
          <w:sz w:val="20"/>
          <w:szCs w:val="20"/>
          <w:color w:val="auto"/>
        </w:rPr>
      </w:pPr>
      <w:r>
        <w:rPr>
          <w:rFonts w:ascii="Times New Roman" w:cs="Times New Roman" w:eastAsia="Times New Roman" w:hAnsi="Times New Roman"/>
          <w:sz w:val="18"/>
          <w:szCs w:val="18"/>
          <w:color w:val="auto"/>
        </w:rPr>
        <w:t>The foregoing description of the Transition Agreement does not purport to be complete and is qualified in its entirety by reference to the complete text thereof, a copy of which will be filed as an exhibit to the Company’s Quarterly Report on Form 10-Q for the quarter ending March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268605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468"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72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89"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Remitly Global, Inc.</w:t>
      </w:r>
    </w:p>
    <w:p>
      <w:pPr>
        <w:spacing w:after="0" w:line="333" w:lineRule="exact"/>
        <w:rPr>
          <w:sz w:val="20"/>
          <w:szCs w:val="20"/>
          <w:color w:val="auto"/>
        </w:rPr>
      </w:pPr>
    </w:p>
    <w:p>
      <w:pPr>
        <w:ind w:left="40"/>
        <w:spacing w:after="0"/>
        <w:tabs>
          <w:tab w:leader="none" w:pos="4400" w:val="left"/>
          <w:tab w:leader="none" w:pos="4960" w:val="left"/>
        </w:tabs>
        <w:rPr>
          <w:sz w:val="20"/>
          <w:szCs w:val="20"/>
          <w:color w:val="auto"/>
        </w:rPr>
      </w:pPr>
      <w:r>
        <w:rPr>
          <w:rFonts w:ascii="Times New Roman" w:cs="Times New Roman" w:eastAsia="Times New Roman" w:hAnsi="Times New Roman"/>
          <w:sz w:val="18"/>
          <w:szCs w:val="18"/>
          <w:color w:val="auto"/>
        </w:rPr>
        <w:t>Date: March 6,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Saema Somalya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3150870</wp:posOffset>
            </wp:positionH>
            <wp:positionV relativeFrom="paragraph">
              <wp:posOffset>34290</wp:posOffset>
            </wp:positionV>
            <wp:extent cx="398589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985895" cy="8890"/>
                    </a:xfrm>
                    <a:prstGeom prst="rect">
                      <a:avLst/>
                    </a:prstGeom>
                    <a:noFill/>
                  </pic:spPr>
                </pic:pic>
              </a:graphicData>
            </a:graphic>
          </wp:anchor>
        </w:drawing>
      </w:r>
    </w:p>
    <w:p>
      <w:pPr>
        <w:spacing w:after="0" w:line="57"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Saema Somalya</w:t>
      </w:r>
    </w:p>
    <w:p>
      <w:pPr>
        <w:spacing w:after="0" w:line="63"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Chief Legal and Corporate Affairs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46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2025-03-06T15:56:12Z</dcterms:created>
  <dcterms:modified xsi:type="dcterms:W3CDTF">2025-03-06T15:56:12Z</dcterms:modified>
</cp:coreProperties>
</file>